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line="276"/>
      </w:pPr>
      <w:r>
        <w:rPr>
          <w:b/>
          <w:bCs/>
          <w:color w:val="1A2332"/>
          <w:sz w:val="22"/>
          <w:szCs w:val="22"/>
          <w:rFonts w:ascii="Calibri" w:cs="Calibri" w:eastAsia="Calibri" w:hAnsi="Calibri"/>
        </w:rPr>
        <w:t xml:space="preserve">Clinton Herring</w:t>
      </w:r>
    </w:p>
    <w:p>
      <w:pPr>
        <w:spacing w:after="40" w:line="276"/>
      </w:pPr>
      <w:r>
        <w:rPr>
          <w:b w:val="false"/>
          <w:bCs w:val="false"/>
          <w:color w:val="1A2332"/>
          <w:sz w:val="22"/>
          <w:szCs w:val="22"/>
          <w:rFonts w:ascii="Calibri" w:cs="Calibri" w:eastAsia="Calibri" w:hAnsi="Calibri"/>
        </w:rPr>
        <w:t xml:space="preserve">Almere  ·  +31 6 27517972  ·  Clinton.herring@remoteconsulting.eu</w:t>
      </w:r>
    </w:p>
    <w:p>
      <w:pPr>
        <w:spacing w:after="320" w:line="276"/>
      </w:pPr>
      <w:r>
        <w:rPr>
          <w:b w:val="false"/>
          <w:bCs w:val="false"/>
          <w:color w:val="1A2332"/>
          <w:sz w:val="22"/>
          <w:szCs w:val="22"/>
          <w:rFonts w:ascii="Calibri" w:cs="Calibri" w:eastAsia="Calibri" w:hAnsi="Calibri"/>
        </w:rPr>
        <w:t xml:space="preserve">https://www.remoteconsulting.eu</w:t>
      </w:r>
    </w:p>
    <w:p>
      <w:pPr>
        <w:spacing w:after="200" w:line="276"/>
      </w:pPr>
      <w:r>
        <w:rPr>
          <w:b w:val="false"/>
          <w:bCs w:val="false"/>
          <w:color w:val="1A2332"/>
          <w:sz w:val="22"/>
          <w:szCs w:val="22"/>
          <w:rFonts w:ascii="Calibri" w:cs="Calibri" w:eastAsia="Calibri" w:hAnsi="Calibri"/>
        </w:rPr>
        <w:t xml:space="preserve">Dear hiring team,</w:t>
      </w:r>
    </w:p>
    <w:p>
      <w:pPr>
        <w:spacing w:after="160" w:line="276"/>
      </w:pPr>
      <w:r>
        <w:rPr>
          <w:b w:val="false"/>
          <w:bCs w:val="false"/>
          <w:color w:val="1A2332"/>
          <w:sz w:val="22"/>
          <w:szCs w:val="22"/>
          <w:rFonts w:ascii="Calibri" w:cs="Calibri" w:eastAsia="Calibri" w:hAnsi="Calibri"/>
        </w:rPr>
        <w:t xml:space="preserve">I am applying for the Retail Technology IT Architect role at Rituals.</w:t>
      </w:r>
    </w:p>
    <w:p>
      <w:pPr>
        <w:spacing w:after="160" w:line="276"/>
      </w:pPr>
      <w:r>
        <w:rPr>
          <w:b w:val="false"/>
          <w:bCs w:val="false"/>
          <w:color w:val="1A2332"/>
          <w:sz w:val="22"/>
          <w:szCs w:val="22"/>
          <w:rFonts w:ascii="Calibri" w:cs="Calibri" w:eastAsia="Calibri" w:hAnsi="Calibri"/>
        </w:rPr>
        <w:t xml:space="preserve">I already know this landscape from the supplier side. As Principal Architect at CGI I worked on the store technology estate that supports Rituals and similar retail — Meraki networking, POS and payment terminals, multi-site rollout, and handover into support. I understand how CGI’s call-centre model works with the stores, and I have worked with Veducon. I was involved with the team that moved POS off Cowhills onto the NewBlack stack: iPads on the floor, with a Mac in the back room running the POS environment. I know where Jamf sits in that Apple-centred store pattern; I am not positioning myself as a Jamf specialist, but I understand how device management, POS, and networking have to fit together for a supportable store.</w:t>
      </w:r>
    </w:p>
    <w:p>
      <w:pPr>
        <w:spacing w:after="160" w:line="276"/>
      </w:pPr>
      <w:r>
        <w:rPr>
          <w:b w:val="false"/>
          <w:bCs w:val="false"/>
          <w:color w:val="1A2332"/>
          <w:sz w:val="22"/>
          <w:szCs w:val="22"/>
          <w:rFonts w:ascii="Calibri" w:cs="Calibri" w:eastAsia="Calibri" w:hAnsi="Calibri"/>
        </w:rPr>
        <w:t xml:space="preserve">I use Jira and Confluence every day for documentation and task management. When CGI rolled ServiceNow out to stores as the incident-management service I was involved at the edge of that programme and completed CGI’s ServiceNow training — I am not claiming ServiceNow implementation ownership, but I know how that model sits next to store operations.</w:t>
      </w:r>
    </w:p>
    <w:p>
      <w:pPr>
        <w:spacing w:after="160" w:line="276"/>
      </w:pPr>
      <w:r>
        <w:rPr>
          <w:b w:val="false"/>
          <w:bCs w:val="false"/>
          <w:color w:val="1A2332"/>
          <w:sz w:val="22"/>
          <w:szCs w:val="22"/>
          <w:rFonts w:ascii="Calibri" w:cs="Calibri" w:eastAsia="Calibri" w:hAnsi="Calibri"/>
        </w:rPr>
        <w:t xml:space="preserve">After CGI I continued as a sole proprietor under contract with CGI as Principal Architect for Suitsupply until 2024. I already have working relationships with several of Rituals’ vendors from that CGI and ZZP period. For 15 years at Allan Gray I managed contractors and third-party suppliers in financial services — so I am used to being the architectural owner who holds partners to standard, not only the designer of the stack.</w:t>
      </w:r>
    </w:p>
    <w:p>
      <w:pPr>
        <w:spacing w:after="160" w:line="276"/>
      </w:pPr>
      <w:r>
        <w:rPr>
          <w:b w:val="false"/>
          <w:bCs w:val="false"/>
          <w:color w:val="1A2332"/>
          <w:sz w:val="22"/>
          <w:szCs w:val="22"/>
          <w:rFonts w:ascii="Calibri" w:cs="Calibri" w:eastAsia="Calibri" w:hAnsi="Calibri"/>
        </w:rPr>
        <w:t xml:space="preserve">Since November 2024 I have been a platform engineer at Just Eat Takeaway. That platform work, including AI-assisted ways of spotting and fixing operational issues, is how I would help Rituals move from reactive firefighting toward the proactive and predictive technology management described in the role.</w:t>
      </w:r>
    </w:p>
    <w:p>
      <w:pPr>
        <w:spacing w:after="160" w:line="276"/>
      </w:pPr>
      <w:r>
        <w:rPr>
          <w:b w:val="false"/>
          <w:bCs w:val="false"/>
          <w:color w:val="1A2332"/>
          <w:sz w:val="22"/>
          <w:szCs w:val="22"/>
          <w:rFonts w:ascii="Calibri" w:cs="Calibri" w:eastAsia="Calibri" w:hAnsi="Calibri"/>
        </w:rPr>
        <w:t xml:space="preserve">I am based in Almere, close to Amsterdam, with a residence permit (arbeid vrij toegestaan, TWV niet vereist), and I am used to owning architecture across engineers, suppliers, and retail stakeholders.</w:t>
      </w:r>
    </w:p>
    <w:p>
      <w:pPr>
        <w:spacing w:after="160" w:line="276"/>
      </w:pPr>
      <w:r>
        <w:rPr>
          <w:b w:val="false"/>
          <w:bCs w:val="false"/>
          <w:color w:val="1A2332"/>
          <w:sz w:val="22"/>
          <w:szCs w:val="22"/>
          <w:rFonts w:ascii="Calibri" w:cs="Calibri" w:eastAsia="Calibri" w:hAnsi="Calibri"/>
        </w:rPr>
        <w:t xml:space="preserve">I would welcome the conversation with Renée and the team.</w:t>
      </w:r>
    </w:p>
    <w:p>
      <w:pPr>
        <w:spacing w:after="200" w:line="276"/>
      </w:pPr>
      <w:r>
        <w:rPr>
          <w:b w:val="false"/>
          <w:bCs w:val="false"/>
          <w:color w:val="1A2332"/>
          <w:sz w:val="22"/>
          <w:szCs w:val="22"/>
          <w:rFonts w:ascii="Calibri" w:cs="Calibri" w:eastAsia="Calibri" w:hAnsi="Calibri"/>
        </w:rPr>
        <w:t xml:space="preserve">Kind regards,</w:t>
      </w:r>
    </w:p>
    <w:p>
      <w:pPr>
        <w:spacing w:after="40" w:line="276"/>
      </w:pPr>
      <w:r>
        <w:rPr>
          <w:b/>
          <w:bCs/>
          <w:color w:val="1A2332"/>
          <w:sz w:val="22"/>
          <w:szCs w:val="22"/>
          <w:rFonts w:ascii="Calibri" w:cs="Calibri" w:eastAsia="Calibri" w:hAnsi="Calibri"/>
        </w:rPr>
        <w:t xml:space="preserve">Clinton Herring</w:t>
      </w:r>
    </w:p>
    <w:p>
      <w:pPr>
        <w:spacing w:after="160" w:line="276"/>
      </w:pPr>
      <w:r>
        <w:rPr>
          <w:b w:val="false"/>
          <w:bCs w:val="false"/>
          <w:color w:val="1A2332"/>
          <w:sz w:val="22"/>
          <w:szCs w:val="22"/>
          <w:rFonts w:ascii="Calibri" w:cs="Calibri" w:eastAsia="Calibri" w:hAnsi="Calibri"/>
        </w:rPr>
        <w:t xml:space="preserve">+31 6 27517972</w:t>
      </w:r>
    </w:p>
    <w:p>
      <w:pPr>
        <w:spacing w:after="160" w:line="276"/>
      </w:pPr>
      <w:r>
        <w:rPr>
          <w:b w:val="false"/>
          <w:bCs w:val="false"/>
          <w:color w:val="1A2332"/>
          <w:sz w:val="22"/>
          <w:szCs w:val="22"/>
          <w:rFonts w:ascii="Calibri" w:cs="Calibri" w:eastAsia="Calibri" w:hAnsi="Calibri"/>
        </w:rPr>
        <w:t xml:space="preserve">Clinton.herring@remoteconsulting.eu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2026-10-05T12:47:19.648Z</dcterms:created>
  <dcterms:modified xsi:type="dcterms:W3CDTF">2026-10-05T12:47:19.649Z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