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DIRECTOR · AI/ML PLATFORMS · AGENTIC SYSTEMS · ENTERPRISE READINESS</w:t>
            </w:r>
          </w:p>
          <w:p w14:paraId="1000000A" w14:textId="4F073705" w:rsidR="00C97526" w:rsidRPr="001A2EAB"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sz w:val="18"/>
                <w:szCs w:val="18"/>
                <w:color w:val="FFFFFF"/>
              </w:rPr>
            </w:pPr>
            <w:r>
              <w:rPr>
                <w:rFonts w:ascii="Century Gothic" w:eastAsia="Century Gothic" w:hAnsi="Century Gothic" w:cs="Century Gothic"/>
                <w:sz w:val="18"/>
                <w:szCs w:val="18"/>
                <w:color w:val="FFFFFF"/>
              </w:rPr>
              <w:t xml:space="preserve">Las Vegas, NV 89141 | </w:t>
            </w:r>
            <w:hyperlink r:id="rId17" w:history="1">
              <w:r>
                <w:rPr>
                  <w:rFonts w:ascii="Century Gothic" w:eastAsia="Century Gothic" w:hAnsi="Century Gothic" w:cs="Century Gothic"/>
                  <w:color w:val="FFFFFF"/>
                  <w:sz w:val="18"/>
                  <w:szCs w:val="18"/>
                  <w:u w:val="single"/>
                </w:rPr>
                <w:t>702-772-0242</w:t>
              </w:r>
            </w:hyperlink>
            <w:r>
              <w:rPr>
                <w:rFonts w:ascii="Century Gothic" w:eastAsia="Century Gothic" w:hAnsi="Century Gothic" w:cs="Century Gothic"/>
                <w:sz w:val="18"/>
                <w:szCs w:val="18"/>
                <w:color w:val="FFFFFF"/>
              </w:rPr>
              <w:t xml:space="preserve"> | </w:t>
            </w:r>
            <w:hyperlink r:id="rId18" w:history="1">
              <w:r>
                <w:rPr>
                  <w:rFonts w:ascii="Century Gothic" w:eastAsia="Century Gothic" w:hAnsi="Century Gothic" w:cs="Century Gothic"/>
                  <w:color w:val="FFFFFF"/>
                  <w:sz w:val="18"/>
                  <w:szCs w:val="18"/>
                  <w:u w:val="single"/>
                </w:rPr>
                <w:t>clintonpracher@gmail.com</w:t>
              </w:r>
            </w:hyperlink>
            <w:r>
              <w:rPr>
                <w:rFonts w:ascii="Century Gothic" w:eastAsia="Century Gothic" w:hAnsi="Century Gothic" w:cs="Century Gothic"/>
                <w:sz w:val="18"/>
                <w:szCs w:val="18"/>
                <w:color w:val="FFFFFF"/>
              </w:rPr>
              <w:t xml:space="preserve"> | </w:t>
            </w:r>
            <w:hyperlink r:id="rId8" w:history="1">
              <w:r>
                <w:rPr>
                  <w:rFonts w:ascii="Century Gothic" w:eastAsia="Century Gothic" w:hAnsi="Century Gothic" w:cs="Century Gothic"/>
                  <w:color w:val="FFFFFF"/>
                  <w:sz w:val="18"/>
                  <w:szCs w:val="18"/>
                  <w:u w:val="single"/>
                </w:rPr>
                <w:t>linkedin.com/in/clinton-pracher</w:t>
              </w:r>
            </w:hyperlink>
            <w:r>
              <w:rPr>
                <w:rFonts w:ascii="Century Gothic" w:eastAsia="Century Gothic" w:hAnsi="Century Gothic" w:cs="Century Gothic"/>
                <w:sz w:val="18"/>
                <w:szCs w:val="18"/>
                <w:color w:val="FFFFFF"/>
              </w:rPr>
              <w:t xml:space="preserve"> | </w:t>
            </w:r>
            <w:hyperlink r:id="rId19" w:history="1">
              <w:r>
                <w:rPr>
                  <w:rFonts w:ascii="Century Gothic" w:eastAsia="Century Gothic" w:hAnsi="Century Gothic" w:cs="Century Gothic"/>
                  <w:color w:val="FFFFFF"/>
                  <w:sz w:val="18"/>
                  <w:szCs w:val="18"/>
                  <w:u w:val="single"/>
                </w:rPr>
                <w:t>clintonpracher.com</w:t>
              </w:r>
            </w:hyperlink>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Director-level platform and AI product leader with 12+ years owning complex portfolios across AI platforms, data products, and enterprise environments. Owned 13 AI and data products across 100+ global markets, leading 60+ engineers, analysts, and program leads with an $8M investment envelope tied to systems governing $600M in annual spend.</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agentic orchestration and AI control-plane capabilities that enterprises can trust: routing work across agents and tools, ownership models, evaluation and trust thresholds, and human approval gates on production AI workflows. In practice today: an Operator Control Plane with 65 skills and 28 governed automations running as live agentic orchestration and control-plane infrastructure, not a slide deck.</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Ships enterprise readiness into the product lifecycle: compliance, privacy, AI ethics, decision rights, and security-review partnership so platform adoption does not wait on one-off exceptions. Results include 40% faster investment decisions, $60M+ incremental revenue impact,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when AI adoption, platform complexity, or unclear ownership has outgrown the operating model. Diagnoses the constraint, rebuilds the orchestration and control plane,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Agentic Orchestration and AI Control Planes</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AI/ML Platform Product</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Readiness and Compliance-Ready Capabilities</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Platforms and Decision Infrastructure</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Governance, Audit Trails, and Evaluation Thresholds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Cross-Functional Agentic Orchestration Design</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and Product Manager Development</w:t>
            </w:r>
          </w:p>
          <w:p w14:paraId="5F8A4F75" w14:textId="F56F79B6"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and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FOUNDER &amp; PRINCIPAL ADVISOR</w:t>
      </w:r>
      <w:r>
        <w:rPr>
          <w:rStyle w:val="span"/>
          <w:rFonts w:ascii="Century Gothic" w:eastAsia="Century Gothic" w:hAnsi="Century Gothic" w:cs="Century Gothic"/>
          <w:color w:val="231F20"/>
          <w:sz w:val="18"/>
          <w:szCs w:val="18"/>
        </w:rPr>
        <w:t xml:space="preserve"> | 7/2025 - PRESENT</w:t>
      </w:r>
      <w:r>
        <w:rPr>
          <w:rStyle w:val="singlecolumnspanpaddedlinenth-child1"/>
          <w:rFonts w:ascii="Century Gothic" w:eastAsia="Century Gothic" w:hAnsi="Century Gothic" w:cs="Century Gothic"/>
          <w:color w:val="231F20"/>
          <w:sz w:val="18"/>
          <w:szCs w:val="18"/>
        </w:rPr>
        <w:t xml:space="preserve"> </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CP PRODUCT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decision systems, operating models, agentic architecture, and enterprise-ready platform infrastructure for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agentic orchestration and AI control plane (Operator Control Plane) with 65 specialized skills and 28 governed automations, using Claude and Cursor with explicit task ownership, audit trails, and human approval gates on production AI workflows</w:t>
      </w:r>
    </w:p>
    <w:p w14:paraId="E8C8BBE0" w14:textId="9C0D407D"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for AI and data platforms spanning customer data, identity, audience activation, content intelligence, production automation, and measurement, with enterprise readiness requirements embedded in delivery</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key performance indicator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Embedded GDPR, CCPA, and AI ethics requirements into the product development lifecycle so compliance became a scalable platform capability rather than a deal-by-deal exception process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Operator Control Plane (CP Product Advisory, 2025-2026):</w:t>
      </w:r>
      <w:r>
        <w:rPr>
          <w:rStyle w:val="Strong1"/>
          <w:rFonts w:ascii="Century Gothic" w:eastAsia="Century Gothic" w:hAnsi="Century Gothic" w:cs="Century Gothic"/>
          <w:color w:val="231F20"/>
          <w:sz w:val="18"/>
          <w:szCs w:val="18"/>
        </w:rPr>
        <w:t xml:space="preserve"> Built and operate an agentic orchestration and AI control plane with 65 specialized skills and 28 governed automations, using Claude and Cursor with explicit task ownership, audit trails, and human approval gates on production AI workflows.</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xml:space="preserve"> Directed the strategy and portfolio management for 13 AI products spanning creative intelligence, audience targeting, content production, and measurement across 100+ global markets, enabling privacy-safe consumer connections at enterprise scale</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xml:space="preserve">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As Head of Product Management overseeing a 24-product digital portfolio, led end-to-end product development for a consumer fitness app that hit 100K downloads in its first 24 hours, with sustained engagement and retention improvements post-launch.</w:t>
      </w:r>
    </w:p>
    <w:p w14:paraId="41B04134" w14:textId="921FC401"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xml:space="preserve">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Decision Systems and Key Performance Indicator Frameworks, Lineage and Reconciliation, Event Instrumentation, Snowflake, BigQuery, Audit-Ready Reporting</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AI/ML:</w:t>
      </w:r>
      <w:r>
        <w:rPr>
          <w:rStyle w:val="Strong1"/>
          <w:rFonts w:ascii="Century Gothic" w:eastAsia="Century Gothic" w:hAnsi="Century Gothic" w:cs="Century Gothic"/>
          <w:color w:val="231F20"/>
          <w:sz w:val="18"/>
          <w:szCs w:val="18"/>
        </w:rPr>
        <w:t xml:space="preserve"> Agentic Orchestration, AI Control Planes, AI/ML Platform Product, Generative AI Products, Evaluation and Trust Thresholds,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8" w:history="1">
        <w:r>
          <w:rPr>
            <w:rFonts w:ascii="Century Gothic" w:eastAsia="Century Gothic" w:hAnsi="Century Gothic" w:cs="Century Gothic"/>
            <w:sz w:val="18"/>
            <w:szCs w:val="18"/>
            <w:color w:val="231F20"/>
            <w:u w:val="single"/>
          </w:rPr>
          <w:t>linkedin.com/in/clinton-pracher</w:t>
        </w:r>
      </w:hyperlink>
    </w:p>
    <w:p w14:paraId="10000078" w14:textId="27017F0B" w:rsidR="00C97526" w:rsidRPr="00E173DA" w:rsidRDefault="00E173DA"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9" w:history="1">
        <w:r>
          <w:rPr>
            <w:rFonts w:ascii="Century Gothic" w:eastAsia="Century Gothic" w:hAnsi="Century Gothic" w:cs="Century Gothic"/>
            <w:sz w:val="18"/>
            <w:szCs w:val="18"/>
            <w:color w:val="231F20"/>
            <w:u w:val="single"/>
          </w:rPr>
          <w:t>clintonpracher.com</w:t>
        </w:r>
      </w:hyperlink>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26F39" w14:textId="77777777" w:rsidR="00D919C9" w:rsidRDefault="00D919C9">
      <w:pPr>
        <w:spacing w:line="240" w:lineRule="auto"/>
      </w:pPr>
      <w:r>
        <w:separator/>
      </w:r>
    </w:p>
  </w:endnote>
  <w:endnote w:type="continuationSeparator" w:id="0">
    <w:p w14:paraId="7B0E8492" w14:textId="77777777" w:rsidR="00D919C9" w:rsidRDefault="00D919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AB9ED009-E910-0F44-A61F-EA0A3A0946C9}"/>
  </w:font>
  <w:font w:name="Times New Roman">
    <w:panose1 w:val="02020603050405020304"/>
    <w:charset w:val="00"/>
    <w:family w:val="roman"/>
    <w:pitch w:val="variable"/>
    <w:sig w:usb0="E0002EFF" w:usb1="C000785B" w:usb2="00000009" w:usb3="00000000" w:csb0="000001FF" w:csb1="00000000"/>
    <w:embedRegular r:id="rId2" w:fontKey="{590FD95E-B1D1-6F46-90E7-3EF0E6EA7392}"/>
    <w:embedBold r:id="rId3" w:fontKey="{26AF5131-F1B2-4C4B-A70B-E6ABA97A6F37}"/>
    <w:embedItalic r:id="rId4" w:fontKey="{2FA12D66-7171-DE4E-99DC-E6CAB4E1F401}"/>
    <w:embedBoldItalic r:id="rId5" w:fontKey="{C9365BE4-E8BC-0C4D-BDD6-D1E5B10D919D}"/>
  </w:font>
  <w:font w:name="Courier New">
    <w:panose1 w:val="02070309020205020404"/>
    <w:charset w:val="00"/>
    <w:family w:val="modern"/>
    <w:pitch w:val="fixed"/>
    <w:sig w:usb0="E0002AFF" w:usb1="C0007843" w:usb2="00000009" w:usb3="00000000" w:csb0="000001FF" w:csb1="00000000"/>
    <w:embedRegular r:id="rId6" w:fontKey="{46639375-51D8-B14F-B9E9-AB5BC5B91A6F}"/>
  </w:font>
  <w:font w:name="Wingdings">
    <w:panose1 w:val="05000000000000000000"/>
    <w:charset w:val="4D"/>
    <w:family w:val="decorative"/>
    <w:pitch w:val="variable"/>
    <w:sig w:usb0="00000003" w:usb1="00000000" w:usb2="00000000" w:usb3="00000000" w:csb0="80000001" w:csb1="00000000"/>
    <w:embedRegular r:id="rId7" w:fontKey="{9453009B-6FF5-954D-89FB-B8E07C73EBA0}"/>
  </w:font>
  <w:font w:name="Century Gothic">
    <w:panose1 w:val="020B0502020202020204"/>
    <w:charset w:val="00"/>
    <w:family w:val="swiss"/>
    <w:pitch w:val="variable"/>
    <w:sig w:usb0="00000287" w:usb1="00000000" w:usb2="00000000" w:usb3="00000000" w:csb0="0000009F" w:csb1="00000000"/>
    <w:embedRegular r:id="rId8" w:fontKey="{B7D28133-C0F3-804C-A306-77C9BC4ED58D}"/>
    <w:embedBold r:id="rId9" w:fontKey="{40B1E787-1A10-CC42-A8A4-14C82CE21E5D}"/>
  </w:font>
  <w:font w:name="Arial">
    <w:panose1 w:val="020B0604020202020204"/>
    <w:charset w:val="00"/>
    <w:family w:val="swiss"/>
    <w:pitch w:val="variable"/>
    <w:sig w:usb0="E0002AFF" w:usb1="C0007843" w:usb2="00000009" w:usb3="00000000" w:csb0="000001FF" w:csb1="00000000"/>
    <w:embedRegular r:id="rId10" w:fontKey="{B4638987-C816-7A4B-BCFF-88F6318DE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DF43A2" w14:textId="77777777" w:rsidR="00D919C9" w:rsidRDefault="00D919C9">
      <w:pPr>
        <w:spacing w:line="240" w:lineRule="auto"/>
      </w:pPr>
      <w:r>
        <w:separator/>
      </w:r>
    </w:p>
  </w:footnote>
  <w:footnote w:type="continuationSeparator" w:id="0">
    <w:p w14:paraId="3BDDDCA8" w14:textId="77777777" w:rsidR="00D919C9" w:rsidRDefault="00D919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950D6"/>
    <w:rsid w:val="001A27C3"/>
    <w:rsid w:val="001A2EAB"/>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919C9"/>
    <w:rsid w:val="00DA03D9"/>
    <w:rsid w:val="00DA31EB"/>
    <w:rsid w:val="00DA4748"/>
    <w:rsid w:val="00DB60AC"/>
    <w:rsid w:val="00DC370F"/>
    <w:rsid w:val="00DD1FB4"/>
    <w:rsid w:val="00DE6847"/>
    <w:rsid w:val="00DF0DA4"/>
    <w:rsid w:val="00E04D50"/>
    <w:rsid w:val="00E04EB2"/>
    <w:rsid w:val="00E10DF8"/>
    <w:rsid w:val="00E173DA"/>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sz w:val="18"/>
        <w:szCs w:val="18"/>
        <w:sz w:val="18"/>
        <w:szCs w:val="18"/>
        <w:sz w:val="18"/>
        <w:szCs w:val="18"/>
        <w:sz w:val="18"/>
        <w:szCs w:val="18"/>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rFonts w:ascii="Century Gothic" w:eastAsia="Century Gothic" w:hAnsi="Century Gothic" w:cs="Century Gothic"/>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rPr>
      <w:sz w:val="18"/>
      <w:szCs w:val="18"/>
      <w:rFonts w:ascii="Century Gothic" w:eastAsia="Century Gothic" w:hAnsi="Century Gothic" w:cs="Century Gothic"/>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entury Gothic" w:eastAsia="Century Gothic" w:hAnsi="Century Gothic" w:cs="Century Gothic"/>
      <w:color w:val="2F5496"/>
      <w:sz w:val="32"/>
      <w:szCs w:val="32"/>
    </w:rPr>
  </w:style>
  <w:style w:type="character" w:customStyle="1" w:styleId="Heading2Char">
    <w:name w:val="Heading 2 Char"/>
    <w:basedOn w:val="DefaultParagraphFont"/>
    <w:link w:val="Heading2"/>
    <w:uiPriority w:val="9"/>
    <w:rsid w:val="00506D7A"/>
    <w:rPr>
      <w:rFonts w:ascii="Century Gothic" w:eastAsia="Century Gothic" w:hAnsi="Century Gothic" w:cs="Century Gothic"/>
      <w:color w:val="2F5496"/>
      <w:sz w:val="26"/>
      <w:szCs w:val="26"/>
    </w:rPr>
  </w:style>
  <w:style w:type="character" w:customStyle="1" w:styleId="Heading3Char">
    <w:name w:val="Heading 3 Char"/>
    <w:basedOn w:val="DefaultParagraphFont"/>
    <w:link w:val="Heading3"/>
    <w:uiPriority w:val="9"/>
    <w:rsid w:val="00506D7A"/>
    <w:rPr>
      <w:rFonts w:ascii="Century Gothic" w:eastAsia="Century Gothic" w:hAnsi="Century Gothic" w:cs="Century Gothic"/>
      <w:color w:val="1F3763"/>
      <w:sz w:val="24"/>
      <w:szCs w:val="24"/>
    </w:rPr>
  </w:style>
  <w:style w:type="character" w:customStyle="1" w:styleId="Heading4Char">
    <w:name w:val="Heading 4 Char"/>
    <w:basedOn w:val="DefaultParagraphFont"/>
    <w:link w:val="Heading4"/>
    <w:uiPriority w:val="9"/>
    <w:rsid w:val="00506D7A"/>
    <w:rPr>
      <w:rFonts w:ascii="Century Gothic" w:eastAsia="Century Gothic" w:hAnsi="Century Gothic" w:cs="Century Gothic"/>
      <w:i/>
      <w:iCs/>
      <w:color w:val="2F5496"/>
    </w:rPr>
  </w:style>
  <w:style w:type="character" w:customStyle="1" w:styleId="Heading5Char">
    <w:name w:val="Heading 5 Char"/>
    <w:basedOn w:val="DefaultParagraphFont"/>
    <w:link w:val="Heading5"/>
    <w:uiPriority w:val="9"/>
    <w:rsid w:val="00506D7A"/>
    <w:rPr>
      <w:rFonts w:ascii="Century Gothic" w:eastAsia="Century Gothic" w:hAnsi="Century Gothic" w:cs="Century Gothic"/>
      <w:color w:val="2F5496"/>
    </w:rPr>
  </w:style>
  <w:style w:type="character" w:customStyle="1" w:styleId="Heading6Char">
    <w:name w:val="Heading 6 Char"/>
    <w:basedOn w:val="DefaultParagraphFont"/>
    <w:link w:val="Heading6"/>
    <w:uiPriority w:val="9"/>
    <w:rsid w:val="00506D7A"/>
    <w:rPr>
      <w:rFonts w:ascii="Century Gothic" w:eastAsia="Century Gothic" w:hAnsi="Century Gothic" w:cs="Century Gothic"/>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uiPriority w:val="99"/>
    <w:unhideWhenUsed/>
    <w:rsid w:val="00D55029"/>
    <w:rPr>
      <w:sz w:val="18"/>
      <w:szCs w:val="18"/>
      <w:rFonts w:ascii="Century Gothic" w:eastAsia="Century Gothic" w:hAnsi="Century Gothic" w:cs="Century Gothic"/>
      <w:color w:val="0000FF"/>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uiPriority w:val="99"/>
    <w:semiHidden/>
    <w:unhideWhenUsed/>
    <w:rsid w:val="000309FA"/>
    <w:rPr>
      <w:sz w:val="18"/>
      <w:szCs w:val="18"/>
      <w:rFonts w:ascii="Century Gothic" w:eastAsia="Century Gothic" w:hAnsi="Century Gothic" w:cs="Century Gothic"/>
      <w:color w:val="800080"/>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ntonpracher.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hyperlink" Target="tel:+17027720242" TargetMode="External"/><Relationship Id="rId18" Type="http://schemas.openxmlformats.org/officeDocument/2006/relationships/hyperlink" Target="mailto:clintonpracher@gmail.com" TargetMode="External"/><Relationship Id="rId19" Type="http://schemas.openxmlformats.org/officeDocument/2006/relationships/hyperlink" Target="https://clintonpracher.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1823</Words>
  <Characters>11990</Characters>
  <Application>Microsoft Office Word</Application>
  <DocSecurity>0</DocSecurity>
  <Lines>195</Lines>
  <Paragraphs>89</Paragraphs>
  <ScaleCrop>false</ScaleCrop>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2</cp:revision>
  <cp:lastPrinted>2026-08-10T19:59:00Z</cp:lastPrinted>
  <dcterms:created xsi:type="dcterms:W3CDTF">2026-08-10T19:59:00Z</dcterms:created>
  <dcterms:modified xsi:type="dcterms:W3CDTF">2026-08-10T19:59:00Z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