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01878" w14:textId="77777777" w:rsidR="00AB7D6E" w:rsidRDefault="00AB7D6E" w:rsidP="00AB7D6E">
      <w:pPr>
        <w:pStyle w:val="Heading1"/>
      </w:pPr>
      <w:r w:rsidRPr="002133D4">
        <w:t xml:space="preserve">BIBLIOGRAPHY GENERAL  SYSTEMATICS  </w:t>
      </w:r>
    </w:p>
    <w:p w14:paraId="59677FCB" w14:textId="77777777" w:rsidR="00AB7D6E" w:rsidRPr="00FE381B" w:rsidRDefault="00AB7D6E" w:rsidP="00AB7D6E"/>
    <w:p w14:paraId="729E8488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Bayard, Donn T. </w:t>
      </w:r>
    </w:p>
    <w:p w14:paraId="464F43ED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1969 </w:t>
      </w:r>
      <w:r>
        <w:rPr>
          <w:rFonts w:ascii="inherit" w:hAnsi="inherit"/>
          <w:sz w:val="24"/>
          <w:szCs w:val="24"/>
        </w:rPr>
        <w:tab/>
        <w:t>“</w:t>
      </w:r>
      <w:r w:rsidRPr="002133D4">
        <w:rPr>
          <w:rFonts w:ascii="inherit" w:hAnsi="inherit"/>
          <w:sz w:val="24"/>
          <w:szCs w:val="24"/>
        </w:rPr>
        <w:t>Science, theory, and reality in the 'New Archaeology.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' American Antiquity, 34(4): 376--384. Binford, Lewis R. 1968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Archeological perspectives.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Sally R. and Lewis R. Binford, ed., New Perspectives in Archeology. Chicago: Aldine. Pp. 5-32. Brodbeck, May </w:t>
      </w:r>
    </w:p>
    <w:p w14:paraId="69EDB1F0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1962 </w:t>
      </w:r>
      <w:r w:rsidRPr="002133D4">
        <w:rPr>
          <w:rFonts w:ascii="inherit" w:hAnsi="inherit"/>
          <w:sz w:val="24"/>
          <w:szCs w:val="24"/>
        </w:rPr>
        <w:tab/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Explanation, prediction, and 'imperfect knowledge.'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 xml:space="preserve"> In May Brodbeck, ed., Readings in the Philosophy of the Social Sciences, 1968. London: Macmillan. Pp. 363-398. </w:t>
      </w:r>
    </w:p>
    <w:p w14:paraId="5ED03208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Caldwell, Joseph R. </w:t>
      </w:r>
    </w:p>
    <w:p w14:paraId="741C41AF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1959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The new American archaeology.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Science, 129 (3345): 303-307. Clarke, David L. 1968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Introduction and polemic.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Analytical Archaeology. London: Methuen. Pp. 3-42. Conklin, Harold C. 1964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Ethnogenealogical method.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Ward Goodenough, ed., Explorations in Cultural Anthropology: Essays </w:t>
      </w:r>
      <w:r>
        <w:rPr>
          <w:rFonts w:ascii="inherit" w:hAnsi="inherit"/>
          <w:i/>
          <w:sz w:val="24"/>
          <w:szCs w:val="24"/>
        </w:rPr>
        <w:t xml:space="preserve"> </w:t>
      </w:r>
      <w:r w:rsidRPr="002133D4">
        <w:rPr>
          <w:rFonts w:ascii="inherit" w:hAnsi="inherit"/>
          <w:sz w:val="24"/>
          <w:szCs w:val="24"/>
        </w:rPr>
        <w:t xml:space="preserve">in Honor of George Peter Murdock. New York: McGraw-Hill. Pp. 25-55. </w:t>
      </w:r>
    </w:p>
    <w:p w14:paraId="7B10BC2C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Gregg, John R. </w:t>
      </w:r>
    </w:p>
    <w:p w14:paraId="4C0FEFE0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1964 </w:t>
      </w:r>
      <w:r w:rsidRPr="002133D4">
        <w:rPr>
          <w:rFonts w:ascii="inherit" w:hAnsi="inherit"/>
          <w:sz w:val="24"/>
          <w:szCs w:val="24"/>
        </w:rPr>
        <w:tab/>
        <w:t xml:space="preserve">The Language of Taxonomy: An Application of Symbolic Logic to the Study of Classificatory Systems. New York: Columbia University Press. </w:t>
      </w:r>
    </w:p>
    <w:p w14:paraId="1A724303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Hempel, Carl G. </w:t>
      </w:r>
    </w:p>
    <w:p w14:paraId="2C818D61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>1965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Fundamentals of taxonomy.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Aspects of Scientific Explanation and Other Essays in the Philosophy of Science. New York: The Free Press. Pp. 137-154. 1965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Typological methods in the natural and social sciences.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Aspects of Scientific Explanation and Other Essays in the Philosophy of Science. New York: The Free Press. Pp. 155-171. </w:t>
      </w:r>
    </w:p>
    <w:p w14:paraId="01197A10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Kluckhohn, Clyde </w:t>
      </w:r>
    </w:p>
    <w:p w14:paraId="496C77A7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1960 </w:t>
      </w:r>
      <w:r w:rsidRPr="002133D4">
        <w:rPr>
          <w:rFonts w:ascii="inherit" w:hAnsi="inherit"/>
          <w:sz w:val="24"/>
          <w:szCs w:val="24"/>
        </w:rPr>
        <w:tab/>
        <w:t>''The use of typology in anthropological theory.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Anthony F. C. Wallace, ed., Selected Papers of the Fifth International Congress of Anthropological and Ethnological Sciences. Philadelphia: University of Pennsylvania Press. Pp. 134-140. </w:t>
      </w:r>
    </w:p>
    <w:p w14:paraId="61371237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Kroeber, A. L. </w:t>
      </w:r>
    </w:p>
    <w:p w14:paraId="18C2B767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1940 </w:t>
      </w:r>
      <w:r>
        <w:rPr>
          <w:rFonts w:ascii="inherit" w:hAnsi="inherit"/>
          <w:sz w:val="24"/>
          <w:szCs w:val="24"/>
        </w:rPr>
        <w:tab/>
        <w:t>“</w:t>
      </w:r>
      <w:r w:rsidRPr="002133D4">
        <w:rPr>
          <w:rFonts w:ascii="inherit" w:hAnsi="inherit"/>
          <w:sz w:val="24"/>
          <w:szCs w:val="24"/>
        </w:rPr>
        <w:t>Statistical classification.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Antiquity, 6(1);29-44. Lounsbury, Floyd G. 1964 ''The structural analysis of kinship semantics.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</w:t>
      </w:r>
      <w:r>
        <w:rPr>
          <w:rFonts w:ascii="inherit" w:hAnsi="inherit"/>
          <w:i/>
          <w:sz w:val="24"/>
          <w:szCs w:val="24"/>
        </w:rPr>
        <w:t xml:space="preserve"> </w:t>
      </w:r>
      <w:r w:rsidRPr="002133D4">
        <w:rPr>
          <w:rFonts w:ascii="inherit" w:hAnsi="inherit"/>
          <w:sz w:val="24"/>
          <w:szCs w:val="24"/>
        </w:rPr>
        <w:t xml:space="preserve">Proceedings of the Ninth International Congress of Linguists, Cambridge, Mass., 1962. The Hague: Mouton. Pp. 1073-1093. </w:t>
      </w:r>
    </w:p>
    <w:p w14:paraId="0102A1B8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Mayr, Ernst </w:t>
      </w:r>
    </w:p>
    <w:p w14:paraId="5D02C544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1961 </w:t>
      </w:r>
      <w:r>
        <w:rPr>
          <w:rFonts w:ascii="inherit" w:hAnsi="inherit"/>
          <w:sz w:val="24"/>
          <w:szCs w:val="24"/>
        </w:rPr>
        <w:tab/>
        <w:t>“</w:t>
      </w:r>
      <w:r w:rsidRPr="002133D4">
        <w:rPr>
          <w:rFonts w:ascii="inherit" w:hAnsi="inherit"/>
          <w:sz w:val="24"/>
          <w:szCs w:val="24"/>
        </w:rPr>
        <w:t>Cause and effect in biology.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Science, 134:1501.1506. Meehan, Eugene J 1968 Explanation in Social Science: A System Paradigm. Homewood (Illinois): The Dorsey Press. Meggers, Betty J. 1955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The coming of age of American archaeology.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</w:t>
      </w:r>
      <w:r>
        <w:rPr>
          <w:rFonts w:ascii="inherit" w:hAnsi="inherit"/>
          <w:i/>
          <w:sz w:val="24"/>
          <w:szCs w:val="24"/>
        </w:rPr>
        <w:t xml:space="preserve"> </w:t>
      </w:r>
      <w:r w:rsidRPr="002133D4">
        <w:rPr>
          <w:rFonts w:ascii="inherit" w:hAnsi="inherit"/>
          <w:sz w:val="24"/>
          <w:szCs w:val="24"/>
        </w:rPr>
        <w:t xml:space="preserve">New Interpretations of Aboriginal American Culture, 75th Anniversary Volume of the Anthropological Society of Washington. Washington, D.C. Pp. 116--129. </w:t>
      </w:r>
    </w:p>
    <w:p w14:paraId="4E56AF19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Morris, Charles W. </w:t>
      </w:r>
    </w:p>
    <w:p w14:paraId="6E883EE0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1938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Foundations of the Theory of Signs. Foundations of the Unity of Science, </w:t>
      </w:r>
      <w:r w:rsidRPr="002133D4">
        <w:rPr>
          <w:rFonts w:ascii="inherit" w:hAnsi="inherit"/>
          <w:sz w:val="24"/>
          <w:szCs w:val="24"/>
        </w:rPr>
        <w:lastRenderedPageBreak/>
        <w:t xml:space="preserve">International Encyclopedia of Unified Science, 1(2). Chicago: University of Chicago. </w:t>
      </w:r>
    </w:p>
    <w:p w14:paraId="7BE10DAF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Osborne, Douglas </w:t>
      </w:r>
    </w:p>
    <w:p w14:paraId="03D6EB96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1968 </w:t>
      </w:r>
      <w:r>
        <w:rPr>
          <w:rFonts w:ascii="inherit" w:hAnsi="inherit"/>
          <w:sz w:val="24"/>
          <w:szCs w:val="24"/>
        </w:rPr>
        <w:tab/>
        <w:t>“</w:t>
      </w:r>
      <w:r w:rsidRPr="002133D4">
        <w:rPr>
          <w:rFonts w:ascii="inherit" w:hAnsi="inherit"/>
          <w:sz w:val="24"/>
          <w:szCs w:val="24"/>
        </w:rPr>
        <w:t>Jargon, jabber, and long, long words.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Antiquity, 33(3) :382-383. Osgood, Cornelius 1951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Culture: its empirical and non-empirical character.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Southwestern Journal of Anthropology, 7:202.</w:t>
      </w:r>
    </w:p>
    <w:p w14:paraId="67189A74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Service, Elman R. </w:t>
      </w:r>
    </w:p>
    <w:p w14:paraId="35EA407D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>1969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 ''Models for the methodology of mouth-talk.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Southwestern Journal of Anthropology, 25( 1):68-80. Simpson, George Gaylord 1961 Principles of Animal Taxonomy. New York: Columbia University Press. Sokal, Robert R. 1966 Numerical taxonomy. Scientific American, 215(6): 107-117. </w:t>
      </w:r>
    </w:p>
    <w:p w14:paraId="76B8C7E9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Sokal, Robert R., </w:t>
      </w:r>
      <w:r w:rsidRPr="002133D4">
        <w:rPr>
          <w:rFonts w:ascii="inherit" w:hAnsi="inherit"/>
          <w:sz w:val="24"/>
          <w:szCs w:val="24"/>
        </w:rPr>
        <w:t xml:space="preserve">and P. H. A. Sneath </w:t>
      </w:r>
    </w:p>
    <w:p w14:paraId="29DA20F2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1963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Principles of Numerical Taxonomy. San Francisco: W. H. Freeman. Spaulding, Albert C. 1953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 xml:space="preserve">Statistical techniques for the discovery of artifact </w:t>
      </w:r>
      <w:r>
        <w:rPr>
          <w:rFonts w:ascii="inherit" w:hAnsi="inherit"/>
          <w:sz w:val="24"/>
          <w:szCs w:val="24"/>
        </w:rPr>
        <w:t>types.” American Antiquity, 18(</w:t>
      </w:r>
      <w:r w:rsidRPr="002133D4">
        <w:rPr>
          <w:rFonts w:ascii="inherit" w:hAnsi="inherit"/>
          <w:sz w:val="24"/>
          <w:szCs w:val="24"/>
        </w:rPr>
        <w:t xml:space="preserve">4):305-313. </w:t>
      </w:r>
    </w:p>
    <w:p w14:paraId="302E9B96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1968 </w:t>
      </w:r>
      <w:r w:rsidRPr="002133D4">
        <w:rPr>
          <w:rFonts w:ascii="inherit" w:hAnsi="inherit"/>
          <w:sz w:val="24"/>
          <w:szCs w:val="24"/>
        </w:rPr>
        <w:tab/>
        <w:t xml:space="preserve">Explanation in archeology. In Sally R. and Lewis R. Binford, ed., New Perspectives in Archeology. Chicago: Aldine. Pp. 33-39. </w:t>
      </w:r>
    </w:p>
    <w:p w14:paraId="0713A1C3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Sturtevant, William C. </w:t>
      </w:r>
    </w:p>
    <w:p w14:paraId="17316845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1964 </w:t>
      </w:r>
      <w:r w:rsidRPr="002133D4">
        <w:rPr>
          <w:rFonts w:ascii="inherit" w:hAnsi="inherit"/>
          <w:sz w:val="24"/>
          <w:szCs w:val="24"/>
        </w:rPr>
        <w:tab/>
        <w:t xml:space="preserve">Studies in Ethnoscience. In A. Kimball Romney and Roy Goodwin D'Andrade, ed., Transcultural Studies in Cognition. American Anthropologist, 66(3) part 2 :99-131. </w:t>
      </w:r>
    </w:p>
    <w:p w14:paraId="5D79DBE8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</w:p>
    <w:p w14:paraId="26F64001" w14:textId="77777777" w:rsidR="00AB7D6E" w:rsidRDefault="00AB7D6E" w:rsidP="00AB7D6E">
      <w:pPr>
        <w:widowControl/>
        <w:spacing w:after="200"/>
        <w:rPr>
          <w:rFonts w:ascii="inherit" w:hAnsi="inherit"/>
          <w:szCs w:val="24"/>
        </w:rPr>
      </w:pPr>
      <w:r>
        <w:rPr>
          <w:rFonts w:ascii="inherit" w:hAnsi="inherit"/>
          <w:szCs w:val="24"/>
        </w:rPr>
        <w:br w:type="page"/>
      </w:r>
    </w:p>
    <w:p w14:paraId="50022F58" w14:textId="77777777" w:rsidR="00AB7D6E" w:rsidRDefault="00AB7D6E" w:rsidP="00AB7D6E">
      <w:pPr>
        <w:pStyle w:val="Heading1"/>
      </w:pPr>
      <w:r>
        <w:t xml:space="preserve">BIBLIOGRAPHY:  SYSTEMATICS IN </w:t>
      </w:r>
      <w:r w:rsidRPr="002133D4">
        <w:t xml:space="preserve">PREHisTORY  </w:t>
      </w:r>
    </w:p>
    <w:p w14:paraId="7EDF19A8" w14:textId="77777777" w:rsidR="00AB7D6E" w:rsidRPr="00FE381B" w:rsidRDefault="00AB7D6E" w:rsidP="00AB7D6E"/>
    <w:p w14:paraId="4FE8484D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Benfer, Robert A. </w:t>
      </w:r>
    </w:p>
    <w:p w14:paraId="1D2A9EFF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>1967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A design for the study of archaeological characteristics.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Anthropologist, 69(6) :719-730. Brew, J. 0. </w:t>
      </w:r>
    </w:p>
    <w:p w14:paraId="07225B21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1946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>''The use and abuse of taxonomy.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Archaeology of Alkali Ridge. Papers of the Peabody Museum of Archaeology and Ethnology, Harvard University, No. </w:t>
      </w:r>
      <w:r>
        <w:rPr>
          <w:rFonts w:ascii="inherit" w:hAnsi="inherit"/>
          <w:i/>
          <w:sz w:val="24"/>
          <w:szCs w:val="24"/>
        </w:rPr>
        <w:t xml:space="preserve"> </w:t>
      </w:r>
      <w:r w:rsidRPr="002133D4">
        <w:rPr>
          <w:rFonts w:ascii="inherit" w:hAnsi="inherit"/>
          <w:sz w:val="24"/>
          <w:szCs w:val="24"/>
        </w:rPr>
        <w:t xml:space="preserve">24. Pp. 44-66. </w:t>
      </w:r>
    </w:p>
    <w:p w14:paraId="4C0EC732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Chang, Kwang-Chih </w:t>
      </w:r>
    </w:p>
    <w:p w14:paraId="6DFCAA92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1967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Rethinking Archaeology. New York: Random House. 1968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Toward a science of prehistoric society.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K. C. Chang, ed., Settlement Archaeology. Palo Alto: Nat</w:t>
      </w:r>
      <w:r>
        <w:rPr>
          <w:rFonts w:ascii="inherit" w:hAnsi="inherit"/>
          <w:sz w:val="24"/>
          <w:szCs w:val="24"/>
        </w:rPr>
        <w:t>ional Press. Pp. 1-9.</w:t>
      </w:r>
    </w:p>
    <w:p w14:paraId="112881FA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Deetz, James</w:t>
      </w:r>
    </w:p>
    <w:p w14:paraId="5A0F0CB1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1967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Invitation to Archaeology. Garden City: Natural History Press. Doran, James 1969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Systems theory, computer simulations and archaeology.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World Archaeology, 1(3):289-298. </w:t>
      </w:r>
    </w:p>
    <w:p w14:paraId="0E66B6F9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Driver, Harold E. </w:t>
      </w:r>
    </w:p>
    <w:p w14:paraId="15862BAD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1965 </w:t>
      </w:r>
      <w:r>
        <w:rPr>
          <w:rFonts w:ascii="inherit" w:hAnsi="inherit"/>
          <w:sz w:val="24"/>
          <w:szCs w:val="24"/>
        </w:rPr>
        <w:tab/>
        <w:t>“</w:t>
      </w:r>
      <w:r w:rsidRPr="002133D4">
        <w:rPr>
          <w:rFonts w:ascii="inherit" w:hAnsi="inherit"/>
          <w:sz w:val="24"/>
          <w:szCs w:val="24"/>
        </w:rPr>
        <w:t>Survey of numerical classification in anthropology.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Dell Hymes, ed., The Use of Computers in Anthropology (Studies in General Anthropology), </w:t>
      </w:r>
      <w:r>
        <w:rPr>
          <w:rFonts w:ascii="inherit" w:hAnsi="inherit"/>
          <w:i/>
          <w:sz w:val="24"/>
          <w:szCs w:val="24"/>
        </w:rPr>
        <w:t xml:space="preserve"> </w:t>
      </w:r>
      <w:r w:rsidRPr="002133D4">
        <w:rPr>
          <w:rFonts w:ascii="inherit" w:hAnsi="inherit"/>
          <w:sz w:val="24"/>
          <w:szCs w:val="24"/>
        </w:rPr>
        <w:t xml:space="preserve">2:301-344. </w:t>
      </w:r>
    </w:p>
    <w:p w14:paraId="57464EAF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>Dunnell, Robert C.</w:t>
      </w:r>
    </w:p>
    <w:p w14:paraId="3F456A50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 1970 </w:t>
      </w:r>
      <w:r>
        <w:rPr>
          <w:rFonts w:ascii="inherit" w:hAnsi="inherit"/>
          <w:sz w:val="24"/>
          <w:szCs w:val="24"/>
        </w:rPr>
        <w:tab/>
        <w:t>“</w:t>
      </w:r>
      <w:r w:rsidRPr="002133D4">
        <w:rPr>
          <w:rFonts w:ascii="inherit" w:hAnsi="inherit"/>
          <w:sz w:val="24"/>
          <w:szCs w:val="24"/>
        </w:rPr>
        <w:t>Seriation method and its evaluation.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Antiquity, 35(3):305-319. </w:t>
      </w:r>
    </w:p>
    <w:p w14:paraId="650C57A0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1971 </w:t>
      </w:r>
      <w:r w:rsidRPr="002133D4">
        <w:rPr>
          <w:rFonts w:ascii="inherit" w:hAnsi="inherit"/>
          <w:sz w:val="24"/>
          <w:szCs w:val="24"/>
        </w:rPr>
        <w:tab/>
        <w:t>Comment on Sabloff and Smith's ''The importance of both analytic and taxonomic classification in the type-variety system.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 36(1): 115-118. </w:t>
      </w:r>
    </w:p>
    <w:p w14:paraId="258A89CA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Ford, James A. </w:t>
      </w:r>
    </w:p>
    <w:p w14:paraId="4ED4DD1A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1954a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Comment on A. C. Spaulding,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Statistical techniques for the discovery of artifact types.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Antiquity, 19(4): 390-391. </w:t>
      </w:r>
    </w:p>
    <w:p w14:paraId="57331CAA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1954b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>''The type concept revisited.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Anthropologist, 56 ( 1): 42-54. </w:t>
      </w:r>
    </w:p>
    <w:p w14:paraId="5EDF8703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Gifford, James C.</w:t>
      </w:r>
    </w:p>
    <w:p w14:paraId="404B7573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1960 </w:t>
      </w:r>
      <w:r>
        <w:rPr>
          <w:rFonts w:ascii="inherit" w:hAnsi="inherit"/>
          <w:sz w:val="24"/>
          <w:szCs w:val="24"/>
        </w:rPr>
        <w:tab/>
        <w:t>“</w:t>
      </w:r>
      <w:r w:rsidRPr="002133D4">
        <w:rPr>
          <w:rFonts w:ascii="inherit" w:hAnsi="inherit"/>
          <w:sz w:val="24"/>
          <w:szCs w:val="24"/>
        </w:rPr>
        <w:t>Type-variety method.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Antiquity, 25(3): 341-347. </w:t>
      </w:r>
    </w:p>
    <w:p w14:paraId="29E5A42E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Krieger, Alex D. </w:t>
      </w:r>
    </w:p>
    <w:p w14:paraId="69D845A9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1944 </w:t>
      </w:r>
      <w:r>
        <w:rPr>
          <w:rFonts w:ascii="inherit" w:hAnsi="inherit"/>
          <w:sz w:val="24"/>
          <w:szCs w:val="24"/>
        </w:rPr>
        <w:tab/>
        <w:t>“</w:t>
      </w:r>
      <w:r w:rsidRPr="002133D4">
        <w:rPr>
          <w:rFonts w:ascii="inherit" w:hAnsi="inherit"/>
          <w:sz w:val="24"/>
          <w:szCs w:val="24"/>
        </w:rPr>
        <w:t>The typological method.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Antiquity, 9( 3): 271-288. </w:t>
      </w:r>
    </w:p>
    <w:p w14:paraId="28F55324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Kroeber, A. L. </w:t>
      </w:r>
    </w:p>
    <w:p w14:paraId="66835163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1940 </w:t>
      </w:r>
      <w:r>
        <w:rPr>
          <w:rFonts w:ascii="inherit" w:hAnsi="inherit"/>
          <w:sz w:val="24"/>
          <w:szCs w:val="24"/>
        </w:rPr>
        <w:tab/>
        <w:t>“</w:t>
      </w:r>
      <w:r w:rsidRPr="002133D4">
        <w:rPr>
          <w:rFonts w:ascii="inherit" w:hAnsi="inherit"/>
          <w:sz w:val="24"/>
          <w:szCs w:val="24"/>
        </w:rPr>
        <w:t>Statistical classification.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Antiquity, 6 (1 ) : 29--44.</w:t>
      </w:r>
    </w:p>
    <w:p w14:paraId="56D61D7A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 Kroeber, A. L., and C. Kluckhohn </w:t>
      </w:r>
    </w:p>
    <w:p w14:paraId="6F35BB57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1952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Culture: A Critical Review of Concepts and Definitions. Papers of the Peabody Museum of American Archaeology and Ethnology, Harvard University, Vol. 47. </w:t>
      </w:r>
    </w:p>
    <w:p w14:paraId="7B60F9A1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McKern, William C. </w:t>
      </w:r>
    </w:p>
    <w:p w14:paraId="52558D99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>1939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 ''The Mid-western taxonomic method as an aid to archaeological study.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Antiquity, 4( 4): 301-313. </w:t>
      </w:r>
    </w:p>
    <w:p w14:paraId="37260704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Rands, Robert L. </w:t>
      </w:r>
    </w:p>
    <w:p w14:paraId="48E7F586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1961 </w:t>
      </w:r>
      <w:r>
        <w:rPr>
          <w:rFonts w:ascii="inherit" w:hAnsi="inherit"/>
          <w:sz w:val="24"/>
          <w:szCs w:val="24"/>
        </w:rPr>
        <w:tab/>
        <w:t>“</w:t>
      </w:r>
      <w:r w:rsidRPr="002133D4">
        <w:rPr>
          <w:rFonts w:ascii="inherit" w:hAnsi="inherit"/>
          <w:sz w:val="24"/>
          <w:szCs w:val="24"/>
        </w:rPr>
        <w:t>Elaboration and invention in ceramic traditions.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Antiquity, 26(3): 331-340. Rouse, Irving 1939 Prehistory in Haiti: A Study in Method. Yale University Publications in Anthropology, No. 21. </w:t>
      </w:r>
    </w:p>
    <w:p w14:paraId="05C3040E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>1955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On the correlation of phases of culture.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Anthropologist, 57( 4) :713-722. </w:t>
      </w:r>
    </w:p>
    <w:p w14:paraId="257F2F8E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1960 </w:t>
      </w:r>
      <w:r>
        <w:rPr>
          <w:rFonts w:ascii="inherit" w:hAnsi="inherit"/>
          <w:sz w:val="24"/>
          <w:szCs w:val="24"/>
        </w:rPr>
        <w:t>“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>The classification of artifacts in archaeology.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Antiquity, 25(3) :313-323. </w:t>
      </w:r>
    </w:p>
    <w:p w14:paraId="1B502358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>1968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Prehistory, typology, and the study of society.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K. C. Chang, ed., Settlement Archaeology. Palo Alto: National Press. Pp. 10-30. Sabloff, Jeremy A., and Robert E. Smith </w:t>
      </w:r>
    </w:p>
    <w:p w14:paraId="6C68A8C1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1969 </w:t>
      </w:r>
      <w:r w:rsidRPr="002133D4">
        <w:rPr>
          <w:rFonts w:ascii="inherit" w:hAnsi="inherit"/>
          <w:sz w:val="24"/>
          <w:szCs w:val="24"/>
        </w:rPr>
        <w:tab/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The importance of both analytic and taxonomic classification in the type-variety system.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Antiquity, 34(3):278-285. </w:t>
      </w:r>
    </w:p>
    <w:p w14:paraId="061EE063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Sackett, James R. </w:t>
      </w:r>
    </w:p>
    <w:p w14:paraId="6992FB92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1966 </w:t>
      </w:r>
      <w:r>
        <w:rPr>
          <w:rFonts w:ascii="inherit" w:hAnsi="inherit"/>
          <w:sz w:val="24"/>
          <w:szCs w:val="24"/>
        </w:rPr>
        <w:tab/>
        <w:t>“</w:t>
      </w:r>
      <w:r w:rsidRPr="002133D4">
        <w:rPr>
          <w:rFonts w:ascii="inherit" w:hAnsi="inherit"/>
          <w:sz w:val="24"/>
          <w:szCs w:val="24"/>
        </w:rPr>
        <w:t>Quantitative analysis of Upper Paleolithic stone tools.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J. Desmond Clark and F. Clark Howell, ed., Recent Studies in Paleoanthropology. American Anthropologist, 68(2, Part 2) :356-394. </w:t>
      </w:r>
    </w:p>
    <w:p w14:paraId="46CA066D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Schwartz, Douglas W. </w:t>
      </w:r>
    </w:p>
    <w:p w14:paraId="4F655D23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1962 </w:t>
      </w:r>
      <w:r>
        <w:rPr>
          <w:rFonts w:ascii="inherit" w:hAnsi="inherit"/>
          <w:sz w:val="24"/>
          <w:szCs w:val="24"/>
        </w:rPr>
        <w:tab/>
        <w:t>“</w:t>
      </w:r>
      <w:r w:rsidRPr="002133D4">
        <w:rPr>
          <w:rFonts w:ascii="inherit" w:hAnsi="inherit"/>
          <w:sz w:val="24"/>
          <w:szCs w:val="24"/>
        </w:rPr>
        <w:t>A key to prehistoric Kentucky pottery.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Transactions of the Kentucky Academy of Science, 22(3-4) :82</w:t>
      </w:r>
      <w:r>
        <w:rPr>
          <w:rFonts w:ascii="inherit" w:hAnsi="inherit"/>
          <w:sz w:val="24"/>
          <w:szCs w:val="24"/>
        </w:rPr>
        <w:t>-</w:t>
      </w:r>
      <w:r w:rsidRPr="002133D4">
        <w:rPr>
          <w:rFonts w:ascii="inherit" w:hAnsi="inherit"/>
          <w:sz w:val="24"/>
          <w:szCs w:val="24"/>
        </w:rPr>
        <w:t xml:space="preserve">85. </w:t>
      </w:r>
    </w:p>
    <w:p w14:paraId="7EB2E3E0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Spaulding, Albert C. </w:t>
      </w:r>
    </w:p>
    <w:p w14:paraId="2FDCF240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1953 </w:t>
      </w:r>
      <w:r w:rsidRPr="002133D4">
        <w:rPr>
          <w:rFonts w:ascii="inherit" w:hAnsi="inherit"/>
          <w:sz w:val="24"/>
          <w:szCs w:val="24"/>
        </w:rPr>
        <w:tab/>
        <w:t xml:space="preserve">Review of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Measurements of some prehistoric design developments in the southeastern states,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by James </w:t>
      </w:r>
      <w:r>
        <w:rPr>
          <w:rFonts w:ascii="inherit" w:hAnsi="inherit"/>
          <w:i/>
          <w:sz w:val="24"/>
          <w:szCs w:val="24"/>
        </w:rPr>
        <w:t xml:space="preserve"> </w:t>
      </w:r>
      <w:r w:rsidRPr="002133D4">
        <w:rPr>
          <w:rFonts w:ascii="inherit" w:hAnsi="inherit"/>
          <w:sz w:val="24"/>
          <w:szCs w:val="24"/>
        </w:rPr>
        <w:t xml:space="preserve">A. Ford. American Anthropologist, 55(4):588-591. 1953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 xml:space="preserve">Statistical techniques for the discovery of artifact </w:t>
      </w:r>
      <w:r>
        <w:rPr>
          <w:rFonts w:ascii="inherit" w:hAnsi="inherit"/>
          <w:sz w:val="24"/>
          <w:szCs w:val="24"/>
        </w:rPr>
        <w:t>t</w:t>
      </w:r>
      <w:r w:rsidRPr="002133D4">
        <w:rPr>
          <w:rFonts w:ascii="inherit" w:hAnsi="inherit"/>
          <w:sz w:val="24"/>
          <w:szCs w:val="24"/>
        </w:rPr>
        <w:t>ypes.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Antiquity, 18(4) :305-313. </w:t>
      </w:r>
    </w:p>
    <w:p w14:paraId="4A464E0D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1954 </w:t>
      </w:r>
      <w:r>
        <w:rPr>
          <w:rFonts w:ascii="inherit" w:hAnsi="inherit"/>
          <w:sz w:val="24"/>
          <w:szCs w:val="24"/>
        </w:rPr>
        <w:tab/>
        <w:t>“</w:t>
      </w:r>
      <w:r w:rsidRPr="002133D4">
        <w:rPr>
          <w:rFonts w:ascii="inherit" w:hAnsi="inherit"/>
          <w:sz w:val="24"/>
          <w:szCs w:val="24"/>
        </w:rPr>
        <w:t>Reply to Ford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Antiquity, 19(4) :391-393. 1960 </w:t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 xml:space="preserve">Statistical description and comparison of artifact </w:t>
      </w:r>
      <w:r>
        <w:rPr>
          <w:rFonts w:ascii="inherit" w:hAnsi="inherit"/>
          <w:i/>
          <w:sz w:val="24"/>
          <w:szCs w:val="24"/>
        </w:rPr>
        <w:t xml:space="preserve"> </w:t>
      </w:r>
      <w:r w:rsidRPr="002133D4">
        <w:rPr>
          <w:rFonts w:ascii="inherit" w:hAnsi="inherit"/>
          <w:sz w:val="24"/>
          <w:szCs w:val="24"/>
        </w:rPr>
        <w:t>assemblages.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Robert F. Heizer and Sherburne F. Cook, The Application of Quantitative Methods in Archaeology. Viking Fund Publications in Anthropology, No. 28. Pp. 60-83. </w:t>
      </w:r>
    </w:p>
    <w:p w14:paraId="062D2989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Steward, Julian H. </w:t>
      </w:r>
    </w:p>
    <w:p w14:paraId="0D9F13F6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1954 </w:t>
      </w:r>
      <w:r>
        <w:rPr>
          <w:rFonts w:ascii="inherit" w:hAnsi="inherit"/>
          <w:sz w:val="24"/>
          <w:szCs w:val="24"/>
        </w:rPr>
        <w:tab/>
        <w:t>“</w:t>
      </w:r>
      <w:r w:rsidRPr="002133D4">
        <w:rPr>
          <w:rFonts w:ascii="inherit" w:hAnsi="inherit"/>
          <w:sz w:val="24"/>
          <w:szCs w:val="24"/>
        </w:rPr>
        <w:t>Types of types.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Anthropologist, 56(1) : 54-57. Taylor, Walter W. 1948 A Study of Archeology. American Anthropological Association, memoir 69. </w:t>
      </w:r>
    </w:p>
    <w:p w14:paraId="2ACD77C5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1967 </w:t>
      </w:r>
      <w:r w:rsidRPr="002133D4">
        <w:rPr>
          <w:rFonts w:ascii="inherit" w:hAnsi="inherit"/>
          <w:sz w:val="24"/>
          <w:szCs w:val="24"/>
        </w:rPr>
        <w:tab/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The sharing criterion and the concept of culture.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In Carroll L. Riley and Walter W. Taylor, ed., American Historical Anthropology: Essays in Honor of Leslie Spier. Carbondale : Southern Illinois University Press. Pp. 221-230. Wheat, J. B., James C. Gifford, and W. W. Wasley </w:t>
      </w:r>
    </w:p>
    <w:p w14:paraId="27788B46" w14:textId="77777777" w:rsidR="00AB7D6E" w:rsidRPr="002133D4" w:rsidRDefault="00AB7D6E" w:rsidP="00AB7D6E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1958 </w:t>
      </w:r>
      <w:r w:rsidRPr="002133D4">
        <w:rPr>
          <w:rFonts w:ascii="inherit" w:hAnsi="inherit"/>
          <w:sz w:val="24"/>
          <w:szCs w:val="24"/>
        </w:rPr>
        <w:tab/>
      </w:r>
      <w:r>
        <w:rPr>
          <w:rFonts w:ascii="inherit" w:hAnsi="inherit"/>
          <w:sz w:val="24"/>
          <w:szCs w:val="24"/>
        </w:rPr>
        <w:t>“</w:t>
      </w:r>
      <w:r w:rsidRPr="002133D4">
        <w:rPr>
          <w:rFonts w:ascii="inherit" w:hAnsi="inherit"/>
          <w:sz w:val="24"/>
          <w:szCs w:val="24"/>
        </w:rPr>
        <w:t>Ceramic variety, type cluster, and ceramic system in Southwestern pottery analysis.</w:t>
      </w:r>
      <w:r>
        <w:rPr>
          <w:rFonts w:ascii="inherit" w:hAnsi="inherit"/>
          <w:sz w:val="24"/>
          <w:szCs w:val="24"/>
        </w:rPr>
        <w:t>”</w:t>
      </w:r>
      <w:r w:rsidRPr="002133D4">
        <w:rPr>
          <w:rFonts w:ascii="inherit" w:hAnsi="inherit"/>
          <w:sz w:val="24"/>
          <w:szCs w:val="24"/>
        </w:rPr>
        <w:t xml:space="preserve"> American Antiquity, 12(4) :226-237. </w:t>
      </w:r>
    </w:p>
    <w:p w14:paraId="5683B393" w14:textId="77777777" w:rsidR="00AB7D6E" w:rsidRDefault="00AB7D6E" w:rsidP="00AB7D6E">
      <w:pPr>
        <w:pStyle w:val="PlainText"/>
        <w:ind w:left="990" w:hanging="990"/>
        <w:rPr>
          <w:rFonts w:ascii="inherit" w:hAnsi="inherit"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Willey, Gordon R., and Philip Phillips </w:t>
      </w:r>
    </w:p>
    <w:p w14:paraId="158D029E" w14:textId="77777777" w:rsidR="00AB7D6E" w:rsidRPr="00F015FD" w:rsidRDefault="00AB7D6E" w:rsidP="00F015FD">
      <w:pPr>
        <w:pStyle w:val="PlainText"/>
        <w:ind w:left="990" w:hanging="990"/>
        <w:rPr>
          <w:rFonts w:ascii="inherit" w:hAnsi="inherit"/>
          <w:i/>
          <w:sz w:val="24"/>
          <w:szCs w:val="24"/>
        </w:rPr>
      </w:pPr>
      <w:r w:rsidRPr="002133D4">
        <w:rPr>
          <w:rFonts w:ascii="inherit" w:hAnsi="inherit"/>
          <w:sz w:val="24"/>
          <w:szCs w:val="24"/>
        </w:rPr>
        <w:t xml:space="preserve">1958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Method and Theory in American Archaeology. Chicago: University of Chicago Press. </w:t>
      </w:r>
      <w:bookmarkStart w:id="0" w:name="_GoBack"/>
      <w:bookmarkEnd w:id="0"/>
    </w:p>
    <w:p w14:paraId="5DAA36AC" w14:textId="77777777" w:rsidR="00AB7D6E" w:rsidRPr="00C4599F" w:rsidRDefault="00AB7D6E" w:rsidP="00AB7D6E">
      <w:pPr>
        <w:widowControl/>
        <w:spacing w:after="200"/>
        <w:rPr>
          <w:rFonts w:ascii="inherit" w:hAnsi="inherit"/>
          <w:szCs w:val="24"/>
        </w:rPr>
      </w:pPr>
    </w:p>
    <w:p w14:paraId="66004511" w14:textId="77777777" w:rsidR="00D50CF3" w:rsidRDefault="00D50CF3"/>
    <w:sectPr w:rsidR="00D50CF3" w:rsidSect="001374B0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BDE13D" w14:textId="77777777" w:rsidR="00AB7D6E" w:rsidRDefault="00AB7D6E" w:rsidP="00AB7D6E">
      <w:r>
        <w:separator/>
      </w:r>
    </w:p>
  </w:endnote>
  <w:endnote w:type="continuationSeparator" w:id="0">
    <w:p w14:paraId="1812BC98" w14:textId="77777777" w:rsidR="00AB7D6E" w:rsidRDefault="00AB7D6E" w:rsidP="00AB7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52B0B" w14:textId="77777777" w:rsidR="00AB7D6E" w:rsidRDefault="00AB7D6E" w:rsidP="00C1607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111B8A" w14:textId="77777777" w:rsidR="00AB7D6E" w:rsidRDefault="00AB7D6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98DB6" w14:textId="77777777" w:rsidR="00AB7D6E" w:rsidRDefault="00AB7D6E" w:rsidP="00C1607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15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DE3CDC" w14:textId="77777777" w:rsidR="00AB7D6E" w:rsidRDefault="00AB7D6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67C30" w14:textId="77777777" w:rsidR="00AB7D6E" w:rsidRDefault="00AB7D6E" w:rsidP="00AB7D6E">
      <w:r>
        <w:separator/>
      </w:r>
    </w:p>
  </w:footnote>
  <w:footnote w:type="continuationSeparator" w:id="0">
    <w:p w14:paraId="701C7D78" w14:textId="77777777" w:rsidR="00AB7D6E" w:rsidRDefault="00AB7D6E" w:rsidP="00AB7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D6E"/>
    <w:rsid w:val="00022F18"/>
    <w:rsid w:val="001374B0"/>
    <w:rsid w:val="00AB7D6E"/>
    <w:rsid w:val="00D50CF3"/>
    <w:rsid w:val="00F0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2A06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D6E"/>
    <w:pPr>
      <w:widowControl w:val="0"/>
    </w:pPr>
    <w:rPr>
      <w:rFonts w:ascii="Times New Roman" w:eastAsiaTheme="minorHAnsi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D6E"/>
    <w:pPr>
      <w:keepNext/>
      <w:keepLines/>
      <w:spacing w:before="600" w:after="120"/>
      <w:jc w:val="center"/>
      <w:outlineLvl w:val="0"/>
    </w:pPr>
    <w:rPr>
      <w:rFonts w:eastAsiaTheme="majorEastAsia" w:cstheme="majorBidi"/>
      <w:cap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18"/>
    <w:pPr>
      <w:autoSpaceDE w:val="0"/>
      <w:autoSpaceDN w:val="0"/>
      <w:spacing w:before="240" w:after="240"/>
      <w:outlineLvl w:val="1"/>
    </w:pPr>
    <w:rPr>
      <w:rFonts w:ascii="Arial" w:eastAsiaTheme="minorEastAsia" w:hAnsi="Arial" w:cs="Arial"/>
      <w:caps/>
      <w:spacing w:val="-3"/>
      <w:w w:val="10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F18"/>
    <w:rPr>
      <w:rFonts w:ascii="Arial" w:hAnsi="Arial" w:cs="Arial"/>
      <w:caps/>
      <w:spacing w:val="-3"/>
      <w:w w:val="105"/>
    </w:rPr>
  </w:style>
  <w:style w:type="character" w:customStyle="1" w:styleId="Heading1Char">
    <w:name w:val="Heading 1 Char"/>
    <w:basedOn w:val="DefaultParagraphFont"/>
    <w:link w:val="Heading1"/>
    <w:uiPriority w:val="9"/>
    <w:rsid w:val="00AB7D6E"/>
    <w:rPr>
      <w:rFonts w:ascii="Times New Roman" w:eastAsiaTheme="majorEastAsia" w:hAnsi="Times New Roman" w:cstheme="majorBidi"/>
      <w:caps/>
      <w:color w:val="000000" w:themeColor="text1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AB7D6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7D6E"/>
    <w:rPr>
      <w:rFonts w:ascii="Courier" w:eastAsiaTheme="minorHAnsi" w:hAnsi="Courier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7D6E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7D6E"/>
    <w:rPr>
      <w:rFonts w:ascii="Lucida Grande" w:eastAsiaTheme="minorHAnsi" w:hAnsi="Lucida Grande" w:cs="Lucida Grande"/>
    </w:rPr>
  </w:style>
  <w:style w:type="paragraph" w:styleId="Footer">
    <w:name w:val="footer"/>
    <w:basedOn w:val="Normal"/>
    <w:link w:val="FooterChar"/>
    <w:uiPriority w:val="99"/>
    <w:unhideWhenUsed/>
    <w:rsid w:val="00AB7D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D6E"/>
    <w:rPr>
      <w:rFonts w:ascii="Times New Roman" w:eastAsiaTheme="minorHAnsi" w:hAnsi="Times New Roman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B7D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D6E"/>
    <w:pPr>
      <w:widowControl w:val="0"/>
    </w:pPr>
    <w:rPr>
      <w:rFonts w:ascii="Times New Roman" w:eastAsiaTheme="minorHAnsi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D6E"/>
    <w:pPr>
      <w:keepNext/>
      <w:keepLines/>
      <w:spacing w:before="600" w:after="120"/>
      <w:jc w:val="center"/>
      <w:outlineLvl w:val="0"/>
    </w:pPr>
    <w:rPr>
      <w:rFonts w:eastAsiaTheme="majorEastAsia" w:cstheme="majorBidi"/>
      <w:cap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18"/>
    <w:pPr>
      <w:autoSpaceDE w:val="0"/>
      <w:autoSpaceDN w:val="0"/>
      <w:spacing w:before="240" w:after="240"/>
      <w:outlineLvl w:val="1"/>
    </w:pPr>
    <w:rPr>
      <w:rFonts w:ascii="Arial" w:eastAsiaTheme="minorEastAsia" w:hAnsi="Arial" w:cs="Arial"/>
      <w:caps/>
      <w:spacing w:val="-3"/>
      <w:w w:val="10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F18"/>
    <w:rPr>
      <w:rFonts w:ascii="Arial" w:hAnsi="Arial" w:cs="Arial"/>
      <w:caps/>
      <w:spacing w:val="-3"/>
      <w:w w:val="105"/>
    </w:rPr>
  </w:style>
  <w:style w:type="character" w:customStyle="1" w:styleId="Heading1Char">
    <w:name w:val="Heading 1 Char"/>
    <w:basedOn w:val="DefaultParagraphFont"/>
    <w:link w:val="Heading1"/>
    <w:uiPriority w:val="9"/>
    <w:rsid w:val="00AB7D6E"/>
    <w:rPr>
      <w:rFonts w:ascii="Times New Roman" w:eastAsiaTheme="majorEastAsia" w:hAnsi="Times New Roman" w:cstheme="majorBidi"/>
      <w:caps/>
      <w:color w:val="000000" w:themeColor="text1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AB7D6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7D6E"/>
    <w:rPr>
      <w:rFonts w:ascii="Courier" w:eastAsiaTheme="minorHAnsi" w:hAnsi="Courier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7D6E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7D6E"/>
    <w:rPr>
      <w:rFonts w:ascii="Lucida Grande" w:eastAsiaTheme="minorHAnsi" w:hAnsi="Lucida Grande" w:cs="Lucida Grande"/>
    </w:rPr>
  </w:style>
  <w:style w:type="paragraph" w:styleId="Footer">
    <w:name w:val="footer"/>
    <w:basedOn w:val="Normal"/>
    <w:link w:val="FooterChar"/>
    <w:uiPriority w:val="99"/>
    <w:unhideWhenUsed/>
    <w:rsid w:val="00AB7D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D6E"/>
    <w:rPr>
      <w:rFonts w:ascii="Times New Roman" w:eastAsiaTheme="minorHAnsi" w:hAnsi="Times New Roman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B7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1195</Words>
  <Characters>6817</Characters>
  <Application>Microsoft Macintosh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Lipo</dc:creator>
  <cp:keywords/>
  <dc:description/>
  <cp:lastModifiedBy>Carl Lipo</cp:lastModifiedBy>
  <cp:revision>2</cp:revision>
  <dcterms:created xsi:type="dcterms:W3CDTF">2013-12-02T21:45:00Z</dcterms:created>
  <dcterms:modified xsi:type="dcterms:W3CDTF">2013-12-02T21:46:00Z</dcterms:modified>
</cp:coreProperties>
</file>