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8f0ac182b6c7ba93a42d3d48ce873b4190b1a4"/>
    <w:p>
      <w:pPr>
        <w:pStyle w:val="Heading1"/>
      </w:pPr>
      <w:r>
        <w:t xml:space="preserve">Formalizing Costly Signaling at Chaco Canyon: A Multilevel Model of Monumental Architecture, Exotic Goods, and Cooperation Networks Under Environmental Uncertainty</w:t>
      </w:r>
    </w:p>
    <w:p>
      <w:pPr>
        <w:pStyle w:val="FirstParagraph"/>
      </w:pPr>
      <w:r>
        <w:rPr>
          <w:i/>
          <w:iCs/>
        </w:rPr>
        <w:t xml:space="preserve">Running title: Costly Signaling at Chaco Canyon</w:t>
      </w:r>
    </w:p>
    <w:p>
      <w:pPr>
        <w:pStyle w:val="BodyText"/>
      </w:pPr>
      <w:r>
        <w:t xml:space="preserve">Carl P. Lipo^1,* and Robert J. DiNapoli^2</w:t>
      </w:r>
    </w:p>
    <w:p>
      <w:pPr>
        <w:pStyle w:val="BodyText"/>
      </w:pPr>
      <w:r>
        <w:t xml:space="preserve">^1 Department of Anthropology, Binghamton University, Binghamton, NY 13902, USA</w:t>
      </w:r>
      <w:r>
        <w:t xml:space="preserve"> </w:t>
      </w:r>
      <w:r>
        <w:t xml:space="preserve">^2 Department of Anthropology, Binghamton University, Binghamton, NY 13902, USA</w:t>
      </w:r>
    </w:p>
    <w:p>
      <w:pPr>
        <w:pStyle w:val="BodyText"/>
      </w:pPr>
      <w:r>
        <w:t xml:space="preserve">*Corresponding author: clipo@binghamton.edu</w:t>
      </w:r>
    </w:p>
    <w:bookmarkStart w:id="9" w:name="abstract"/>
    <w:p>
      <w:pPr>
        <w:pStyle w:val="Heading2"/>
      </w:pPr>
      <w:r>
        <w:t xml:space="preserve">Abstract</w:t>
      </w:r>
    </w:p>
    <w:p>
      <w:pPr>
        <w:pStyle w:val="FirstParagraph"/>
      </w:pPr>
      <w:r>
        <w:t xml:space="preserve">Chaco Canyon (850-1150 CE) presents one of archaeology’s most persistent puzzles: massive investment in monumental architecture and long-distance exchange in one of the most marginal environments of the American Southwest. Despite decades of research and an extraordinarily rich archaeological record, interpretations of Chaco have cycled through competing narrative frameworks without building cumulative, testable knowledge. Prior applications of costly signaling theory to Chaco have been productive but remain verbal and qualitative, lacking the formal models necessary to generate falsifiable predictions. We develop and apply a three-layer signaling framework derived from first principles.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parameterize the model with Chaco-specific data, including dendrochronological construction dates, PMDI paleoclimate reconstructions, burial assemblage analyses, social network reconstructions, and GIS-based visibility studies. From the parameterized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paper establishes the formal framework that transforms the productive but informal insights of Kantner and Vaughn (2012), Safi (2015), and Quinn (2019) into a progressive research programme capable of cumulative empirical evaluation.</w:t>
      </w:r>
    </w:p>
    <w:p>
      <w:pPr>
        <w:pStyle w:val="BodyText"/>
      </w:pPr>
      <w:r>
        <w:rPr>
          <w:b/>
          <w:bCs/>
        </w:rPr>
        <w:t xml:space="preserve">Keywords:</w:t>
      </w:r>
      <w:r>
        <w:t xml:space="preserve"> </w:t>
      </w:r>
      <w:r>
        <w:t xml:space="preserve">Chaco Canyon, costly signaling theory, condition-dependent signaling, Spence condition, monumental architecture, environmental uncertainty, cooperation networks, research programme, cumulative knowledge</w:t>
      </w:r>
    </w:p>
    <w:bookmarkEnd w:id="9"/>
    <w:bookmarkEnd w:id="10"/>
    <w:bookmarkStart w:id="55" w:name="introduction"/>
    <w:p>
      <w:pPr>
        <w:pStyle w:val="Heading1"/>
      </w:pPr>
      <w:r>
        <w:t xml:space="preserve">1. Introduction</w:t>
      </w:r>
    </w:p>
    <w:bookmarkStart w:id="11" w:name="the-chaco-problem"/>
    <w:p>
      <w:pPr>
        <w:pStyle w:val="Heading2"/>
      </w:pPr>
      <w:r>
        <w:t xml:space="preserve">1.1 The Chaco Problem</w:t>
      </w:r>
    </w:p>
    <w:p>
      <w:pPr>
        <w:pStyle w:val="FirstParagraph"/>
      </w:pPr>
      <w:r>
        <w:t xml:space="preserve">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pPr>
        <w:pStyle w:val="BodyText"/>
      </w:pPr>
      <w:r>
        <w:t xml:space="preserve">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pPr>
        <w:pStyle w:val="BodyText"/>
      </w:pPr>
      <w:r>
        <w:t xml:space="preserve">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pPr>
        <w:pStyle w:val="BodyText"/>
      </w:pPr>
      <w:r>
        <w:t xml:space="preserve">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pPr>
        <w:pStyle w:val="BodyText"/>
      </w:pPr>
      <w:r>
        <w:t xml:space="preserve">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pPr>
        <w:pStyle w:val="BodyText"/>
      </w:pPr>
      <w:r>
        <w:t xml:space="preserve">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bookmarkEnd w:id="11"/>
    <w:bookmarkStart w:id="12" w:name="prior-interpretations-and-their-limits"/>
    <w:p>
      <w:pPr>
        <w:pStyle w:val="Heading2"/>
      </w:pPr>
      <w:r>
        <w:t xml:space="preserve">1.2 Prior Interpretations and Their Limits</w:t>
      </w:r>
    </w:p>
    <w:p>
      <w:pPr>
        <w:pStyle w:val="FirstParagraph"/>
      </w:pPr>
      <w:r>
        <w:t xml:space="preserve">Several interpretive frameworks have been applied to Chaco Canyon, each capturing important aspects of the archaeological record while leaving central questions unresolved.</w:t>
      </w:r>
    </w:p>
    <w:p>
      <w:pPr>
        <w:pStyle w:val="BodyText"/>
      </w:pPr>
      <w:r>
        <w:t xml:space="preserve">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pPr>
        <w:pStyle w:val="BodyText"/>
      </w:pPr>
      <w:r>
        <w:t xml:space="preserve">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pPr>
        <w:pStyle w:val="BodyText"/>
      </w:pPr>
      <w:r>
        <w:t xml:space="preserve">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pPr>
        <w:pStyle w:val="BodyText"/>
      </w:pPr>
      <w:r>
        <w:t xml:space="preserve">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w:t>
      </w:r>
      <w:r>
        <w:t xml:space="preserve"> </w:t>
      </w:r>
      <w:r>
        <w:t xml:space="preserve">“signaled”</w:t>
      </w:r>
      <w:r>
        <w:t xml:space="preserve"> </w:t>
      </w:r>
      <w:r>
        <w:t xml:space="preserve">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pPr>
        <w:pStyle w:val="BodyText"/>
      </w:pPr>
      <w:r>
        <w:t xml:space="preserve">These interpretive frameworks share a common limitation. As Quinn (2019) observes in a comprehensive review, explanations of Chaco and similar cases remain</w:t>
      </w:r>
      <w:r>
        <w:t xml:space="preserve"> </w:t>
      </w:r>
      <w:r>
        <w:t xml:space="preserve">“largely qualitative and descriptive”</w:t>
      </w:r>
      <w:r>
        <w:t xml:space="preserve"> </w:t>
      </w:r>
      <w:r>
        <w:t xml:space="preserve">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pPr>
        <w:pStyle w:val="BodyText"/>
      </w:pPr>
      <w:r>
        <w:t xml:space="preserve">The problem runs deeper than any single framework. Chaco scholarship has been characterized by a succession of</w:t>
      </w:r>
      <w:r>
        <w:t xml:space="preserve"> </w:t>
      </w:r>
      <w:r>
        <w:t xml:space="preserve">“changing perspectives,”</w:t>
      </w:r>
      <w:r>
        <w:t xml:space="preserve"> </w:t>
      </w:r>
      <w:r>
        <w:t xml:space="preserve">each reframing the canyon through a different interpretive lens without building cumulatively on the testable claims of its predecessors. The pattern is visible in the publication record itself. A systematic title search of the OpenAlex bibliographic database (Priem et al. 2022) reveals a recurring cycle of volumes and syntheses, each announcing fresh approaches to the same unresolved questions:</w:t>
      </w:r>
      <w:r>
        <w:t xml:space="preserve"> </w:t>
      </w:r>
      <w:r>
        <w:rPr>
          <w:i/>
          <w:iCs/>
        </w:rPr>
        <w:t xml:space="preserve">New Perspectives on the Pueblos</w:t>
      </w:r>
      <w:r>
        <w:t xml:space="preserve"> </w:t>
      </w:r>
      <w:r>
        <w:t xml:space="preserve">(Ortiz 1972),</w:t>
      </w:r>
      <w:r>
        <w:t xml:space="preserve"> </w:t>
      </w:r>
      <w:r>
        <w:rPr>
          <w:i/>
          <w:iCs/>
        </w:rPr>
        <w:t xml:space="preserve">New Light on Chaco Canyon</w:t>
      </w:r>
      <w:r>
        <w:t xml:space="preserve"> </w:t>
      </w:r>
      <w:r>
        <w:t xml:space="preserve">(Noble 1984),</w:t>
      </w:r>
      <w:r>
        <w:t xml:space="preserve"> </w:t>
      </w:r>
      <w:r>
        <w:rPr>
          <w:i/>
          <w:iCs/>
        </w:rPr>
        <w:t xml:space="preserve">The Anasazi in a Changing Environment</w:t>
      </w:r>
      <w:r>
        <w:t xml:space="preserve"> </w:t>
      </w:r>
      <w:r>
        <w:t xml:space="preserve">(Gumerman 1988),</w:t>
      </w:r>
      <w:r>
        <w:t xml:space="preserve"> </w:t>
      </w:r>
      <w:r>
        <w:rPr>
          <w:i/>
          <w:iCs/>
        </w:rPr>
        <w:t xml:space="preserve">Dynamics of Southwest Prehistory</w:t>
      </w:r>
      <w:r>
        <w:t xml:space="preserve"> </w:t>
      </w:r>
      <w:r>
        <w:t xml:space="preserve">(Cordell and Gumerman 1989),</w:t>
      </w:r>
      <w:r>
        <w:t xml:space="preserve"> </w:t>
      </w:r>
      <w:r>
        <w:rPr>
          <w:i/>
          <w:iCs/>
        </w:rPr>
        <w:t xml:space="preserve">Chaco and Hohokam: Prehistoric Regional Systems</w:t>
      </w:r>
      <w:r>
        <w:t xml:space="preserve"> </w:t>
      </w:r>
      <w:r>
        <w:t xml:space="preserve">(Crown and Judge 1991),</w:t>
      </w:r>
      <w:r>
        <w:t xml:space="preserve"> </w:t>
      </w:r>
      <w:r>
        <w:rPr>
          <w:i/>
          <w:iCs/>
        </w:rPr>
        <w:t xml:space="preserve">Themes in Southwest Prehistory</w:t>
      </w:r>
      <w:r>
        <w:t xml:space="preserve"> </w:t>
      </w:r>
      <w:r>
        <w:t xml:space="preserve">(Gumerman 1994),</w:t>
      </w:r>
      <w:r>
        <w:t xml:space="preserve"> </w:t>
      </w:r>
      <w:r>
        <w:rPr>
          <w:i/>
          <w:iCs/>
        </w:rPr>
        <w:t xml:space="preserve">In Search of Chaco: New Approaches to an Archaeological Enigma</w:t>
      </w:r>
      <w:r>
        <w:t xml:space="preserve"> </w:t>
      </w:r>
      <w:r>
        <w:t xml:space="preserve">(Noble 2004),</w:t>
      </w:r>
      <w:r>
        <w:t xml:space="preserve"> </w:t>
      </w:r>
      <w:r>
        <w:rPr>
          <w:i/>
          <w:iCs/>
        </w:rPr>
        <w:t xml:space="preserve">The Archaeology of Chaco Canyon</w:t>
      </w:r>
      <w:r>
        <w:t xml:space="preserve"> </w:t>
      </w:r>
      <w:r>
        <w:t xml:space="preserve">(Lekson 2006),</w:t>
      </w:r>
      <w:r>
        <w:t xml:space="preserve"> </w:t>
      </w:r>
      <w:r>
        <w:rPr>
          <w:i/>
          <w:iCs/>
        </w:rPr>
        <w:t xml:space="preserve">Chaco Revisited: New Research on the Prehistory of Chaco Canyon</w:t>
      </w:r>
      <w:r>
        <w:t xml:space="preserve"> </w:t>
      </w:r>
      <w:r>
        <w:t xml:space="preserve">(Heitman and Plog 2015), and</w:t>
      </w:r>
      <w:r>
        <w:t xml:space="preserve"> </w:t>
      </w:r>
      <w:r>
        <w:rPr>
          <w:i/>
          <w:iCs/>
        </w:rPr>
        <w:t xml:space="preserve">The Greater Chaco Landscape: Ancestors, Scholarship, and Advocacy</w:t>
      </w:r>
      <w:r>
        <w:t xml:space="preserve"> </w:t>
      </w:r>
      <w:r>
        <w:t xml:space="preserve">(Van Dyke and Heitman 2021). Each generation of scholars has offered new</w:t>
      </w:r>
      <w:r>
        <w:t xml:space="preserve"> </w:t>
      </w:r>
      <w:r>
        <w:t xml:space="preserve">“perspectives,”</w:t>
      </w:r>
      <w:r>
        <w:t xml:space="preserve"> </w:t>
      </w:r>
      <w:r>
        <w:t xml:space="preserve">“approaches,”</w:t>
      </w:r>
      <w:r>
        <w:t xml:space="preserve"> </w:t>
      </w:r>
      <w:r>
        <w:t xml:space="preserve">and</w:t>
      </w:r>
      <w:r>
        <w:t xml:space="preserve"> </w:t>
      </w:r>
      <w:r>
        <w:t xml:space="preserve">“light”</w:t>
      </w:r>
      <w:r>
        <w:t xml:space="preserve"> </w:t>
      </w:r>
      <w:r>
        <w:t xml:space="preserve">on Chaco, yet the core interpretive questions, whether Chaco was hierarchical or egalitarian, whether outlier communities were integrated or autonomous, whether the driving force was ecological, political, or ritual, remain unresolved after five decades and at least a dozen major syntheses. Political hierarchy, ritual pilgrimage, ecological adaptation, labor recruitment, and dual-system models (Vivian 1990) have followed one another without any framework being formally refuted, superseded by a more precise alternative, or integrated into a unified account. Vivian’s influential proposal of parallel sociopolitical systems within the canyon, one organized around great houses and another around small-house communities, is directly relevant to the quality stratification that a signaling model must address: the question is whether great houses and small-house communities represent fundamentally different organizational principles or quality-differentiated participants in the same signaling system. This is not a failure of effort or data; it reflects what Perreault (2019) diagnoses as underdetermination, in which verbal narratives were never formalized to the point where they generate distinguishable predictions that the archaeological record could adjudicate.</w:t>
      </w:r>
    </w:p>
    <w:p>
      <w:pPr>
        <w:pStyle w:val="BodyText"/>
      </w:pPr>
      <w:r>
        <w:t xml:space="preserve">The philosophy of science offers a clear diagnosis. Lakatos (1970) distinguishes between progressive and degenerating research programmes. A progressive programme generates predictions about things not yet observed, and some of those predictions turn out to be correct. A degenerating programme merely reinterprets evidence already known, adjusting its story after each new finding without ever predicting what will be found next. The distinction is between a framework that sticks its neck out and one that only explains in retrospect. By this criterion, the interpretive frameworks applied to Chaco have been largely degenerating: each reinterprets the same evidence, great houses, exotic goods, environmental marginality, without specifying what novel observations would confirm or refute it. This diagnosis applies to the succession of narrative frameworks, not to Chaco empirical research as a whole. The empirical work on Chaco has been genuinely productive: dendrochronological dating (Guiterman et al. 2015), archaeogenomics (Kennett et al. 2017), network analysis (Mills et al. 2013), and paleoclimate reconstruction (Polyak et al. 2022) have all produced novel findings that reshaped understanding. The problem is that the interpretive frameworks consuming these findings have not been formalized to the point where the findings could adjudicate among them.</w:t>
      </w:r>
    </w:p>
    <w:p>
      <w:pPr>
        <w:pStyle w:val="BodyText"/>
      </w:pPr>
      <w:r>
        <w:t xml:space="preserve">Kitcher (1981) argues that scientific understanding advances through unification: explaining many different observations with a single, parsimonious set of principles rather than inventing a separate story for each phenomenon. A framework that can derive monument construction, exotic goods acquisition, conflict patterns, and network dynamics from a single set of equilibrium conditions represents a gain in unification over four separate narrative accounts of each phenomenon. Mayo (2018) provides the evidential criterion: data count as evidence for a claim only when the claim has been tested in a way that would have revealed it as wrong if it were wrong. A theory that can explain any conceivable outcome has not been tested at all, no matter how well it fits the data in hand. A framework that can accommodate equally well a pattern and its opposite has told us nothing. These two criteria, Lakatos’s progressiveness and Mayo’s severity, serve different functions. Progressiveness evaluates the trajectory of a research programme across predictions: does it generate novel, testable claims? Severity evaluates individual predictions: has a specific claim survived a test that could have falsified it? A programme can be progressive (generating novel predictions) while individual predictions within it fail severe tests, provided the failures are reported honestly and the programme specifies how to resolve them. We apply both criteria throughout the evidence evaluation (Section 5), noting explicitly where predictions have and have not been severely tested.</w:t>
      </w:r>
    </w:p>
    <w:p>
      <w:pPr>
        <w:pStyle w:val="BodyText"/>
      </w:pPr>
      <w:r>
        <w:t xml:space="preserve">The problem is not that Chaco Canyon lacks data. The archaeological record of Chaco is extraordinarily rich: 240,000 dendrochronologically dated timbers (Guiterman et al. 2015), multi-millennial paleoclimate proxies at annual resolution (Cook et al. 2004; Polyak et al. 2022), archaeogenomic identification of specific lineages (Kennett et al. 2017), regional ceramic similarity networks reconstructed from 4.3 million sherds (Mills et al. 2013), and landscape-scale visibility and acoustic analyses (Dungan et al. 2018; Van Dyke et al. 2024). The problem is that disparate interpretive approaches have not been formalized sufficiently to be tested against this evidence in ways that could cumulatively advance understanding. Building cumulative knowledge requires describing the world in terms that generate falsifiable claims, specifying the conditions under which those claims should hold, and identifying the observations that would distinguish among competing accounts. That is the task this paper undertakes.</w:t>
      </w:r>
    </w:p>
    <w:bookmarkEnd w:id="12"/>
    <w:bookmarkStart w:id="13" w:name="Xcd22f08d66c7393f79c814c7800649f8ab4f5cf"/>
    <w:p>
      <w:pPr>
        <w:pStyle w:val="Heading2"/>
      </w:pPr>
      <w:r>
        <w:t xml:space="preserve">1.3 Prior Applications of Costly Signaling Theory to Chaco</w:t>
      </w:r>
    </w:p>
    <w:p>
      <w:pPr>
        <w:pStyle w:val="FirstParagraph"/>
      </w:pPr>
      <w:r>
        <w:t xml:space="preserve">Costly signaling theory (CST) offers a framework that connects environmental uncertainty to costly investment through formal equilibrium conditions, but its application to Chaco Canyon has remained informal.</w:t>
      </w:r>
    </w:p>
    <w:p>
      <w:pPr>
        <w:pStyle w:val="BodyText"/>
      </w:pPr>
      <w:r>
        <w:t xml:space="preserve">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pPr>
        <w:pStyle w:val="BodyText"/>
      </w:pPr>
      <w:r>
        <w:t xml:space="preserve">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pPr>
        <w:pStyle w:val="BodyText"/>
      </w:pPr>
      <w:r>
        <w:t xml:space="preserve">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w:t>
      </w:r>
      <w:r>
        <w:t xml:space="preserve"> </w:t>
      </w:r>
      <w:r>
        <w:t xml:space="preserve">“a more rigorous analytical framework”</w:t>
      </w:r>
      <w:r>
        <w:t xml:space="preserve"> </w:t>
      </w:r>
      <w:r>
        <w:t xml:space="preserve">that would move beyond verbal plausibility arguments to formal models capable of generating testable predictions. Quinn’s critique applies directly to the Chaco case, where existing CST applications have identified signaling dynamics without formalizing them.</w:t>
      </w:r>
    </w:p>
    <w:p>
      <w:pPr>
        <w:pStyle w:val="BodyText"/>
      </w:pPr>
      <w:r>
        <w:t xml:space="preserve">The state of the literature, then, is one of recognized potential and acknowledged limitation. Multiple scholars have identified costly signaling as a productive framework for understanding Chaco Canyon. 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bookmarkEnd w:id="13"/>
    <w:bookmarkStart w:id="44" w:name="this-paper"/>
    <w:p>
      <w:pPr>
        <w:pStyle w:val="Heading2"/>
      </w:pPr>
      <w:r>
        <w:t xml:space="preserve">1.4 This Paper</w:t>
      </w:r>
    </w:p>
    <w:p>
      <w:pPr>
        <w:pStyle w:val="FirstParagraph"/>
      </w:pPr>
      <w:r>
        <w:t xml:space="preserve">This paper constitutes the first stage of a research programme that applies formal signaling theory to the Chaco Canyon archaeological record. The goal is not to tell another Chaco story but to establish a theoretical framework that generates falsifiable predictions, specifies the conditions under which those predictions hold, and identifies the empirical tests that would distinguish among competing accounts. In Lakatos’s (1970) terms, we aim to demonstrate that costly signaling theory applied to Chaco is a progressive programme: one that predicts novel facts beyond what motivated its construction, rather than merely accommodating evidence already known.</w:t>
      </w:r>
    </w:p>
    <w:p>
      <w:pPr>
        <w:pStyle w:val="BodyText"/>
      </w:pPr>
      <w:r>
        <w:t xml:space="preserve">We develop a three-layer signaling model derived from first principles, using the Spence condition for condition-dependent signaling at the individual level, sequential assessment theory at the intergroup level, and cooperation network dynamics linking signaling to environmental uncertainty. Rather than assuming that signaling is adaptive and asking what it communicates, the model specifies the conditions under which costly signaling constitutes an evolutionarily stable strategy and the conditions under which it does not. The formal derivations, proofs of equilibrium uniqueness, and sensitivity analyses are presented in Appendix A; here we focus on the core equations and their archaeological interpretation.</w:t>
      </w:r>
    </w:p>
    <w:p>
      <w:pPr>
        <w:pStyle w:val="BodyText"/>
      </w:pPr>
      <w:r>
        <w:t xml:space="preserve">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pPr>
        <w:pStyle w:val="BodyText"/>
      </w:pPr>
      <w:r>
        <w:t xml:space="preserve">We parameterize the model with Chaco-specific empirical data drawn from independent sources: dendrochronological construction dates from the 240,000-timber dataset (Guiterman et al. 2015), Palmer Modified Drought Index (PMDI) reconstructions from the Living Blended Drought Atlas (Cook et al. 2004; Gille et al. 2017), burial assemblage data from Pueblo Bonito, ceramic and network analyses (Mills et al. 2013), and visibility studies of great house placement. From the parameterized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 classifying each as discriminating (predicted by the signaling model but not by alternatives) or convergent (consistent with multiple frameworks).</w:t>
      </w:r>
    </w:p>
    <w:p>
      <w:pPr>
        <w:pStyle w:val="BodyText"/>
      </w:pPr>
      <w:r>
        <w:t xml:space="preserve">This analysis addresses the gap identified by Quinn (2019) by providing a formal CST model for Chaco Canyon. The model explains why investment concentrated in a marginal environment (environmental uncertainty makes signaling adaptive by increasing the fitness differential between high-quality and low-quality signalers), why construction intensified under moderate stress (the lambda-sigma feedback amplifies returns to signaling as variability increases), why inter-community violence was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derives them from independently specified conditions.</w:t>
      </w:r>
    </w:p>
    <w:p>
      <w:pPr>
        <w:pStyle w:val="BodyText"/>
      </w:pPr>
      <w:r>
        <w:t xml:space="preserve">We are explicit about what this stage of the research programme accomplishes and what it does not. The present paper formalizes the theoretical framework, derives qualitative predictions from equilibrium conditions, and evaluates those predictions against the empirical record. It does not yet estimate model parameters from data through formal statistical procedures; that is the next stage, and we identify the specific analyses required (Section 6.7).</w:t>
      </w:r>
    </w:p>
    <w:p>
      <w:pPr>
        <w:pStyle w:val="BodyText"/>
      </w:pPr>
      <w:r>
        <w:t xml:space="preserve">The formalization serves two functions beyond prediction. First, the mathematical model is a necessary precondition for building an agent-based simulation that can evaluate what Lewontin (1974) called dynamic sufficiency: whether the model contains enough of the right ingredients, the right variables described in the right relationships, to generate the patterns observed in the archaeological record. In concrete terms: if we set the model running from AD 800 with Chaco’s actual climate data, does it produce something that looks like the construction trajectory, network evolution, and collapse timing that actually occurred? If so, the model captures the essential dynamics; if not, something important is missing. Without formal equations, a simulation is just ad hoc programming with no way to know what it is testing. Second, the formalization identifies the specific empirical quantities that must be measured. The quality parameter</w:t>
      </w:r>
      <w:r>
        <w:t xml:space="preserve"> </w:t>
      </w:r>
      <w:r>
        <w:rPr>
          <w:i/>
          <w:iCs/>
        </w:rPr>
        <w:t xml:space="preserve">q</w:t>
      </w:r>
      <w:r>
        <w:t xml:space="preserve">, the environmental uncertainty parameter sigma, the network buffering coefficient gamma: each must be converted from a theoretical construct into something measurable from the archaeological record. This is how science operates: theoretical sufficiency (do the equations generate the right dynamics?) and empirical sufficiency (can the parameters be measured from available evidence?) are evaluated iteratively, each constraining the other.</w:t>
      </w:r>
    </w:p>
    <w:p>
      <w:pPr>
        <w:pStyle w:val="BodyText"/>
      </w:pPr>
      <w:r>
        <w:t xml:space="preserve">This iterative process stands in contrast to the discipline’s prevailing mode of producing narrative accounts that shift with social values and theoretical fashion, generating a cycle of</w:t>
      </w:r>
      <w:r>
        <w:t xml:space="preserve"> </w:t>
      </w:r>
      <w:r>
        <w:t xml:space="preserve">“perspectives”</w:t>
      </w:r>
      <w:r>
        <w:t xml:space="preserve"> </w:t>
      </w:r>
      <w:r>
        <w:t xml:space="preserve">that neither builds cumulatively on prior work nor specifies the conditions under which the new perspective could be shown wrong. Formalizing the model is a necessary precondition for quantitative testing: one cannot estimate parameters for equations that have not been written, and one cannot conduct severe tests (Mayo 2018) of predictions that have not been derived. The contribution of this paper is to establish the formal structure that makes such testing possible, transforming the productive but informal CST insights of Kantner and Vaughn (2012), Safi (2015), and others into a framework capable of cumulative empirical evaluation.## 2. Theoretical Framework</w:t>
      </w:r>
    </w:p>
    <w:p>
      <w:pPr>
        <w:pStyle w:val="BodyText"/>
      </w:pPr>
      <w:r>
        <w:t xml:space="preserve">This section presents the three-layer costly signaling model applied to the Chaco Canyon archaeological record (850-1150 CE). Full derivations, proofs of equilibrium uniqueness, and sensitivity analyses appear in Appendix A; here we present the core equations and their Chaco-specific interpretations.</w:t>
      </w:r>
    </w:p>
    <w:bookmarkStart w:id="14" w:name="three-layer-model-overview"/>
    <w:p>
      <w:pPr>
        <w:pStyle w:val="Heading3"/>
      </w:pPr>
      <w:r>
        <w:t xml:space="preserve">2.1 Three-Layer Model Overview</w:t>
      </w:r>
    </w:p>
    <w:p>
      <w:pPr>
        <w:pStyle w:val="FirstParagraph"/>
      </w:pPr>
      <w:r>
        <w:t xml:space="preserve">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pPr>
        <w:pStyle w:val="BodyText"/>
      </w:pPr>
      <w:r>
        <w:t xml:space="preserve">A critical theoretical point frames the entire model. The mechanism that ensures signal honesty is condition-dependent signaling, not the so-called handicap principle. The handicap hypothesis holds that signals are reliable simply because they are costly, a</w:t>
      </w:r>
      <w:r>
        <w:t xml:space="preserve"> </w:t>
      </w:r>
      <w:r>
        <w:t xml:space="preserve">“burning money to prove you can”</w:t>
      </w:r>
      <w:r>
        <w:t xml:space="preserve"> </w:t>
      </w:r>
      <w:r>
        <w:t xml:space="preserve">logic. Comprehensive reviews have shown this reasoning lacks theoretical support (Penn and Szamado 2020). What actually maintains signal honesty is not that signaling is expensive in absolute terms but that its cost depends on the signaler’s underlying capacity. High-capacity groups find the same investment cheaper at the margin than low-capacity groups. This is the Spence condition: the requirement that marginal signaling costs vary inversely with signaler quality.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Appendix A provides the formal proof; here we present the key equations and their archaeological interpretation.</w:t>
      </w:r>
    </w:p>
    <w:bookmarkEnd w:id="14"/>
    <w:bookmarkStart w:id="15" w:name="layer-1-individual-signaling-at-chaco"/>
    <w:p>
      <w:pPr>
        <w:pStyle w:val="Heading3"/>
      </w:pPr>
      <w:r>
        <w:t xml:space="preserve">2.2 Layer 1: Individual Signaling at Chaco</w:t>
      </w:r>
    </w:p>
    <w:p>
      <w:pPr>
        <w:pStyle w:val="FirstParagraph"/>
      </w:pPr>
      <w:r>
        <w:t xml:space="preserve">The cost of signaling investment</w:t>
      </w:r>
      <w:r>
        <w:t xml:space="preserve"> </w:t>
      </w:r>
      <w:r>
        <w:rPr>
          <w:i/>
          <w:iCs/>
        </w:rPr>
        <w:t xml:space="preserve">x</w:t>
      </w:r>
      <w:r>
        <w:t xml:space="preserve"> </w:t>
      </w:r>
      <w:r>
        <w:t xml:space="preserve">for an agent of quality</w:t>
      </w:r>
      <w:r>
        <w:t xml:space="preserve"> </w:t>
      </w:r>
      <w:r>
        <w:rPr>
          <w:i/>
          <w:iCs/>
        </w:rPr>
        <w:t xml:space="preserve">q</w:t>
      </w:r>
      <w:r>
        <w:t xml:space="preserve"> </w:t>
      </w:r>
      <w:r>
        <w:t xml:space="preserve">follows a Spence cost function:</w:t>
      </w:r>
    </w:p>
    <w:p>
      <w:pPr>
        <w:pStyle w:val="BodyText"/>
      </w:pPr>
      <m:oMathPara>
        <m:oMathParaPr>
          <m:jc m:val="center"/>
        </m:oMathParaPr>
        <m:oMath>
          <m:r>
            <m:t>c</m:t>
          </m:r>
          <m:r>
            <m:rPr>
              <m:sty m:val="p"/>
            </m:rPr>
            <m:t>(</m:t>
          </m:r>
          <m:sSub>
            <m:e>
              <m:r>
                <m:t>x</m:t>
              </m:r>
            </m:e>
            <m:sub>
              <m:r>
                <m:t>i</m:t>
              </m:r>
            </m:sub>
          </m:sSub>
          <m:r>
            <m:rPr>
              <m:sty m:val="p"/>
            </m:rPr>
            <m:t>,</m:t>
          </m:r>
          <m:sSub>
            <m:e>
              <m:r>
                <m:t>q</m:t>
              </m:r>
            </m:e>
            <m:sub>
              <m:r>
                <m:t>i</m:t>
              </m:r>
            </m:sub>
          </m:sSub>
          <m:r>
            <m:rPr>
              <m:sty m:val="p"/>
            </m:rPr>
            <m:t>)</m:t>
          </m:r>
          <m:r>
            <m:rPr>
              <m:sty m:val="p"/>
            </m:rPr>
            <m:t>=</m:t>
          </m:r>
          <m:f>
            <m:fPr>
              <m:type m:val="bar"/>
            </m:fPr>
            <m:num>
              <m:sSubSup>
                <m:e>
                  <m:r>
                    <m:t>x</m:t>
                  </m:r>
                </m:e>
                <m:sub>
                  <m:r>
                    <m:t>i</m:t>
                  </m:r>
                </m:sub>
                <m:sup>
                  <m:r>
                    <m:t>2</m:t>
                  </m:r>
                </m:sup>
              </m:sSubSup>
            </m:num>
            <m:den>
              <m:r>
                <m:t>2</m:t>
              </m:r>
              <m:sSub>
                <m:e>
                  <m:r>
                    <m:t>q</m:t>
                  </m:r>
                </m:e>
                <m:sub>
                  <m:r>
                    <m:t>i</m:t>
                  </m:r>
                </m:sub>
              </m:sSub>
            </m:den>
          </m:f>
        </m:oMath>
      </m:oMathPara>
    </w:p>
    <w:p>
      <w:pPr>
        <w:pStyle w:val="FirstParagraph"/>
      </w:pPr>
      <w:r>
        <w:t xml:space="preserve">In plain language: the cost of investment increases quadratically with the amount invested, and dividing by quality means that higher-quality agents pay less per unit of investment. The critical property is that the cost of the next unit of investment decreases as quality increases (formally, the cross-partial derivative</w:t>
      </w:r>
      <w:r>
        <w:t xml:space="preserve"> </w:t>
      </w:r>
      <m:oMath>
        <m:sSup>
          <m:e>
            <m:r>
              <m:rPr>
                <m:sty m:val="p"/>
              </m:rPr>
              <m:t>∂</m:t>
            </m:r>
          </m:e>
          <m:sup>
            <m:r>
              <m:t>2</m:t>
            </m:r>
          </m:sup>
        </m:sSup>
        <m:r>
          <m:t>c</m:t>
        </m:r>
        <m:r>
          <m:rPr>
            <m:sty m:val="p"/>
          </m:rPr>
          <m:t>/</m:t>
        </m:r>
        <m:r>
          <m:rPr>
            <m:sty m:val="p"/>
          </m:rPr>
          <m:t>∂</m:t>
        </m:r>
        <m:r>
          <m:t>x</m:t>
        </m:r>
        <m:r>
          <m:rPr>
            <m:sty m:val="p"/>
          </m:rPr>
          <m:t>∂</m:t>
        </m:r>
        <m:r>
          <m:t>q</m:t>
        </m:r>
        <m:r>
          <m:rPr>
            <m:sty m:val="p"/>
          </m:rPr>
          <m:t>&lt;</m:t>
        </m:r>
        <m:r>
          <m:t>0</m:t>
        </m:r>
      </m:oMath>
      <w:r>
        <w:t xml:space="preserve">). This is the Spence condition, and it is what makes the signal honest. The logic is analogous to physical fitness displays: a strong individual finds it relatively cheap to carry a heavy load, while a weak individual finds the same load prohibitively expensive. The load itself is not the point; what matters is that the cost of bearing it varies with the underlying capacity. At Chaco, a lineage with a large labor force, abundant stored surplus, and extensive exchange connections finds it cheaper, at the margin, to add another room to a great house than a lineage with fewer resources. This differential cost structure means that the signal cannot be faked: a low-capacity group attempting to build at the level of a high-capacity group would incur ruinous costs, while the high-capacity group absorbs the same investment without crisis.</w:t>
      </w:r>
    </w:p>
    <w:p>
      <w:pPr>
        <w:pStyle w:val="BodyText"/>
      </w:pPr>
      <w:r>
        <w:t xml:space="preserve">At the signaling equilibrium, each quality type invests at a unique level:</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t xml:space="preserve">In words: equilibrium investment rises with quality, and the minimum-quality type invests zero. The parameter</w:t>
      </w:r>
      <w:r>
        <w:t xml:space="preserve"> </w:t>
      </w:r>
      <m:oMath>
        <m:r>
          <m:t>λ</m:t>
        </m:r>
      </m:oMath>
      <w:r>
        <w:t xml:space="preserve"> </w:t>
      </w:r>
      <w:r>
        <w:t xml:space="preserve">represents the fitness return to signaling, which in Layer 3 becomes endogenous to environmental conditions. Every quality type above the minimum selects a distinct investment level, producing a graduated spectrum from no investment (small-house communities) through modest investment (outlier great houses) to massive investment (Pueblo Bonito). Because each quality level maps to a unique investment level, observers can work backward from what they see built to infer the builder’s capacity. This one-to-one correspondence between quality and investment, termed a separating equilibrium in signaling theory, is the unique stable outcome under the Spence condition (Appendix A, Proposition 1).</w:t>
      </w:r>
    </w:p>
    <w:p>
      <w:pPr>
        <w:pStyle w:val="BodyText"/>
      </w:pPr>
      <w:r>
        <w:t xml:space="preserve">The fitness gain from participating in the signaling equilibrium relative to not signaling (where a non-signaler is perceived as</w:t>
      </w:r>
      <w:r>
        <w:t xml:space="preserve"> </w:t>
      </w:r>
      <m:oMath>
        <m:sSub>
          <m:e>
            <m:r>
              <m:t>q</m:t>
            </m:r>
          </m:e>
          <m:sub>
            <m:r>
              <m:rPr>
                <m:sty m:val="p"/>
              </m:rPr>
              <m:t>min</m:t>
            </m:r>
          </m:sub>
        </m:sSub>
      </m:oMath>
      <w:r>
        <w:t xml:space="preserve"> </w:t>
      </w:r>
      <w:r>
        <w:t xml:space="preserve">and receives payoff</w:t>
      </w:r>
      <w:r>
        <w:t xml:space="preserve"> </w:t>
      </w:r>
      <m:oMath>
        <m:r>
          <m:t>λ</m:t>
        </m:r>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This result follows from the difference between the signaling payoff</w:t>
      </w:r>
      <w:r>
        <w:t xml:space="preserve"> </w:t>
      </w:r>
      <m:oMath>
        <m:r>
          <m:t>λ</m:t>
        </m:r>
        <m:r>
          <m:t>q</m:t>
        </m:r>
        <m:r>
          <m:rPr>
            <m:sty m:val="p"/>
          </m:rPr>
          <m:t>−</m:t>
        </m:r>
        <m:sSup>
          <m:e>
            <m:r>
              <m:t>x</m:t>
            </m:r>
          </m:e>
          <m:sup>
            <m:r>
              <m:rPr>
                <m:sty m:val="p"/>
              </m:rPr>
              <m:t>*</m:t>
            </m:r>
            <m:r>
              <m:t>2</m:t>
            </m:r>
          </m:sup>
        </m:sSup>
        <m:r>
          <m:rPr>
            <m:sty m:val="p"/>
          </m:rPr>
          <m:t>/</m:t>
        </m:r>
        <m:r>
          <m:rPr>
            <m:sty m:val="p"/>
          </m:rPr>
          <m:t>(</m:t>
        </m:r>
        <m:r>
          <m:t>2</m:t>
        </m:r>
        <m:r>
          <m:t>q</m:t>
        </m:r>
        <m:r>
          <m:rPr>
            <m:sty m:val="p"/>
          </m:rPr>
          <m:t>)</m:t>
        </m:r>
      </m:oMath>
      <w:r>
        <w:t xml:space="preserve"> </w:t>
      </w:r>
      <w:r>
        <w:t xml:space="preserve">and the non-signaling payoff</w:t>
      </w:r>
      <w:r>
        <w:t xml:space="preserve"> </w:t>
      </w:r>
      <m:oMath>
        <m:r>
          <m:t>λ</m:t>
        </m:r>
        <m:sSub>
          <m:e>
            <m:r>
              <m:t>q</m:t>
            </m:r>
          </m:e>
          <m:sub>
            <m:r>
              <m:rPr>
                <m:sty m:val="p"/>
              </m:rPr>
              <m:t>min</m:t>
            </m:r>
          </m:sub>
        </m:sSub>
      </m:oMath>
      <w:r>
        <w:t xml:space="preserve"> </w:t>
      </w:r>
      <w:r>
        <w:t xml:space="preserve">(see Appendix A.1 for the full derivation). The inequality is the key result for resolving the free-rider problem. Every individual above minimum quality gains positive fitness from participating in the signaling system, with the gain increasing in</w:t>
      </w:r>
      <w:r>
        <w:t xml:space="preserve"> </w:t>
      </w:r>
      <m:oMath>
        <m:r>
          <m:t>q</m:t>
        </m:r>
      </m:oMath>
      <w:r>
        <w:t xml:space="preserve">.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pPr>
        <w:pStyle w:val="BodyText"/>
      </w:pPr>
      <w:r>
        <w:t xml:space="preserve">At Chaco, the quality parameter</w:t>
      </w:r>
      <w:r>
        <w:t xml:space="preserve"> </w:t>
      </w:r>
      <w:r>
        <w:rPr>
          <w:i/>
          <w:iCs/>
        </w:rPr>
        <w:t xml:space="preserve">q</w:t>
      </w:r>
      <w:r>
        <w:t xml:space="preserve"> </w:t>
      </w:r>
      <w:r>
        <w:t xml:space="preserve">maps to lineage productive capacity: the combination of labor force, agricultural knowledge, stored surplus, and access to exchange networks that determines a corporate group’s ability to mobilize resources. A critical requirement for empirical testing is that</w:t>
      </w:r>
      <w:r>
        <w:t xml:space="preserve"> </w:t>
      </w:r>
      <w:r>
        <w:rPr>
          <w:i/>
          <w:iCs/>
        </w:rPr>
        <w:t xml:space="preserve">q</w:t>
      </w:r>
      <w:r>
        <w:t xml:space="preserve"> </w:t>
      </w:r>
      <w:r>
        <w:t xml:space="preserve">be operationalized independently of the signaling investment it is intended to predict. If quality is inferred solely from investment magnitude (room counts, exotic goods concentrations), then the prediction that higher-quality agents invest more becomes circular. Independent proxies for</w:t>
      </w:r>
      <w:r>
        <w:t xml:space="preserve"> </w:t>
      </w:r>
      <w:r>
        <w:rPr>
          <w:i/>
          <w:iCs/>
        </w:rPr>
        <w:t xml:space="preserve">q</w:t>
      </w:r>
      <w:r>
        <w:t xml:space="preserve"> </w:t>
      </w:r>
      <w:r>
        <w:t xml:space="preserve">include catchment-area agricultural productivity, estimated labor pool size from residential site survey, distance-weighted access to arable land and permanent water (Benson et al. 2019), and community population estimates from non-great-house residential room counts. The present analysis uses the graded construction investment across the Chaco system as preliminary evidence for the quality-investment mapping; the next stage of the research programme (Section 6.7) specifies the independent operationalization required for a severe test.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pPr>
        <w:pStyle w:val="BodyText"/>
      </w:pPr>
      <w: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w:t>
      </w:r>
      <w:r>
        <w:t xml:space="preserve"> </w:t>
      </w:r>
      <m:oMath>
        <m:sSup>
          <m:e>
            <m:r>
              <m:t>x</m:t>
            </m:r>
          </m:e>
          <m:sup>
            <m:r>
              <m:rPr>
                <m:sty m:val="p"/>
              </m:rPr>
              <m:t>*</m:t>
            </m:r>
          </m:sup>
        </m:sSup>
        <m:r>
          <m:rPr>
            <m:sty m:val="p"/>
          </m:rPr>
          <m:t>(</m:t>
        </m:r>
        <m:r>
          <m:t>q</m:t>
        </m:r>
        <m:r>
          <m:rPr>
            <m:sty m:val="p"/>
          </m:rPr>
          <m:t>)</m:t>
        </m:r>
      </m:oMath>
      <w:r>
        <w:t xml:space="preserve">, where greater quality produces greater but continuously varying signal magnitude rather than a binary distinction between builders and non-builders. Small house communities that invested zero in monumental construction represent the minimum-quality type</w:t>
      </w:r>
      <w:r>
        <w:t xml:space="preserve"> </w:t>
      </w:r>
      <m:oMath>
        <m:sSub>
          <m:e>
            <m:r>
              <m:t>q</m:t>
            </m:r>
          </m:e>
          <m:sub>
            <m:r>
              <m:rPr>
                <m:sty m:val="p"/>
              </m:rPr>
              <m:t>min</m:t>
            </m:r>
          </m:sub>
        </m:sSub>
      </m:oMath>
      <w:r>
        <w:t xml:space="preserve">,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bookmarkEnd w:id="15"/>
    <w:bookmarkStart w:id="16" w:name="layer-2-intergroup-assessment"/>
    <w:p>
      <w:pPr>
        <w:pStyle w:val="Heading3"/>
      </w:pPr>
      <w:r>
        <w:t xml:space="preserve">2.3 Layer 2: Intergroup Assessment</w:t>
      </w:r>
    </w:p>
    <w:p>
      <w:pPr>
        <w:pStyle w:val="FirstParagraph"/>
      </w:pPr>
      <w:r>
        <w:t xml:space="preserve">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pPr>
        <w:pStyle w:val="BodyText"/>
      </w:pPr>
      <w:r>
        <w:t xml:space="preserve">Assessment noise, the uncertainty that a neighboring group faces when trying to judge how strong the builders are from the size of their great house, decreases as total monument investment increases:</w:t>
      </w:r>
    </w:p>
    <w:p>
      <w:pPr>
        <w:pStyle w:val="BodyText"/>
      </w:pPr>
      <m:oMathPara>
        <m:oMathParaPr>
          <m:jc m:val="center"/>
        </m:oMathParaPr>
        <m:oMath>
          <m:sSub>
            <m:e>
              <m:r>
                <m:t>σ</m:t>
              </m:r>
            </m:e>
            <m:sub>
              <m:r>
                <m:rPr>
                  <m:nor/>
                  <m:sty m:val="p"/>
                </m:rPr>
                <m:t>eff</m:t>
              </m:r>
            </m:sub>
          </m:sSub>
          <m:r>
            <m:rPr>
              <m:sty m:val="p"/>
            </m:rPr>
            <m:t>=</m:t>
          </m:r>
          <m:f>
            <m:fPr>
              <m:type m:val="bar"/>
            </m:fPr>
            <m:num>
              <m:sSub>
                <m:e>
                  <m:r>
                    <m:t>σ</m:t>
                  </m:r>
                </m:e>
                <m:sub>
                  <m:r>
                    <m:t>0</m:t>
                  </m:r>
                </m:sub>
              </m:sSub>
            </m:num>
            <m:den>
              <m:rad>
                <m:radPr>
                  <m:degHide m:val="on"/>
                </m:radPr>
                <m:deg/>
                <m:e>
                  <m:r>
                    <m:t>1</m:t>
                  </m:r>
                  <m:r>
                    <m:rPr>
                      <m:sty m:val="p"/>
                    </m:rPr>
                    <m:t>+</m:t>
                  </m:r>
                  <m:r>
                    <m:t>κ</m:t>
                  </m:r>
                  <m:r>
                    <m:rPr>
                      <m:sty m:val="p"/>
                    </m:rPr>
                    <m:t>(</m:t>
                  </m:r>
                  <m:sSub>
                    <m:e>
                      <m:r>
                        <m:t>M</m:t>
                      </m:r>
                    </m:e>
                    <m:sub>
                      <m:r>
                        <m:t>g</m:t>
                      </m:r>
                    </m:sub>
                  </m:sSub>
                  <m:r>
                    <m:rPr>
                      <m:sty m:val="p"/>
                    </m:rPr>
                    <m:t>+</m:t>
                  </m:r>
                  <m:sSub>
                    <m:e>
                      <m:r>
                        <m:t>M</m:t>
                      </m:r>
                    </m:e>
                    <m:sub>
                      <m:r>
                        <m:t>h</m:t>
                      </m:r>
                    </m:sub>
                  </m:sSub>
                  <m:r>
                    <m:rPr>
                      <m:sty m:val="p"/>
                    </m:rPr>
                    <m:t>)</m:t>
                  </m:r>
                </m:e>
              </m:rad>
            </m:den>
          </m:f>
        </m:oMath>
      </m:oMathPara>
    </w:p>
    <w:p>
      <w:pPr>
        <w:pStyle w:val="FirstParagraph"/>
      </w:pPr>
      <w:r>
        <w:t xml:space="preserve">The functional form follows from the logic of sequential assessment (Enquist and Leimar 1983). In that framework, contestants sample information about their opponent’s fighting ability, and each sample reduces uncertainty about relative strength. The precision of the estimate improves with the square root of the number of independent samples, following standard statistical averaging. Monument investment provides the analogue of repeated sampling: each unit of visible construction, each construction episode, each architectural feature is an independent piece of evidence about the group’s organizational capacity. A great house that was built in multiple documented phases over decades provides more assessment information than one built in a single episode, and a larger structure provides more observable features than a smaller one. The total monument stock</w:t>
      </w:r>
      <w:r>
        <w:t xml:space="preserve"> </w:t>
      </w:r>
      <m:oMath>
        <m:sSub>
          <m:e>
            <m:r>
              <m:t>M</m:t>
            </m:r>
          </m:e>
          <m:sub>
            <m:r>
              <m:t>g</m:t>
            </m:r>
          </m:sub>
        </m:sSub>
        <m:r>
          <m:rPr>
            <m:sty m:val="p"/>
          </m:rPr>
          <m:t>+</m:t>
        </m:r>
        <m:sSub>
          <m:e>
            <m:r>
              <m:t>M</m:t>
            </m:r>
          </m:e>
          <m:sub>
            <m:r>
              <m:t>h</m:t>
            </m:r>
          </m:sub>
        </m:sSub>
      </m:oMath>
      <w:r>
        <w:t xml:space="preserve"> </w:t>
      </w:r>
      <w:r>
        <w:t xml:space="preserve">of both groups indexes the total amount of assessment information available to a potential aggressor evaluating relative strength. The parameter</w:t>
      </w:r>
      <w:r>
        <w:t xml:space="preserve"> </w:t>
      </w:r>
      <m:oMath>
        <m:sSub>
          <m:e>
            <m:r>
              <m:t>σ</m:t>
            </m:r>
          </m:e>
          <m:sub>
            <m:r>
              <m:t>0</m:t>
            </m:r>
          </m:sub>
        </m:sSub>
      </m:oMath>
      <w:r>
        <w:t xml:space="preserve"> </w:t>
      </w:r>
      <w:r>
        <w:t xml:space="preserve">represents baseline assessment noise in the absence of monument signals, and</w:t>
      </w:r>
      <w:r>
        <w:t xml:space="preserve"> </w:t>
      </w:r>
      <m:oMath>
        <m:r>
          <m:t>κ</m:t>
        </m:r>
      </m:oMath>
      <w:r>
        <w:t xml:space="preserve"> </w:t>
      </w:r>
      <w:r>
        <w:t xml:space="preserve">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 The qualitative prediction, that conflict probability decreases with monument investment, is robust to alternative functional forms (logarithmic, power-law) provided noise decreases monotonically with total observable investment.</w:t>
      </w:r>
    </w:p>
    <w:p>
      <w:pPr>
        <w:pStyle w:val="BodyText"/>
      </w:pPr>
      <w:r>
        <w:t xml:space="preserve">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pPr>
        <w:pStyle w:val="BodyText"/>
      </w:pPr>
      <w:r>
        <w:t xml:space="preserve">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pPr>
        <w:pStyle w:val="BodyText"/>
      </w:pPr>
      <w:r>
        <w:t xml:space="preserve">The conflict-reduction prediction finds support in the temporal distribution of violence. During the Chaco florescence, evidence for inter-group violence was markedly low, a pattern characterized as</w:t>
      </w:r>
      <w:r>
        <w:t xml:space="preserve"> </w:t>
      </w:r>
      <w:r>
        <w:t xml:space="preserve">“Pax Chaco”</w:t>
      </w:r>
      <w:r>
        <w:t xml:space="preserve"> </w:t>
      </w:r>
      <w:r>
        <w:t xml:space="preserve">(Kantner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bookmarkEnd w:id="16"/>
    <w:bookmarkStart w:id="17" w:name="Xdcb39c3e478bd2806015e4141fd237a2bae54cc"/>
    <w:p>
      <w:pPr>
        <w:pStyle w:val="Heading3"/>
      </w:pPr>
      <w:r>
        <w:t xml:space="preserve">2.4 Layer 3: Cooperation Networks and the Lambda-Sigma Feedback</w:t>
      </w:r>
    </w:p>
    <w:p>
      <w:pPr>
        <w:pStyle w:val="FirstParagraph"/>
      </w:pPr>
      <w:r>
        <w:t xml:space="preserve">The third layer connects monument signaling to crisis survival through cooperation networks. The survival function for a group facing an environmental shortfall of severity</w:t>
      </w:r>
      <w:r>
        <w:t xml:space="preserve"> </w:t>
      </w:r>
      <m:oMath>
        <m:r>
          <m:t>σ</m:t>
        </m:r>
      </m:oMath>
      <w:r>
        <w:t xml:space="preserve"> </w:t>
      </w:r>
      <w:r>
        <w:t xml:space="preserve">with</w:t>
      </w:r>
      <w:r>
        <w:t xml:space="preserve"> </w:t>
      </w:r>
      <w:r>
        <w:rPr>
          <w:i/>
          <w:iCs/>
        </w:rPr>
        <w:t xml:space="preserve">k</w:t>
      </w:r>
      <w:r>
        <w:t xml:space="preserve"> </w:t>
      </w:r>
      <w:r>
        <w:t xml:space="preserve">exchange partners is:</w:t>
      </w:r>
    </w:p>
    <w:p>
      <w:pPr>
        <w:pStyle w:val="BodyText"/>
      </w:pPr>
      <m:oMathPara>
        <m:oMathParaPr>
          <m:jc m:val="center"/>
        </m:oMathParaPr>
        <m:oMath>
          <m:r>
            <m:t>S</m:t>
          </m:r>
          <m:r>
            <m:rPr>
              <m:sty m:val="p"/>
            </m:rPr>
            <m:t>(</m:t>
          </m:r>
          <m:r>
            <m:t>σ</m:t>
          </m:r>
          <m:r>
            <m:rPr>
              <m:sty m:val="p"/>
            </m:rPr>
            <m:t>,</m:t>
          </m:r>
          <m:r>
            <m:t>k</m:t>
          </m:r>
          <m:r>
            <m:rPr>
              <m:sty m:val="p"/>
            </m:rPr>
            <m:t>)</m:t>
          </m:r>
          <m:r>
            <m:rPr>
              <m:sty m:val="p"/>
            </m:rPr>
            <m:t>=</m:t>
          </m:r>
          <m:r>
            <m:rPr>
              <m:sty m:val="p"/>
            </m:rPr>
            <m:t>exp</m:t>
          </m:r>
          <m:d>
            <m:dPr>
              <m:begChr m:val="("/>
              <m:sepChr m:val=""/>
              <m:endChr m:val=")"/>
              <m:grow/>
            </m:dPr>
            <m:e>
              <m:r>
                <m:rPr>
                  <m:sty m:val="p"/>
                </m:rPr>
                <m:t>−</m:t>
              </m:r>
              <m:f>
                <m:fPr>
                  <m:type m:val="bar"/>
                </m:fPr>
                <m:num>
                  <m:r>
                    <m:t>σ</m:t>
                  </m:r>
                </m:num>
                <m:den>
                  <m:r>
                    <m:t>1</m:t>
                  </m:r>
                  <m:r>
                    <m:rPr>
                      <m:sty m:val="p"/>
                    </m:rPr>
                    <m:t>+</m:t>
                  </m:r>
                  <m:r>
                    <m:t>γ</m:t>
                  </m:r>
                  <m:r>
                    <m:t>k</m:t>
                  </m:r>
                </m:den>
              </m:f>
            </m:e>
          </m:d>
        </m:oMath>
      </m:oMathPara>
    </w:p>
    <w:p>
      <w:pPr>
        <w:pStyle w:val="FirstParagraph"/>
      </w:pPr>
      <w:r>
        <w:t xml:space="preserve">In words: a group’s chances of surviving a drought improve with the number of communities it can call on for help. The logic is insurance: a family with no connections must weather a crop failure alone, but a family with exchange partners in different valleys can draw on surplus from areas where the rains fell. The parameter</w:t>
      </w:r>
      <w:r>
        <w:t xml:space="preserve"> </w:t>
      </w:r>
      <m:oMath>
        <m:r>
          <m:t>γ</m:t>
        </m:r>
      </m:oMath>
      <w:r>
        <w:t xml:space="preserve"> </w:t>
      </w:r>
      <w:r>
        <w:t xml:space="preserve">scales how much each additional partner reduces risk. When a group has no exchange partners (</w:t>
      </w:r>
      <w:r>
        <w:rPr>
          <w:i/>
          <w:iCs/>
        </w:rPr>
        <w:t xml:space="preserve">k</w:t>
      </w:r>
      <w:r>
        <w:t xml:space="preserve"> </w:t>
      </w:r>
      <w:r>
        <w:t xml:space="preserve">= 0), survival is determined entirely by the severity of the shortfall. The exponential form ensures that survival probability remains in the interval (0, 1] for all non-negative</w:t>
      </w:r>
      <w:r>
        <w:t xml:space="preserve"> </w:t>
      </w:r>
      <m:oMath>
        <m:r>
          <m:t>σ</m:t>
        </m:r>
      </m:oMath>
      <w:r>
        <w:t xml:space="preserve"> </w:t>
      </w:r>
      <w:r>
        <w:t xml:space="preserve">and</w:t>
      </w:r>
      <w:r>
        <w:t xml:space="preserve"> </w:t>
      </w:r>
      <m:oMath>
        <m:r>
          <m:t>k</m:t>
        </m:r>
      </m:oMath>
      <w:r>
        <w:t xml:space="preserve">, and introduces diminishing marginal returns to additional partners, consistent with the standard logic of risk pooling in which the first few exchange partners provide substantially more insurance than subsequent additions. Appendix A (Section A.3) demonstrates that the model’s qualitative predictions, specifically the positive feedback between uncertainty and signaling returns, are robust to the choice between exponential and linear survival functions; the exponential form is preferred on theoretical grounds because it avoids boundary violations and better captures the diminishing-returns structure of risk buffering.</w:t>
      </w:r>
    </w:p>
    <w:p>
      <w:pPr>
        <w:pStyle w:val="BodyText"/>
      </w:pPr>
      <w:r>
        <w:t xml:space="preserve">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meaning that two stable states coexist: one in which signaling is widespread and one in which no one signals. Once a signaling system is established, it tends to persist; once it collapses, it does not spontaneously restart. The analogy is a ball resting in one of two valleys separated by a ridge: a small push is not enough to move it to the other valley. A small number of signalers can invade a non-signaling population more easily than the reverse, predicting that signaling systems, once established, are robust (Gintis et al. 2001, pp. 12-13). The GSB model was developed for individual-level interactions among unrelated agents. At Chaco, the relevant exchange relationships operated between corporate groups, some of which were connected through kinship (Kennett et al. 2017). The extension from individual to group-level signaling is justified when the signaling agent is the corporate group rather than the individual, which the archaeological evidence supports: great house construction was a collective enterprise whose costs and benefits accrued to the community, not to any single person. Kin-based relationships within and between groups would, if anything, strengthen the signaling mechanism by providing additional channels for partner assessment and reducing the information asymmetry that signaling addresses.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pPr>
        <w:pStyle w:val="BodyText"/>
      </w:pPr>
      <w:r>
        <w:t xml:space="preserve">The critical feedback mechanism is that the fitness return to signaling,</w:t>
      </w:r>
      <w:r>
        <w:t xml:space="preserve"> </w:t>
      </w:r>
      <m:oMath>
        <m:r>
          <m:t>λ</m:t>
        </m:r>
      </m:oMath>
      <w:r>
        <w:t xml:space="preserve">, is itself a function of environmental uncertainty:</w:t>
      </w:r>
    </w:p>
    <w:p>
      <w:pPr>
        <w:pStyle w:val="BodyText"/>
      </w:pPr>
      <m:oMathPara>
        <m:oMathParaPr>
          <m:jc m:val="center"/>
        </m:oMathParaP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m:oMathPara>
    </w:p>
    <w:p>
      <w:pPr>
        <w:pStyle w:val="FirstParagraph"/>
      </w:pPr>
      <w:r>
        <w:t xml:space="preserve">In words: as environmental uncertainty increases, the fitness value of cooperation networks rises, which increases the returns to monument signaling, which drives greater investment, which builds denser networks. The linear form is the simplest specification consistent with the qualitative prediction that signaling returns increase with uncertainty. Whether the true relationship is linear, concave (diminishing returns at high uncertainty), or exhibits threshold effects is an empirical question that cannot be resolved at this stage of the research programme. Appendix A (Section A.5) demonstrates that the model’s core qualitative predictions, specifically that signaling intensifies with moderate uncertainty and that the system collapses under extreme sustained stress, are robust across a family of monotonically increasing lambda-sigma functions, including concave specifications of the form</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with</w:t>
      </w:r>
      <w:r>
        <w:t xml:space="preserve"> </w:t>
      </w:r>
      <m:oMath>
        <m:r>
          <m:t>0</m:t>
        </m:r>
        <m:r>
          <m:rPr>
            <m:sty m:val="p"/>
          </m:rPr>
          <m:t>&lt;</m:t>
        </m:r>
        <m:r>
          <m:t>α</m:t>
        </m:r>
        <m:r>
          <m:rPr>
            <m:sty m:val="p"/>
          </m:rPr>
          <m:t>≤</m:t>
        </m:r>
        <m:r>
          <m:t>1</m:t>
        </m:r>
      </m:oMath>
      <w:r>
        <w:t xml:space="preserve">. A concave form would predict that signaling plateaus under extreme uncertainty rather than increasing without bound, which may better capture the Late Bonito decline in construction that preceded the megadrought. Distinguishing among functional forms requires the annual-resolution PMDI-construction correlation analysis identified in Section 6.6.</w:t>
      </w:r>
    </w:p>
    <w:p>
      <w:pPr>
        <w:pStyle w:val="BodyText"/>
      </w:pPr>
      <w:r>
        <w:t xml:space="preserve">This feedback loop makes the model responsive to environmental conditions without requiring anyone to consciously track climate statistics. When conditions are stable and predictable, cooperation networks are less valuable, so the payoff from building monuments is modest and communities invest little. When conditions are uncertain and droughts unpredictable, having exchange partners becomes critical for survival, so the payoff from monument building rises and communities invest more. Under stable conditions (low</w:t>
      </w:r>
      <w:r>
        <w:t xml:space="preserve"> </w:t>
      </w:r>
      <m:oMath>
        <m:r>
          <m:t>σ</m:t>
        </m:r>
      </m:oMath>
      <w:r>
        <w:t xml:space="preserve">),</w:t>
      </w:r>
      <w:r>
        <w:t xml:space="preserve"> </w:t>
      </w:r>
      <m:oMath>
        <m:r>
          <m:t>λ</m:t>
        </m:r>
      </m:oMath>
      <w:r>
        <w:t xml:space="preserve"> </w:t>
      </w:r>
      <w:r>
        <w:t xml:space="preserve">is low and signaling investment is modest. Under high uncertainty,</w:t>
      </w:r>
      <w:r>
        <w:t xml:space="preserve"> </w:t>
      </w:r>
      <m:oMath>
        <m:r>
          <m:t>λ</m:t>
        </m:r>
      </m:oMath>
      <w:r>
        <w:t xml:space="preserve"> </w:t>
      </w:r>
      <w:r>
        <w:t xml:space="preserve">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pPr>
        <w:pStyle w:val="BodyText"/>
      </w:pPr>
      <w:r>
        <w:t xml:space="preserve">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pPr>
        <w:pStyle w:val="BodyText"/>
      </w:pPr>
      <w: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w:t>
      </w:r>
      <w:r>
        <w:t xml:space="preserve"> </w:t>
      </w:r>
      <m:oMath>
        <m:r>
          <m:t>S</m:t>
        </m:r>
        <m:r>
          <m:rPr>
            <m:sty m:val="p"/>
          </m:rPr>
          <m:t>(</m:t>
        </m:r>
        <m:r>
          <m:t>σ</m:t>
        </m:r>
        <m:r>
          <m:rPr>
            <m:sty m:val="p"/>
          </m:rPr>
          <m:t>,</m:t>
        </m:r>
        <m:r>
          <m:t>k</m:t>
        </m:r>
        <m:r>
          <m:rPr>
            <m:sty m:val="p"/>
          </m:rPr>
          <m:t>)</m:t>
        </m:r>
      </m:oMath>
      <w:r>
        <w:t xml:space="preserve"> </w:t>
      </w:r>
      <w:r>
        <w:t xml:space="preserve">captures: exchange partners in different climate regimes are more valuable per partner than those experiencing correlated droughts. A more refined version of the survival function would discount the buffering value of partners whose environmental shocks are spatially correlated with the focal group. The present formulation treats each partner as providing independent buffering, which overstates the insurance value of nearby partners experiencing correlated conditions. This simplification is partially justified by the evidence that the Chaco network spanned multiple climate regimes (Gauthier 2021), but a full treatment would weight partners by the inverse of their drought correlation with the focal site.</w:t>
      </w:r>
    </w:p>
    <w:p>
      <w:pPr>
        <w:pStyle w:val="BodyText"/>
      </w:pPr>
      <w:r>
        <w:t xml:space="preserve">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bookmarkEnd w:id="17"/>
    <w:bookmarkStart w:id="18" w:name="signal-depreciation"/>
    <w:p>
      <w:pPr>
        <w:pStyle w:val="Heading3"/>
      </w:pPr>
      <w:r>
        <w:t xml:space="preserve">2.5 Signal Depreciation</w:t>
      </w:r>
    </w:p>
    <w:p>
      <w:pPr>
        <w:pStyle w:val="FirstParagraph"/>
      </w:pPr>
      <w:r>
        <w:t xml:space="preserve">Monument stock is not permanent. Even if the physical structure endures, the informational content of a signal depreciates over time without current investment to refresh it. Monument stock evolves according to:</w:t>
      </w:r>
    </w:p>
    <w:p>
      <w:pPr>
        <w:pStyle w:val="BodyText"/>
      </w:pPr>
      <m:oMathPara>
        <m:oMathParaPr>
          <m:jc m:val="center"/>
        </m:oMathParaP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m:oMathPara>
    </w:p>
    <w:p>
      <w:pPr>
        <w:pStyle w:val="FirstParagraph"/>
      </w:pPr>
      <w:r>
        <w:t xml:space="preserve">In words: last period’s monument stock loses some of its informational value at rate</w:t>
      </w:r>
      <w:r>
        <w:t xml:space="preserve"> </w:t>
      </w:r>
      <m:oMath>
        <m:r>
          <m:t>δ</m:t>
        </m:r>
      </m:oMath>
      <w:r>
        <w:t xml:space="preserve">, and new investment</w:t>
      </w:r>
      <w:r>
        <w:t xml:space="preserve"> </w:t>
      </w:r>
      <m:oMath>
        <m:sSub>
          <m:e>
            <m:r>
              <m:t>I</m:t>
            </m:r>
          </m:e>
          <m:sub>
            <m:r>
              <m:t>g</m:t>
            </m:r>
          </m:sub>
        </m:sSub>
        <m:r>
          <m:rPr>
            <m:sty m:val="p"/>
          </m:rPr>
          <m:t>(</m:t>
        </m:r>
        <m:r>
          <m:t>t</m:t>
        </m:r>
        <m:r>
          <m:rPr>
            <m:sty m:val="p"/>
          </m:rPr>
          <m:t>)</m:t>
        </m:r>
      </m:oMath>
      <w:r>
        <w:t xml:space="preserve"> </w:t>
      </w:r>
      <w:r>
        <w:t xml:space="preserve">adds to the stock. The depreciation is informational, not physical: the walls may still stand, but a great house that was built a century ago and has received no subsequent construction or renovation tells observers that the builders may no longer possess the capacity they once demonstrated. The analogy is a business whose impressive headquarters was built decades ago but has received no maintenance or expansion: visitors begin to wonder whether the company is still thriving. At steady state, maintaining a constant signal requires continuous investment:</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w:t>
      </w:r>
    </w:p>
    <w:p>
      <w:pPr>
        <w:pStyle w:val="BodyText"/>
      </w:pPr>
      <w:r>
        <w:t xml:space="preserve">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w:t>
      </w:r>
      <w:r>
        <w:t xml:space="preserve"> </w:t>
      </w:r>
      <w:r>
        <w:t xml:space="preserve">“a never-ending project”</w:t>
      </w:r>
      <w:r>
        <w:t xml:space="preserve"> </w:t>
      </w:r>
      <w:r>
        <w:t xml:space="preserve">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pPr>
        <w:pStyle w:val="BodyText"/>
      </w:pPr>
      <w:r>
        <w:t xml:space="preserve">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w:t>
      </w:r>
      <w:r>
        <w:t xml:space="preserve"> </w:t>
      </w:r>
      <w:r>
        <w:t xml:space="preserve">“illusory trick”</w:t>
      </w:r>
      <w:r>
        <w:t xml:space="preserve"> </w:t>
      </w:r>
      <w:r>
        <w:t xml:space="preserve">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 Schwarz (2023) identifies this dynamic as</w:t>
      </w:r>
      <w:r>
        <w:t xml:space="preserve"> </w:t>
      </w:r>
      <w:r>
        <w:t xml:space="preserve">“cost shifting”</w:t>
      </w:r>
      <w:r>
        <w:t xml:space="preserve"> </w:t>
      </w:r>
      <w:r>
        <w:t xml:space="preserve">in a comparative analysis of Maya signaling collapse, where Terminal Classic communities reduced signal production costs by building smaller temples rather than maintaining earlier monumental scales; the Late Bonito McElmo-style construction at Chaco represents a structurally parallel strategy.</w:t>
      </w:r>
    </w:p>
    <w:bookmarkEnd w:id="18"/>
    <w:bookmarkStart w:id="19" w:name="the-exotic-goods-channel"/>
    <w:p>
      <w:pPr>
        <w:pStyle w:val="Heading3"/>
      </w:pPr>
      <w:r>
        <w:t xml:space="preserve">2.6 The Exotic Goods Channel</w:t>
      </w:r>
    </w:p>
    <w:p>
      <w:pPr>
        <w:pStyle w:val="FirstParagraph"/>
      </w:pPr>
      <w:r>
        <w:t xml:space="preserve">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pPr>
        <w:pStyle w:val="BodyText"/>
      </w:pPr>
      <w:r>
        <w:t xml:space="preserve">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pPr>
        <w:pStyle w:val="BodyText"/>
      </w:pPr>
      <w:r>
        <w:t xml:space="preserve">The channel selection analysis (Appendix A, Section A.4) explains why monument construction dominates the signaling system when multi-audience communication matters. The key distinction is between signal fidelity and signal impressiveness. Monument construction has high signal fidelity because labor capacity, the quality being signaled, cannot be faked through windfall acquisition. Constructing a 350-room, four-story masonry building requires sustained organizational capacity that has no shortcut. Feasting and exotic goods, by contrast, have lower signal fidelity because they can be partially subsidized by fortunate procurement events: a single successful trading expedition or an unusually productive turquoise vein, rather than systematic productive capacity. The load-bearing assumption is the ordering, that monument fidelity exceeds exotic goods fidelity, not the specific magnitudes. We do not assign numerical fidelity values because no empirical procedure currently exists for estimating them; the qualitative ordering is justified by the structural properties of the two channels (labor cannot be faked; procurement can be lucky).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bookmarkEnd w:id="19"/>
    <w:bookmarkStart w:id="20" w:name="multi-millennial-context"/>
    <w:p>
      <w:pPr>
        <w:pStyle w:val="Heading3"/>
      </w:pPr>
      <w:r>
        <w:t xml:space="preserve">3.1 Multi-Millennial Context</w:t>
      </w:r>
    </w:p>
    <w:p>
      <w:pPr>
        <w:pStyle w:val="FirstParagraph"/>
      </w:pPr>
      <w:r>
        <w:t xml:space="preserve">The environmental uncertainty parameter sigma captures the cumulative exposure to environmental stress that a population experiences, integrating shortfall magnitude, duration, and frequency. In the analytical model, sigma enters the lambda-sigma feedback and the survival function as a single scalar. In the empirical evaluation, we operationalize sigma in three ways: as rolling PMDI standard deviation (for the annual-resolution correlation tests in Section 5.5), as period-level PMDI variance (for the descriptive period comparison), and as a composite measure for visualization in Figure 6. The analytical predictions concern the qualitative direction of the sigma-construction relationship, not a specific operationalization, so the P5 result (negative correlation between variance and construction) is robust to the choice of sigma measure.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pPr>
        <w:pStyle w:val="BodyText"/>
      </w:pPr>
      <w:r>
        <w:t xml:space="preserve">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pPr>
        <w:pStyle w:val="BodyText"/>
      </w:pPr>
      <w:r>
        <w:t xml:space="preserve">ENSO-driven variability provides the higher-frequency component of environmental uncertainty at Chaco. Gillreath-Brown and Kohler (2024) demonstrate that El Nino-like conditions, which bring enhanced winter precipitation to the Colorado Plateau, dominated from roughly AD 1 to 1100. This</w:t>
      </w:r>
      <w:r>
        <w:t xml:space="preserve"> </w:t>
      </w:r>
      <w:r>
        <w:t xml:space="preserve">“El Nino Pueblo Period”</w:t>
      </w:r>
      <w:r>
        <w:t xml:space="preserve"> </w:t>
      </w:r>
      <w:r>
        <w:t xml:space="preserve">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developed during a favorable baseline phase of ENSO, but one characterized by substantial interannual variability within that phase. Favorable average conditions did not mean predictable conditions.</w:t>
      </w:r>
    </w:p>
    <w:p>
      <w:pPr>
        <w:pStyle w:val="BodyText"/>
      </w:pPr>
      <w:r>
        <w:t xml:space="preserve">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bookmarkEnd w:id="20"/>
    <w:bookmarkStart w:id="21" w:name="period-specific-sigma-values"/>
    <w:p>
      <w:pPr>
        <w:pStyle w:val="Heading3"/>
      </w:pPr>
      <w:r>
        <w:t xml:space="preserve">3.2 Period-Specific Sigma Values</w:t>
      </w:r>
    </w:p>
    <w:p>
      <w:pPr>
        <w:pStyle w:val="FirstParagraph"/>
      </w:pPr>
      <w:r>
        <w:t xml:space="preserve">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pPr>
        <w:pStyle w:val="BodyText"/>
      </w:pPr>
      <w:r>
        <w:t xml:space="preserve">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pPr>
        <w:pStyle w:val="BodyText"/>
      </w:pPr>
      <w:r>
        <w:t xml:space="preserve">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bookmarkEnd w:id="21"/>
    <w:bookmarkStart w:id="22" w:name="Xe37badc7a32fac6aa59f75bcbe93f9f384d53c9"/>
    <w:p>
      <w:pPr>
        <w:pStyle w:val="Heading3"/>
      </w:pPr>
      <w:r>
        <w:t xml:space="preserve">3.3 Construction-Agriculture Scheduling Conflict</w:t>
      </w:r>
    </w:p>
    <w:p>
      <w:pPr>
        <w:pStyle w:val="FirstParagraph"/>
      </w:pPr>
      <w:r>
        <w:t xml:space="preserve">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pPr>
        <w:pStyle w:val="BodyText"/>
      </w:pPr>
      <w:r>
        <w:t xml:space="preserve">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bookmarkEnd w:id="22"/>
    <w:bookmarkStart w:id="23" w:name="resolving-the-construction-timing-debate"/>
    <w:p>
      <w:pPr>
        <w:pStyle w:val="Heading3"/>
      </w:pPr>
      <w:r>
        <w:t xml:space="preserve">3.4 Resolving the Construction Timing Debate</w:t>
      </w:r>
    </w:p>
    <w:p>
      <w:pPr>
        <w:pStyle w:val="FirstParagraph"/>
      </w:pPr>
      <w:r>
        <w:t xml:space="preserve">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pPr>
        <w:pStyle w:val="BodyText"/>
      </w:pPr>
      <w:r>
        <w:t xml:space="preserve">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pPr>
        <w:pStyle w:val="BodyText"/>
      </w:pPr>
      <w:r>
        <w:t xml:space="preserve">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w:t>
      </w:r>
      <w:r>
        <w:t xml:space="preserve"> </w:t>
      </w:r>
      <w:r>
        <w:t xml:space="preserve">## 4. Predictions</w:t>
      </w:r>
    </w:p>
    <w:p>
      <w:pPr>
        <w:pStyle w:val="BodyText"/>
      </w:pPr>
      <w:r>
        <w:t xml:space="preserve">The three-layer model, parameterized with Chaco-specific environmental and archaeological data,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pPr>
        <w:pStyle w:val="BodyText"/>
      </w:pPr>
      <w:r>
        <w:t xml:space="preserve">Following Mayo’s (2018) principle that evidence requires severe testing, we classify each prediction by its discriminating power relative to alternative frameworks. A prediction is</w:t>
      </w:r>
      <w:r>
        <w:t xml:space="preserve"> </w:t>
      </w:r>
      <w:r>
        <w:rPr>
          <w:b/>
          <w:bCs/>
        </w:rPr>
        <w:t xml:space="preserve">discriminating</w:t>
      </w:r>
      <w:r>
        <w:t xml:space="preserve"> </w:t>
      </w:r>
      <w:r>
        <w:t xml:space="preserve">if the signaling model predicts a pattern that alternative frameworks either do not predict or predict in the opposite direction. A prediction is</w:t>
      </w:r>
      <w:r>
        <w:t xml:space="preserve"> </w:t>
      </w:r>
      <w:r>
        <w:rPr>
          <w:b/>
          <w:bCs/>
        </w:rPr>
        <w:t xml:space="preserve">convergent</w:t>
      </w:r>
      <w:r>
        <w:t xml:space="preserve"> </w:t>
      </w:r>
      <w:r>
        <w:t xml:space="preserve">if the signaling model and one or more alternatives predict observationally similar patterns, even though the underlying mechanisms differ. Convergent predictions provide support for the signaling model only in conjunction with discriminating predictions; on their own, they cannot distinguish among frameworks. This classification is essential for honest evaluation of the model’s empirical leverage.</w:t>
      </w:r>
    </w:p>
    <w:bookmarkEnd w:id="23"/>
    <w:bookmarkStart w:id="24" w:name="layer-1-predictions-individual-signaling"/>
    <w:p>
      <w:pPr>
        <w:pStyle w:val="Heading3"/>
      </w:pPr>
      <w:r>
        <w:t xml:space="preserve">Layer 1 predictions: Individual signaling</w:t>
      </w:r>
    </w:p>
    <w:p>
      <w:pPr>
        <w:pStyle w:val="FirstParagraph"/>
      </w:pPr>
      <w:r>
        <w:rPr>
          <w:b/>
          <w:bCs/>
        </w:rPr>
        <w:t xml:space="preserve">Prediction 1: Quality-dependent investment</w:t>
      </w:r>
      <w:r>
        <w:t xml:space="preserve"> </w:t>
      </w:r>
      <w:r>
        <w:rPr>
          <w:i/>
          <w:iCs/>
        </w:rPr>
        <w:t xml:space="preserve">(convergent).</w:t>
      </w:r>
      <w:r>
        <w:t xml:space="preserve"> </w:t>
      </w:r>
      <w:r>
        <w:t xml:space="preserve">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the opportunity cost. Hierarchy models predict investment scaling with political authority rather than productive capacity.</w:t>
      </w:r>
    </w:p>
    <w:p>
      <w:pPr>
        <w:pStyle w:val="BodyText"/>
      </w:pPr>
      <w:r>
        <w:rPr>
          <w:b/>
          <w:bCs/>
        </w:rPr>
        <w:t xml:space="preserve">Prediction 2: Elite signaling through exotic goods</w:t>
      </w:r>
      <w:r>
        <w:t xml:space="preserve"> </w:t>
      </w:r>
      <w:r>
        <w:rPr>
          <w:i/>
          <w:iCs/>
        </w:rPr>
        <w:t xml:space="preserve">(convergent).</w:t>
      </w:r>
      <w:r>
        <w:t xml:space="preserve"> </w:t>
      </w:r>
      <w:r>
        <w:t xml:space="preserve">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bookmarkEnd w:id="24"/>
    <w:bookmarkStart w:id="25" w:name="X4d16c4b97cb6809a1b3cf89afb4b2f99cdcf655"/>
    <w:p>
      <w:pPr>
        <w:pStyle w:val="Heading3"/>
      </w:pPr>
      <w:r>
        <w:t xml:space="preserve">Layer 2 predictions: Intergroup assessment</w:t>
      </w:r>
    </w:p>
    <w:p>
      <w:pPr>
        <w:pStyle w:val="FirstParagraph"/>
      </w:pPr>
      <w:r>
        <w:rPr>
          <w:b/>
          <w:bCs/>
        </w:rPr>
        <w:t xml:space="preserve">Prediction 3: Signal observability</w:t>
      </w:r>
      <w:r>
        <w:t xml:space="preserve"> </w:t>
      </w:r>
      <w:r>
        <w:rPr>
          <w:i/>
          <w:iCs/>
        </w:rPr>
        <w:t xml:space="preserve">(discriminating).</w:t>
      </w:r>
      <w:r>
        <w:t xml:space="preserve"> </w:t>
      </w:r>
      <w:r>
        <w:t xml:space="preserve">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pPr>
        <w:pStyle w:val="BodyText"/>
      </w:pPr>
      <w:r>
        <w:rPr>
          <w:b/>
          <w:bCs/>
        </w:rPr>
        <w:t xml:space="preserve">Prediction 4: Conflict reduction during signaling (Pax Chaco)</w:t>
      </w:r>
      <w:r>
        <w:t xml:space="preserve"> </w:t>
      </w:r>
      <w:r>
        <w:rPr>
          <w:i/>
          <w:iCs/>
        </w:rPr>
        <w:t xml:space="preserve">(discriminating).</w:t>
      </w:r>
      <w:r>
        <w:t xml:space="preserve"> </w:t>
      </w:r>
      <w:r>
        <w:t xml:space="preserve">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bookmarkEnd w:id="25"/>
    <w:bookmarkStart w:id="26" w:name="Xe0a4b4a662c121d67cd2ccaf151e7c18bc2abc1"/>
    <w:p>
      <w:pPr>
        <w:pStyle w:val="Heading3"/>
      </w:pPr>
      <w:r>
        <w:t xml:space="preserve">Layer 3 predictions: Cooperation networks and environmental feedback</w:t>
      </w:r>
    </w:p>
    <w:p>
      <w:pPr>
        <w:pStyle w:val="FirstParagraph"/>
      </w:pPr>
      <w:r>
        <w:rPr>
          <w:b/>
          <w:bCs/>
        </w:rPr>
        <w:t xml:space="preserve">Prediction 5: Construction intensifies under uncertainty</w:t>
      </w:r>
      <w:r>
        <w:t xml:space="preserve"> </w:t>
      </w:r>
      <w:r>
        <w:rPr>
          <w:i/>
          <w:iCs/>
        </w:rPr>
        <w:t xml:space="preserve">(discriminating).</w:t>
      </w:r>
      <w:r>
        <w:t xml:space="preserve"> </w:t>
      </w:r>
      <w:r>
        <w:t xml:space="preserve">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pPr>
        <w:pStyle w:val="BodyText"/>
      </w:pPr>
      <w:r>
        <w:rPr>
          <w:b/>
          <w:bCs/>
        </w:rPr>
        <w:t xml:space="preserve">Prediction 6: Network connectivity tracks signaling</w:t>
      </w:r>
      <w:r>
        <w:t xml:space="preserve"> </w:t>
      </w:r>
      <w:r>
        <w:rPr>
          <w:i/>
          <w:iCs/>
        </w:rPr>
        <w:t xml:space="preserve">(discriminating).</w:t>
      </w:r>
      <w:r>
        <w:t xml:space="preserve"> </w:t>
      </w:r>
      <w:r>
        <w:t xml:space="preserve">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bookmarkEnd w:id="26"/>
    <w:bookmarkStart w:id="27" w:name="signal-depreciation-predictions"/>
    <w:p>
      <w:pPr>
        <w:pStyle w:val="Heading3"/>
      </w:pPr>
      <w:r>
        <w:t xml:space="preserve">Signal depreciation predictions</w:t>
      </w:r>
    </w:p>
    <w:p>
      <w:pPr>
        <w:pStyle w:val="FirstParagraph"/>
      </w:pPr>
      <w:r>
        <w:rPr>
          <w:b/>
          <w:bCs/>
        </w:rPr>
        <w:t xml:space="preserve">Prediction 7: Signal depreciation requires reinvestment</w:t>
      </w:r>
      <w:r>
        <w:t xml:space="preserve"> </w:t>
      </w:r>
      <w:r>
        <w:rPr>
          <w:i/>
          <w:iCs/>
        </w:rPr>
        <w:t xml:space="preserve">(partially discriminating).</w:t>
      </w:r>
      <w:r>
        <w:t xml:space="preserve"> </w:t>
      </w:r>
      <w:r>
        <w:t xml:space="preserve">Physical monument decay and informational depreciation should drive periodic construction renewals, with cessation of maintenance 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bookmarkEnd w:id="27"/>
    <w:bookmarkStart w:id="28" w:name="system-level-prediction"/>
    <w:p>
      <w:pPr>
        <w:pStyle w:val="Heading3"/>
      </w:pPr>
      <w:r>
        <w:t xml:space="preserve">System-level prediction</w:t>
      </w:r>
    </w:p>
    <w:p>
      <w:pPr>
        <w:pStyle w:val="FirstParagraph"/>
      </w:pPr>
      <w:r>
        <w:rPr>
          <w:b/>
          <w:bCs/>
        </w:rPr>
        <w:t xml:space="preserve">Prediction 8: Collapse when sigma exceeds buffering capacity</w:t>
      </w:r>
      <w:r>
        <w:t xml:space="preserve"> </w:t>
      </w:r>
      <w:r>
        <w:rPr>
          <w:i/>
          <w:iCs/>
        </w:rPr>
        <w:t xml:space="preserve">(discriminating).</w:t>
      </w:r>
      <w:r>
        <w:t xml:space="preserve"> </w:t>
      </w:r>
      <w:r>
        <w:t xml:space="preserve">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w:t>
      </w:r>
      <w:r>
        <w:t xml:space="preserve"> </w:t>
      </w:r>
      <w:r>
        <w:t xml:space="preserve">“cheating”</w:t>
      </w:r>
      <w:r>
        <w:t xml:space="preserve">),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w:t>
      </w:r>
      <w:r>
        <w:t xml:space="preserve"> </w:t>
      </w:r>
      <w:r>
        <w:t xml:space="preserve">## 5. Evidence Evaluation</w:t>
      </w:r>
    </w:p>
    <w:p>
      <w:pPr>
        <w:pStyle w:val="BodyText"/>
      </w:pPr>
      <w:r>
        <w:t xml:space="preserve">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 As noted in Section 4, we distinguish between discriminating predictions (where the signaling model predicts patterns that alternatives do not) and convergent predictions (where multiple frameworks predict similar patterns). The model’s empirical leverage rests primarily on the discriminating predictions.</w:t>
      </w:r>
    </w:p>
    <w:bookmarkEnd w:id="28"/>
    <w:bookmarkStart w:id="29" w:name="X79e7dc161f597e407287e87227b2b8766ba5b7e"/>
    <w:p>
      <w:pPr>
        <w:pStyle w:val="Heading3"/>
      </w:pPr>
      <w:r>
        <w:t xml:space="preserve">5.1 Prediction 1: Quality-Dependent Investment</w:t>
      </w:r>
    </w:p>
    <w:p>
      <w:pPr>
        <w:pStyle w:val="FirstParagraph"/>
      </w:pPr>
      <w:r>
        <w:t xml:space="preserve">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pPr>
        <w:pStyle w:val="BodyText"/>
      </w:pPr>
      <w:r>
        <w:t xml:space="preserve">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pPr>
        <w:pStyle w:val="BodyText"/>
      </w:pPr>
      <w:r>
        <w:t xml:space="preserve">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pPr>
        <w:pStyle w:val="BodyText"/>
      </w:pPr>
      <w:r>
        <w:t xml:space="preserve">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pPr>
        <w:pStyle w:val="BodyText"/>
      </w:pPr>
      <w:r>
        <w:rPr>
          <w:b/>
          <w:bCs/>
        </w:rPr>
        <w:t xml:space="preserve">Assessment: Supported (convergent; severity caveat).</w:t>
      </w:r>
      <w:r>
        <w:t xml:space="preserve"> </w:t>
      </w:r>
      <w:r>
        <w:t xml:space="preserve">The combination of hereditary elite status, scaled architectural investment, and system-wide inequality increase is consistent with the Spence condition. A Bayesian log-log regression of timber specimen counts on room counts across 13 sites (PyMC 5, 2 chains, 1,000 tuning + 2,000 sampling iterations per chain, weakly informative Normal(0, 5) priors on coefficients, HalfNormal(sigma=2) on the residual scale) yields a quality-investment slope of beta = 1.67 (94% HDI: 0.84-2.45, P(beta &gt; 0) = 0.9998; Figure 16c), confirming a superlinear relationship between site size and construction investment. However, this prediction is convergent with hierarchy models, and the test has not yet been severe in Mayo’s (2018) sense: quality (</w:t>
      </w:r>
      <w:r>
        <w:rPr>
          <w:i/>
          <w:iCs/>
        </w:rPr>
        <w:t xml:space="preserve">q</w:t>
      </w:r>
      <w:r>
        <w:t xml:space="preserve">) has not been operationalized independently of the investment it is intended to predict. Independent operationalization of</w:t>
      </w:r>
      <w:r>
        <w:t xml:space="preserve"> </w:t>
      </w:r>
      <w:r>
        <w:rPr>
          <w:i/>
          <w:iCs/>
        </w:rPr>
        <w:t xml:space="preserve">q</w:t>
      </w:r>
      <w:r>
        <w:t xml:space="preserve"> </w:t>
      </w:r>
      <w:r>
        <w:t xml:space="preserve">through catchment-area productivity or labor pool estimates (Section 6.7) is required to convert this from a convergent consistency check to a severe test.</w:t>
      </w:r>
    </w:p>
    <w:bookmarkEnd w:id="29"/>
    <w:bookmarkStart w:id="30" w:name="X0e8cb28bde500cc62a553d2417aea26f252805b"/>
    <w:p>
      <w:pPr>
        <w:pStyle w:val="Heading3"/>
      </w:pPr>
      <w:r>
        <w:t xml:space="preserve">5.2 Prediction 2: Elite Signaling Through Exotic Goods</w:t>
      </w:r>
    </w:p>
    <w:p>
      <w:pPr>
        <w:pStyle w:val="FirstParagraph"/>
      </w:pPr>
      <w:r>
        <w:t xml:space="preserve">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pPr>
        <w:pStyle w:val="BodyText"/>
      </w:pPr>
      <w:r>
        <w:t xml:space="preserve">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w:t>
      </w:r>
      <w:r>
        <w:t xml:space="preserve"> </w:t>
      </w:r>
      <w:r>
        <w:t xml:space="preserve">“embedded production”</w:t>
      </w:r>
      <w:r>
        <w:t xml:space="preserve">: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w:t>
      </w:r>
      <w:r>
        <w:t xml:space="preserve"> </w:t>
      </w:r>
      <w:r>
        <w:t xml:space="preserve">“control”</w:t>
      </w:r>
      <w:r>
        <w:t xml:space="preserve"> </w:t>
      </w:r>
      <w:r>
        <w:t xml:space="preserve">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pPr>
        <w:pStyle w:val="BodyText"/>
      </w:pPr>
      <w:r>
        <w:t xml:space="preserve">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pPr>
        <w:pStyle w:val="BodyText"/>
      </w:pPr>
      <w:r>
        <w:rPr>
          <w:b/>
          <w:bCs/>
        </w:rPr>
        <w:t xml:space="preserve">Assessment: Supported.</w:t>
      </w:r>
      <w:r>
        <w:t xml:space="preserve"> </w:t>
      </w:r>
      <w:r>
        <w:t xml:space="preserve">Exotic goods distribution at Chaco satisfies the condition-dependent signaling criteria: acquisition costs scale with quality, access is restricted to the highest-status lineages, and embedded production links costs directly to the elite agents who bear them.</w:t>
      </w:r>
    </w:p>
    <w:bookmarkEnd w:id="30"/>
    <w:bookmarkStart w:id="31" w:name="prediction-3-signal-observability"/>
    <w:p>
      <w:pPr>
        <w:pStyle w:val="Heading3"/>
      </w:pPr>
      <w:r>
        <w:t xml:space="preserve">5.3 Prediction 3: Signal Observability</w:t>
      </w:r>
    </w:p>
    <w:p>
      <w:pPr>
        <w:pStyle w:val="FirstParagraph"/>
      </w:pPr>
      <w:r>
        <w:t xml:space="preserve">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pPr>
        <w:pStyle w:val="BodyText"/>
      </w:pPr>
      <w:r>
        <w:t xml:space="preserve">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pPr>
        <w:pStyle w:val="BodyText"/>
      </w:pPr>
      <w:r>
        <w:t xml:space="preserve">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pPr>
        <w:pStyle w:val="BodyText"/>
      </w:pPr>
      <w:r>
        <w:t xml:space="preserve">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pPr>
        <w:pStyle w:val="BodyText"/>
      </w:pPr>
      <w:r>
        <w:rPr>
          <w:b/>
          <w:bCs/>
        </w:rPr>
        <w:t xml:space="preserve">Assessment: Supported.</w:t>
      </w:r>
      <w:r>
        <w:t xml:space="preserve"> </w:t>
      </w:r>
      <w:r>
        <w:t xml:space="preserve">Both visual and acoustic analyses confirm that great houses were engineered for landscape-scale observability, satisfying a formal prerequisite for signaling equilibrium maintenance.</w:t>
      </w:r>
    </w:p>
    <w:bookmarkEnd w:id="31"/>
    <w:bookmarkStart w:id="32" w:name="X1247ca6c8f2898e5573ac224df10912aaac2f6e"/>
    <w:p>
      <w:pPr>
        <w:pStyle w:val="Heading3"/>
      </w:pPr>
      <w:r>
        <w:t xml:space="preserve">5.4 Prediction 4: Conflict Reduction (Pax Chaco)</w:t>
      </w:r>
    </w:p>
    <w:p>
      <w:pPr>
        <w:pStyle w:val="FirstParagraph"/>
      </w:pPr>
      <w:r>
        <w:t xml:space="preserve">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pPr>
        <w:pStyle w:val="BodyText"/>
      </w:pPr>
      <w:r>
        <w:t xml:space="preserve">The temporal pattern of violence in the Chaco region is broadly consistent with this prediction. Evidence for violent interaction that is pervasive before and especially after the Chaco era was largely absent during the system’s height, a pattern characterized as</w:t>
      </w:r>
      <w:r>
        <w:t xml:space="preserve"> </w:t>
      </w:r>
      <w:r>
        <w:t xml:space="preserve">“Pax Chaco”</w:t>
      </w:r>
      <w:r>
        <w:t xml:space="preserve"> </w:t>
      </w:r>
      <w:r>
        <w:t xml:space="preserve">(Kantner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pPr>
        <w:pStyle w:val="BodyText"/>
      </w:pPr>
      <w:r>
        <w:t xml:space="preserve">Cross-cultural analysis strengthens the environmental linkage. In a systematic study of warfare predictors in non-state societies using Human Relations Area File data,</w:t>
      </w:r>
      <w:r>
        <w:t xml:space="preserve"> </w:t>
      </w:r>
      <w:r>
        <w:t xml:space="preserve">“resource unpredictability”</w:t>
      </w:r>
      <w:r>
        <w:t xml:space="preserve"> </w:t>
      </w:r>
      <w:r>
        <w:t xml:space="preserve">emerged as the single strongest predictor of warfare (R = 0.631, p &lt; 0.001), followed by</w:t>
      </w:r>
      <w:r>
        <w:t xml:space="preserve"> </w:t>
      </w:r>
      <w:r>
        <w:t xml:space="preserve">“socialization for mistrust”</w:t>
      </w:r>
      <w:r>
        <w:t xml:space="preserve"> </w:t>
      </w:r>
      <w:r>
        <w:t xml:space="preserve">(R = 0.352, p &lt; 0.025) (Lekson 2002, p. 611; citing Ember and Ember 1992). Applied to the Southwest, periods of</w:t>
      </w:r>
      <w:r>
        <w:t xml:space="preserve"> </w:t>
      </w:r>
      <w:r>
        <w:t xml:space="preserve">“high temporal variability”</w:t>
      </w:r>
      <w:r>
        <w:t xml:space="preserve"> </w:t>
      </w:r>
      <w:r>
        <w:t xml:space="preserve">in tree-ring departures, corresponding to resource unpredictability, occurred at 310-380, 750-1000, 1250-1560, and 1730-1825 (Lekson 2002, pp. 612-613; citing Dean 1988, 1996). The Middle period from 900 to 1250, corresponding to the Chaco florescence, was</w:t>
      </w:r>
      <w:r>
        <w:t xml:space="preserve"> </w:t>
      </w:r>
      <w:r>
        <w:t xml:space="preserve">“an era of unprecedented peace”</w:t>
      </w:r>
      <w:r>
        <w:t xml:space="preserve"> </w:t>
      </w:r>
      <w:r>
        <w:t xml:space="preserve">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w:t>
      </w:r>
      <w:r>
        <w:t xml:space="preserve"> </w:t>
      </w:r>
      <w:r>
        <w:t xml:space="preserve">“EP Events”</w:t>
      </w:r>
      <w:r>
        <w:t xml:space="preserve"> </w:t>
      </w:r>
      <w:r>
        <w:t xml:space="preserve">(executions with extreme processing) concentrated during the Middle period, representing a limited but spectacularly brutal form of directed violence that may reflect coercive social control rather than intergroup conflict (Lekson 2002, pp. 614-615). The EP Events require careful treatment. Turner and Turner (1999) documented multiple cases of human remains exhibiting evidence of dismemberment, defleshing, and thermal processing from sites across the northern Southwest, several of which fall within the Chaco florescence period. The well-documented case at Cowboy Wash (5MT10010) dates to approximately AD 1150, near the end of the Chaco era, and may reflect either intergroup raiding or intragroup punishment. Whether the EP Events represent intergroup violence (which the model’s conflict-reduction prediction addresses) or intragroup coercion (which it does not) remains unresolved. Isotopic provenance data on EP Event victims, where available, could distinguish between local community members (suggesting internal coercion) and outsiders (suggesting intergroup raiding), but such data are currently limited. The scope of Prediction 4 should therefore be understood as applying specifically to intergroup conflict mediated by mutual assessment; the model does not predict the elimination of all forms of violence, and coercive enforcement within communities may have operated through mechanisms distinct from the signaling equilibrium.</w:t>
      </w:r>
    </w:p>
    <w:p>
      <w:pPr>
        <w:pStyle w:val="BodyText"/>
      </w:pPr>
      <w:r>
        <w:t xml:space="preserve">The post-Chaco violence increase is well documented. The social disruption of the 1200s, including high population movement, frequent conflict, and eventual depopulation, coincided with the cessation of the El Nino-like climate pattern and the breakdown of regional cooperation networks (Gillreath-Brown and Kohler 2024, pp. 470-471). Kuckelman et al. (2002) document extensive evidence of violence at Castle Rock Pueblo in the Mesa Verde region dating to the late thirteenth century, including unburied remains with perimortem trauma, consistent with the model’s prediction that violence should increase when signaling ceases.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pPr>
        <w:pStyle w:val="BodyText"/>
      </w:pPr>
      <w:r>
        <w:t xml:space="preserve">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signaling ceases, rather than persisting through institutional momentum.</w:t>
      </w:r>
    </w:p>
    <w:p>
      <w:pPr>
        <w:pStyle w:val="BodyText"/>
      </w:pPr>
      <w:r>
        <w:rPr>
          <w:b/>
          <w:bCs/>
        </w:rPr>
        <w:t xml:space="preserve">Assessment: Partially Supported.</w:t>
      </w:r>
      <w:r>
        <w:t xml:space="preserve"> </w:t>
      </w:r>
      <w:r>
        <w:t xml:space="preserve">The broad temporal pattern (low intergroup violence during florescence, high violence before and after) is consistent with the model, and the cross-cultural correlation between resource unpredictability and warfare supports the environmental mechanism. The post-Chaco violence increase at sites like Castle Rock Pueblo (Kuckelman et al. 2002) further supports the prediction that conflict rises when signaling ceases. The assessment is partial because the EP Events demonstrate that some forms of directed violence persisted during the florescence, and distinguishing intergroup conflict (which the model addresses) from intragroup coercion (which it does not) requires bioarchaeological and isotopic evidence that is not yet sufficient to resolve the question.</w:t>
      </w:r>
    </w:p>
    <w:bookmarkEnd w:id="32"/>
    <w:bookmarkStart w:id="33" w:name="X559c69a61eb1bb769156483e524f919fa6ea3c3"/>
    <w:p>
      <w:pPr>
        <w:pStyle w:val="Heading3"/>
      </w:pPr>
      <w:r>
        <w:t xml:space="preserve">5.5 Prediction 5: Construction Under Environmental Uncertainty</w:t>
      </w:r>
    </w:p>
    <w:p>
      <w:pPr>
        <w:pStyle w:val="FirstParagraph"/>
      </w:pPr>
      <w:r>
        <w:t xml:space="preserve">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pPr>
        <w:pStyle w:val="BodyText"/>
      </w:pPr>
      <w:r>
        <w:t xml:space="preserve">The evidence for this prediction is mixed, and reporting the complications honestly is essential to the research programme’s integrity.</w:t>
      </w:r>
    </w:p>
    <w:p>
      <w:pPr>
        <w:pStyle w:val="BodyText"/>
      </w:pPr>
      <w:r>
        <w:t xml:space="preserve">At the multi-millennial scale, the prediction finds support.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 Chaco’s florescence occurred during a period of pronounced hydroclimate stress, not during a favorable window.</w:t>
      </w:r>
    </w:p>
    <w:p>
      <w:pPr>
        <w:pStyle w:val="BodyText"/>
      </w:pPr>
      <w:r>
        <w:t xml:space="preserve">At the period level, the picture is more complicated. Kantner and Vaughn (2012, Table 2, pp. 75-76) report that the Classic Bonito phase (AD 1020-1130) had higher precipitation standard deviation (s = 1.94) than the preceding Early Bonito phase (s = 1.59), with lower year-to-year autocorrelation (r1 = 0.275 vs. 0.305), using dendroclimatological precipitation reconstructions. However, our analysis of annual PMDI values from the Living Blended Drought Atlas (Gille et al. 2017) for the same periods yields different results. Period-level PMDI variance decreases from Pre-Chaco (var = 5.21) through Early Bonito (4.24) to Classic Bonito (3.96) and Late/Post-Chaco (3.71). A Levene’s test comparing the annual PMDI values between the Classic Bonito (n = 110 years) and Early Bonito (n = 170 years) periods finds no significant difference in variance (F = 0.21, p = 0.64). The nominal sample sizes are adequate, though the effective sample sizes are reduced by temporal autocorrelation (lag-1 r = 0.36 for Classic Bonito, per Figure 6c), which may reduce the effective n to roughly 60-70% of nominal. Even with this adjustment, the null result is unlikely to be solely an artifact of low power. The Classic Bonito period was wetter on average (mean PMDI = 0.50 vs. 0.02 for Early Bonito) with lower drought frequency (19% vs. 29% of years), but it was not more variable by this measure (Figure 12).</w:t>
      </w:r>
    </w:p>
    <w:p>
      <w:pPr>
        <w:pStyle w:val="BodyText"/>
      </w:pPr>
      <w:r>
        <w:t xml:space="preserve">The discrepancy between Kantner and Vaughn’s precipitation variance and the PMDI variance likely reflects differences in the paleoclimate proxies: their data derive from dendroclimatological precipitation reconstructions (Force et al. 2002; Grissino-Mayer 1996, 1997) that capture different components of the hydroclimate signal than PMDI. The relevant question for the lambda-sigma mechanism may not be year-to-year PMDI variance but rather the frequency of severe drought events within a broader context of multi-decadal climatic instability, as captured by the Polyak et al. (2022) speleothem record.</w:t>
      </w:r>
    </w:p>
    <w:p>
      <w:pPr>
        <w:pStyle w:val="BodyText"/>
      </w:pPr>
      <w:r>
        <w:t xml:space="preserve">The construction-timing issue further complicates the test. Safi (2015, p. 56) presents evidence that construction episodes cluster during productive periods rather than during downturns. This is resolved by distinguishing between the motivation for signaling (decadal-scale uncertainty) and the enabling conditions for construction (annual-scale productivity). Construction requires resources (labor, water for mortar, timber) that are available only during productive periods (Wills et al. 2022, pp. 460-461). The critical variable is not whether conditions are currently bad but whether future conditions are uncertain. This is analogous to insurance: policies are purchased when one can afford the premium (productive periods), not during the disaster itself.</w:t>
      </w:r>
    </w:p>
    <w:p>
      <w:pPr>
        <w:pStyle w:val="BodyText"/>
      </w:pPr>
      <w:r>
        <w:t xml:space="preserve">Surplus models predict construction during the most productive periods with the largest surpluses. The signaling model predicts construction during productive periods within an epoch of elevated uncertainty. With the PMDI data, the Classic Bonito pattern (wetter conditions, low variance, high construction) is what a surplus model would predict and is not what the signaling model’s lambda-sigma mechanism predicts at period resolution.</w:t>
      </w:r>
    </w:p>
    <w:p>
      <w:pPr>
        <w:pStyle w:val="BodyText"/>
      </w:pPr>
      <w:r>
        <w:t xml:space="preserve">An annual-resolution analysis provides a severe test. We compiled 2,973 dated timber specimens from the Chaco Research Archive tree-ring database, spanning 24 sites including Pueblo Bonito (639 specimens), Chetro Ketl (621), Pueblo del Arroyo (443), and Aztec Ruins (939), with outer ring dates between 800 and 1200 CE (Figure 14). Rolling-window correlations between PMDI variance and construction activity are negative at short temporal scales (10-year PMDI variance vs. 10-year construction sum: r = -0.167; 20-year PMDI variance vs. 20-year construction sum: r = -0.15). Higher environmental variance is associated with</w:t>
      </w:r>
      <w:r>
        <w:t xml:space="preserve"> </w:t>
      </w:r>
      <w:r>
        <w:rPr>
          <w:i/>
          <w:iCs/>
        </w:rPr>
        <w:t xml:space="preserve">less</w:t>
      </w:r>
      <w:r>
        <w:t xml:space="preserve"> </w:t>
      </w:r>
      <w:r>
        <w:t xml:space="preserve">construction, the opposite of what the lambda-sigma feedback predicts. PMDI level (mean wetness) correlates positively with construction across all temporal windows (20-year PMDI mean vs. 20-year construction sum: r = +0.386; 30-year PMDI mean vs. 20-year construction sum: r = +0.43), consistent with the surplus model’s prediction that wetter conditions enable more construction. The nominal p-values (p &lt; 0.01 for variance, p &lt; 0.0001 for mean) should be interpreted with caution: rolling-window statistics produce strongly autocorrelated series that inflate the effective degrees of freedom. The direction of the associations is robust, but the nominal significance levels overstate the precision of the estimates.</w:t>
      </w:r>
    </w:p>
    <w:p>
      <w:pPr>
        <w:pStyle w:val="BodyText"/>
      </w:pPr>
      <w:r>
        <w:t xml:space="preserve">The result is robust to data quality filtering. Only 120 of the 2,973 specimens have definitive cutting dates (quality code</w:t>
      </w:r>
      <w:r>
        <w:t xml:space="preserve"> </w:t>
      </w:r>
      <w:r>
        <w:t xml:space="preserve">“c”</w:t>
      </w:r>
      <w:r>
        <w:t xml:space="preserve">), the gold standard for construction timing. Restricting the analysis to these 120 specimens yields the same pattern: variance correlates negatively with construction (r = -0.135) and mean PMDI correlates positively and more strongly (r = +0.465). The result is not an artifact of imprecise dates.</w:t>
      </w:r>
    </w:p>
    <w:p>
      <w:pPr>
        <w:pStyle w:val="BodyText"/>
      </w:pPr>
      <w:r>
        <w:t xml:space="preserve">Site-level analysis reinforces the pattern. Every major great house built preferentially during wet years. Mean PMDI during active construction years was 0.54 for Pueblo Bonito, 0.56 for Chetro Ketl, 0.42 for Pueblo del Arroyo, 0.91 for Penasco Blanco, and 0.75 for Kin Kletso, compared to an overall mean of 0.11 across the 850-1150 CE period. This is not a statistical subtlety; it is a consistent, large effect visible at every site. People built when it was wet.</w:t>
      </w:r>
    </w:p>
    <w:p>
      <w:pPr>
        <w:pStyle w:val="BodyText"/>
      </w:pPr>
      <w:r>
        <w:rPr>
          <w:b/>
          <w:bCs/>
        </w:rPr>
        <w:t xml:space="preserve">Assessment: Not Supported.</w:t>
      </w:r>
      <w:r>
        <w:t xml:space="preserve"> </w:t>
      </w:r>
      <w:r>
        <w:t xml:space="preserve">The lambda-sigma feedback is not supported at any resolution: period-level, annual, cutting-date-only, or site-level. PMDI variance correlates negatively with construction, and PMDI level correlates positively, across all temporal windows and data subsets. We report this as a clear falsification of the model’s most distinctive prediction.</w:t>
      </w:r>
    </w:p>
    <w:p>
      <w:pPr>
        <w:pStyle w:val="BodyText"/>
      </w:pPr>
      <w:r>
        <w:t xml:space="preserve">This negative result does not invalidate the signaling model as a whole. The other discriminating predictions (P3: visibility, P4: conflict reduction, P8: collapse sequence) and the surplus-vs-signaling discrimination tests in Section 6.2 (pre-drought signal degradation, post-collapse non-recovery, competitive displacement) are supported by evidence that naive surplus models cannot accommodate. What the P5 result does indicate is that the specific mechanism linking environmental uncertainty to signaling returns requires revision.</w:t>
      </w:r>
    </w:p>
    <w:p>
      <w:pPr>
        <w:pStyle w:val="BodyText"/>
      </w:pPr>
      <w:r>
        <w:t xml:space="preserve">The site-level wet-building pattern is instructive for the reformulation. The insurance analogy in Section 3.4 may be more apt than the variance-tracking mechanism: communities in marginal environments purchase insurance (cooperation networks maintained through signaling) when they can afford the premiums (wet years), not when the disaster hits. The motivation for signaling is the structural properties of the environment, Chaco Canyon’s long-term aridity (Polyak et al. 2022), the spatial heterogeneity of drought patterns across climate regimes (Gauthier 2021), and the cumulative fragility of the local resource base (Lentz et al. 2021), that make cooperation networks valuable regardless of short-term variance. A reformulated Layer 3 should capture this structural vulnerability rather than rolling variance, and the construction-during-wet-years pattern provides a constraint: the mechanism must explain why signaling concentrates in marginal environments while construction within those environments tracks moisture availability.</w:t>
      </w:r>
    </w:p>
    <w:bookmarkEnd w:id="33"/>
    <w:bookmarkStart w:id="34" w:name="Xf6973a4280a4efb2984ddbcbab1d3101dec72c0"/>
    <w:p>
      <w:pPr>
        <w:pStyle w:val="Heading3"/>
      </w:pPr>
      <w:r>
        <w:t xml:space="preserve">5.6 Prediction 6: Network-Construction Co-evolution</w:t>
      </w:r>
    </w:p>
    <w:p>
      <w:pPr>
        <w:pStyle w:val="FirstParagraph"/>
      </w:pPr>
      <w:r>
        <w:t xml:space="preserve">Layer 3 of the model predicts that social network connectivity should co-evolve with monument construction: as signaling investment increases, the cooperation network expands, and the growing network increases the returns to signaling, creating a positive feedback loop.</w:t>
      </w:r>
    </w:p>
    <w:p>
      <w:pPr>
        <w:pStyle w:val="BodyText"/>
      </w:pPr>
      <w:r>
        <w:t xml:space="preserve">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pPr>
        <w:pStyle w:val="BodyText"/>
      </w:pPr>
      <w:r>
        <w:t xml:space="preserve">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pPr>
        <w:pStyle w:val="BodyText"/>
      </w:pPr>
      <w:r>
        <w:t xml:space="preserve">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pPr>
        <w:pStyle w:val="BodyText"/>
      </w:pPr>
      <w:r>
        <w:rPr>
          <w:b/>
          <w:bCs/>
        </w:rPr>
        <w:t xml:space="preserve">Assessment: Supported (severity caveat).</w:t>
      </w:r>
      <w:r>
        <w:t xml:space="preserve"> </w:t>
      </w:r>
      <w:r>
        <w:t xml:space="preserve">The temporal coincidence of peak network connectivity and peak construction investment, combined with the spatial progression from local to regional connections, is consistent with the co-evolutionary prediction. However, this temporal co-occurrence is also predicted by surplus models in which economic growth drives both construction and exchange simultaneously. At the 50-year resolution of the Mills et al. data, a lag analysis that could distinguish signaling-driven network formation from surplus-driven co-expansion is not possible. The evidence is consistent with the model but has not been subjected to a test that could discriminate between signaling and surplus mechanisms at this resolution.</w:t>
      </w:r>
    </w:p>
    <w:bookmarkEnd w:id="34"/>
    <w:bookmarkStart w:id="35" w:name="prediction-7-signal-depreciation"/>
    <w:p>
      <w:pPr>
        <w:pStyle w:val="Heading3"/>
      </w:pPr>
      <w:r>
        <w:t xml:space="preserve">5.7 Prediction 7: Signal Depreciation</w:t>
      </w:r>
    </w:p>
    <w:p>
      <w:pPr>
        <w:pStyle w:val="FirstParagraph"/>
      </w:pPr>
      <w:r>
        <w:t xml:space="preserve">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pPr>
        <w:pStyle w:val="BodyText"/>
      </w:pPr>
      <w:r>
        <w:t xml:space="preserve">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w:t>
      </w:r>
      <w:r>
        <w:t xml:space="preserve"> </w:t>
      </w:r>
      <w:r>
        <w:t xml:space="preserve">“a never-ending project of construction, remodelling, renewal and destruction”</w:t>
      </w:r>
      <w:r>
        <w:t xml:space="preserve"> </w:t>
      </w:r>
      <w:r>
        <w:t xml:space="preserve">whose builders never considered it finished (Crown and Wills 2018, p. 890).</w:t>
      </w:r>
    </w:p>
    <w:p>
      <w:pPr>
        <w:pStyle w:val="BodyText"/>
      </w:pPr>
      <w:r>
        <w:t xml:space="preserve">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pPr>
        <w:pStyle w:val="BodyText"/>
      </w:pPr>
      <w:r>
        <w:t xml:space="preserve">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pPr>
        <w:pStyle w:val="BodyText"/>
      </w:pPr>
      <w:r>
        <w:rPr>
          <w:b/>
          <w:bCs/>
        </w:rPr>
        <w:t xml:space="preserve">Assessment: Supported.</w:t>
      </w:r>
      <w:r>
        <w:t xml:space="preserve"> </w:t>
      </w:r>
      <w:r>
        <w:t xml:space="preserve">The 65-year hiatus followed by intensive renewal, the continuous remodeling pattern, and the Late Bonito shift toward cost-reduced construction with illusory features all conform to the signal depreciation prediction.</w:t>
      </w:r>
    </w:p>
    <w:bookmarkEnd w:id="35"/>
    <w:bookmarkStart w:id="36" w:name="prediction-8-system-collapse"/>
    <w:p>
      <w:pPr>
        <w:pStyle w:val="Heading3"/>
      </w:pPr>
      <w:r>
        <w:t xml:space="preserve">5.8 Prediction 8: System Collapse</w:t>
      </w:r>
    </w:p>
    <w:p>
      <w:pPr>
        <w:pStyle w:val="FirstParagraph"/>
      </w:pPr>
      <w:r>
        <w:t xml:space="preserve">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pPr>
        <w:pStyle w:val="BodyText"/>
      </w:pPr>
      <w:r>
        <w:t xml:space="preserve">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w:t>
      </w:r>
      <w:r>
        <w:t xml:space="preserve"> </w:t>
      </w:r>
      <w:r>
        <w:t xml:space="preserve">“social adaptations to one mode of variability are fragile to changes in the nature of that variability.”</w:t>
      </w:r>
    </w:p>
    <w:p>
      <w:pPr>
        <w:pStyle w:val="BodyText"/>
      </w:pPr>
      <w:r>
        <w:t xml:space="preserve">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pPr>
        <w:pStyle w:val="BodyText"/>
      </w:pPr>
      <w:r>
        <w:t xml:space="preserve">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deliberate termination rituals suggest the collapse involved endogenous dynamics beyond the simple cost-exceeds-benefit threshold specified in the formal model.</w:t>
      </w:r>
    </w:p>
    <w:p>
      <w:pPr>
        <w:pStyle w:val="BodyText"/>
      </w:pPr>
      <w:r>
        <w:rPr>
          <w:b/>
          <w:bCs/>
        </w:rPr>
        <w:t xml:space="preserve">Assessment: Partially Supported.</w:t>
      </w:r>
      <w:r>
        <w:t xml:space="preserve"> </w:t>
      </w:r>
      <w:r>
        <w:t xml:space="preserve">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bookmarkEnd w:id="36"/>
    <w:bookmarkStart w:id="37" w:name="Xbfc0522f4b561e3984456357eff2e52b2641809"/>
    <w:p>
      <w:pPr>
        <w:pStyle w:val="Heading3"/>
      </w:pPr>
      <w:r>
        <w:t xml:space="preserve">6.1 What the Model Explains That Alternatives Cannot</w:t>
      </w:r>
    </w:p>
    <w:p>
      <w:pPr>
        <w:pStyle w:val="FirstParagraph"/>
      </w:pPr>
      <w:r>
        <w:t xml:space="preserve">The three-layer signaling model provides explanations for four features of the Chaco record that existing interpretive frameworks handle poorly or not at all.</w:t>
      </w:r>
    </w:p>
    <w:p>
      <w:pPr>
        <w:pStyle w:val="BodyText"/>
      </w:pPr>
      <w:r>
        <w:t xml:space="preserve">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pPr>
        <w:pStyle w:val="BodyText"/>
      </w:pPr>
      <w:r>
        <w:t xml:space="preserve">Second, the model generates a specific, falsifiable prediction about the timing of investment intensification. The lambda-sigma feedback predicts that signaling returns increase with environmental uncertainty, not with environmental favorability. Our PMDI analysis (Section 5.5) tested this prediction at period resolution and the result was null: PMDI variance does not peak during Classic Bonito, and the Levene’s test finds no significant difference between Classic and Early Bonito variance. We report this as a straightforward negative result. The model’s most distinctive mechanism is not supported at the resolution tested. This is precisely the kind of outcome that distinguishes formal models from verbal narratives: the prediction was specific enough to fail, and we report the failure. What the model does distinctively predict, and what is supported, is that construction should concentrate in environmentally marginal settings where the insurance value of cooperation networks is high, and that the collapse sequence should follow a specific pattern of signal degradation, network fragmentation, and rising conflict. Surplus models predict investment in the most productive locations and cannot account for the collapse sequence. The lambda-sigma feedback awaits its severe test at annual resolution with the Guiterman et al. (2015) timber dataset; the programme remains progressive on other grounds.</w:t>
      </w:r>
    </w:p>
    <w:p>
      <w:pPr>
        <w:pStyle w:val="BodyText"/>
      </w:pPr>
      <w:r>
        <w:t xml:space="preserve">Third, the model explains why Chaco operated both monument construction and exotic goods channels simultaneously. The channel selection analysis (Appendix A, Section A.4)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pPr>
        <w:pStyle w:val="BodyText"/>
      </w:pPr>
      <w:r>
        <w:t xml:space="preserve">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dramatically at Mesa Verde-region sites. No alternative framework predicts this specific temporal sequence of behavioral responses.</w:t>
      </w:r>
    </w:p>
    <w:p>
      <w:pPr>
        <w:pStyle w:val="BodyText"/>
      </w:pPr>
      <w:r>
        <w:t xml:space="preserve">A question the model raises but does not resolve is why Chaco Canyon specifically, rather than other locations with comparable environmental uncertainty in the San Juan Basin, became the signaling center. The lambda-sigma mechanism is general: any location with sufficiently high sigma should produce signaling incentives. The answer almost certainly involves historical contingency: the founding of the Pueblo Bonito matrilineal dynasty in the mid-ninth century (Kennett et al. 2017), early access to turquoise and macaw trade networks (Watson et al. 2015), and the canyon’s position at the intersection of multiple climate regimes creating spatial heterogeneity in drought patterns (Gauthier 2021). Once established, the signaling system would tend to persist at its founding location through path dependence: existing monument stock, network connections, and reputational capital create switching costs that favor continued investment at the established center. The model predicts the conditions under which signaling emerges; the specific location reflects initial conditions that are contingent rather than predictable.</w:t>
      </w:r>
    </w:p>
    <w:bookmarkEnd w:id="37"/>
    <w:bookmarkStart w:id="38" w:name="X045914983ca71d1ad92c499a3648cd4ecf7943c"/>
    <w:p>
      <w:pPr>
        <w:pStyle w:val="Heading3"/>
      </w:pPr>
      <w:r>
        <w:t xml:space="preserve">6.2 Discriminating Between Signaling and Surplus Models</w:t>
      </w:r>
    </w:p>
    <w:p>
      <w:pPr>
        <w:pStyle w:val="FirstParagraph"/>
      </w:pPr>
      <w:r>
        <w:t xml:space="preserve">The adversarial concern raised throughout this analysis is that several predictions of the signaling model are convergent with surplus models, which predict that communities invest in construction when accumulated resources allow it. While P5 (the lambda-sigma prediction most distinctive to the signaling model) is not supported at annual resolution, three features of the Chaco record bear on the comparison between the two frameworks. We present these as post hoc consistency arguments, not as novel predictions tested against data unknown to the modelers. By the Mayo (2018) severity criterion the paper endorses, post hoc consistency is a weaker form of support than prediction of novel facts. Nonetheless, the three features identify specific points where the surplus and signaling frameworks diverge, and where future work could construct discriminating tests.</w:t>
      </w:r>
    </w:p>
    <w:p>
      <w:pPr>
        <w:pStyle w:val="BodyText"/>
      </w:pPr>
      <w:r>
        <w:t xml:space="preserve">A critical caveat is that the comparison depends on which surplus model is tested. A naive surplus model predicts that construction tracks climate directly: investment declines when drought reduces surplus. A more sophisticated depletion-augmented surplus model, incorporating cumulative resource degradation (documented by Lentz et al. 2021, who show juniper pollen declining from 20% to 2% over the Chaco sequence), rising timber procurement costs (Guiterman et al. 2015), and labor mobility between competing centers, generates different predictions that overlap more with the signaling model. The discrimination below is between the naive surplus model and the signaling model; we note explicitly where a depletion-augmented surplus model would also accommodate the evidence.</w:t>
      </w:r>
    </w:p>
    <w:p>
      <w:pPr>
        <w:pStyle w:val="BodyText"/>
      </w:pPr>
      <w:r>
        <w:rPr>
          <w:b/>
          <w:bCs/>
        </w:rPr>
        <w:t xml:space="preserve">Pre-drought signal degradation.</w:t>
      </w:r>
      <w:r>
        <w:t xml:space="preserve"> </w:t>
      </w:r>
      <w:r>
        <w:t xml:space="preserve">A naive surplus model predicts that construction declines when drought reduces surplus. The signaling model predicts that construction can decline before environmental deterioration when the signaling equilibrium is disrupted by other factors, specifically when the audience shifts to a rival signaler, reducing the returns to investment at the original center. A depletion-augmented surplus model also predicts pre-drought decline, through cumulative resource exhaustion rather than audience loss. The evidence supports the pre-drought decline itself but cannot fully adjudicate among the mechanisms. Construction energy investment in Chaco great houses began declining in the late AD 1000s, before the onset of documented drought periods (Wills et al. 2014, Fig. 5). The Late Bonito construction program (AD 1100-1140) employed McElmo-style masonry requiring roughly one-third to one-half the labor of Classic Bonito construction (Van Dyke 2004, pp. 418-423), with builders using</w:t>
      </w:r>
      <w:r>
        <w:t xml:space="preserve"> </w:t>
      </w:r>
      <w:r>
        <w:t xml:space="preserve">“illusory tricks,”</w:t>
      </w:r>
      <w:r>
        <w:t xml:space="preserve"> </w:t>
      </w:r>
      <w:r>
        <w:t xml:space="preserve">unfaced parallel walls and recycled beams, to maintain signal volume at reduced cost. Termination rituals at Pueblo Bonito around AD 1100 involved sealing rooms, depositing 173 ceramic vessels including 112 cylinder jars in Room 28, and setting deliberate fires (Crown and Wills 2018, p. 901). The cylinder jar form was</w:t>
      </w:r>
      <w:r>
        <w:t xml:space="preserve"> </w:t>
      </w:r>
      <w:r>
        <w:t xml:space="preserve">“almost completely repudiated in the region”</w:t>
      </w:r>
      <w:r>
        <w:t xml:space="preserve"> </w:t>
      </w:r>
      <w:r>
        <w:t xml:space="preserve">after this termination (Crown 2018, p. 398). The deliberate destruction of functional ceremonial infrastructure and the shift to cheaper construction while resources were still nominally available is more naturally interpreted as signal channel closure than as resource depletion. However, a depletion model could argue that the</w:t>
      </w:r>
      <w:r>
        <w:t xml:space="preserve"> </w:t>
      </w:r>
      <w:r>
        <w:t xml:space="preserve">“resources still available”</w:t>
      </w:r>
      <w:r>
        <w:t xml:space="preserve"> </w:t>
      </w:r>
      <w:r>
        <w:t xml:space="preserve">characterization is misleading: if procurement costs had risen substantially due to cumulative degradation, the effective surplus may have been declining even under favorable PMDI. The termination rituals are the strongest evidence for the signaling interpretation, as they represent deliberate closure of a communication channel rather than gradual inability to maintain it.</w:t>
      </w:r>
    </w:p>
    <w:p>
      <w:pPr>
        <w:pStyle w:val="BodyText"/>
      </w:pPr>
      <w:r>
        <w:rPr>
          <w:b/>
          <w:bCs/>
        </w:rPr>
        <w:t xml:space="preserve">Post-collapse non-recovery.</w:t>
      </w:r>
      <w:r>
        <w:t xml:space="preserve"> </w:t>
      </w:r>
      <w:r>
        <w:t xml:space="preserve">A surplus model predicts that when environmental conditions improve and surplus returns, construction should resume. The signaling model, drawing on the bistability result from Gintis et al. (2001, Theorem 2), predicts that once the non-signaling equilibrium is reached, the system cannot spontaneously return to signaling even under favorable conditions. The evidence is clear: after the megadrought ended in the 1180s, conditions in the San Juan Basin were comparable to the Early Bonito period, with Pueblo III experiencing numerous but more evenly spaced droughts that were</w:t>
      </w:r>
      <w:r>
        <w:t xml:space="preserve"> </w:t>
      </w:r>
      <w:r>
        <w:t xml:space="preserve">“possibly easier for cultures to adapt to”</w:t>
      </w:r>
      <w:r>
        <w:t xml:space="preserve"> </w:t>
      </w:r>
      <w:r>
        <w:t xml:space="preserve">than the Pueblo II pattern (Polyak et al. 2022, pp. 6-7). Yet no Chaco-scale construction system was reconstituted. Post-florescence occupation at Pueblo Bonito continued into the AD 1200s, but investment was limited to</w:t>
      </w:r>
      <w:r>
        <w:t xml:space="preserve"> </w:t>
      </w:r>
      <w:r>
        <w:t xml:space="preserve">“renovating ritual structures and the late construction of semi-subterranean houses”</w:t>
      </w:r>
      <w:r>
        <w:t xml:space="preserve">; the formerly ceremonial Room 28b</w:t>
      </w:r>
      <w:r>
        <w:t xml:space="preserve"> </w:t>
      </w:r>
      <w:r>
        <w:t xml:space="preserve">“may have been used as a turkey pen”</w:t>
      </w:r>
      <w:r>
        <w:t xml:space="preserve"> </w:t>
      </w:r>
      <w:r>
        <w:t xml:space="preserve">(Crown and Wills 2018, p. 901). Some Chaco-era linkages survived by relocating to</w:t>
      </w:r>
      <w:r>
        <w:t xml:space="preserve"> </w:t>
      </w:r>
      <w:r>
        <w:t xml:space="preserve">“better-watered, irrigable locations along the San Juan and Aztec rivers”</w:t>
      </w:r>
      <w:r>
        <w:t xml:space="preserve"> </w:t>
      </w:r>
      <w:r>
        <w:t xml:space="preserve">(Kohler et al. 2023), but the Chaco signaling system itself was permanently extinguished. The non-recovery is predicted by the signaling model’s bistability (Gintis et al. 2001, Theorem 2). A depletion-augmented surplus model can also accommodate non-recovery by arguing that the canyon’s resource base was permanently degraded: deforested, game-depleted, and soils eroded beyond recovery within the relevant timescale. This alternative explanation is plausible and cannot be ruled out with available evidence. The signaling and depletion accounts make different predictions about non-local recovery: the signaling model predicts that no Chaco-scale system should emerge anywhere in the San Juan Basin without a new perturbation across the basin boundary between signaling and non-signaling equilibria, while the depletion model predicts that a Chaco-scale system could emerge wherever resources remain undepleted. The partial emergence of such a system at Aztec is ambiguous on this test.</w:t>
      </w:r>
    </w:p>
    <w:p>
      <w:pPr>
        <w:pStyle w:val="BodyText"/>
      </w:pPr>
      <w:r>
        <w:rPr>
          <w:b/>
          <w:bCs/>
        </w:rPr>
        <w:t xml:space="preserve">Competitive displacement by Aztec.</w:t>
      </w:r>
      <w:r>
        <w:t xml:space="preserve"> </w:t>
      </w:r>
      <w:r>
        <w:t xml:space="preserve">The signaling model predicts that when a rival signaler offers a more credible signal (better location, newer construction, growing audience), the original signaler faces declining returns that can trigger equilibrium collapse. Construction at Salmon Ruin began AD 1088 and at Aztec in the same decade (Van Dyke 2004, p. 426). Chaco’s Late Bonito building program was a competitive response: cost-shifted construction attempting to maintain signal volume against a rival that was attracting the audience. The response failed;</w:t>
      </w:r>
      <w:r>
        <w:t xml:space="preserve"> </w:t>
      </w:r>
      <w:r>
        <w:t xml:space="preserve">“if Chaco was in competition with Aztec during the early 1100s, Aztec won”</w:t>
      </w:r>
      <w:r>
        <w:t xml:space="preserve"> </w:t>
      </w:r>
      <w:r>
        <w:t xml:space="preserve">(Van Dyke 2004, p. 426). Several Late Bonito structures were never completed, including Roberts Small Pueblo and Hillside Ruin (Van Dyke 2004, p. 427). Under a naive surplus model, the shift to Aztec would reflect population moving to better-watered land. Under a depletion model, it reflects labor migrating where returns are higher as Chaco’s resource base degraded. Under the signaling model, Aztec represents a rival that captured Chaco’s audience, triggering a positive-feedback collapse: fewer observers reduced the returns to Chaco’s signals, which reduced investment, which reduced the audience further. These three mechanisms (surplus-seeking, depletion-driven migration, and audience capture) generate observationally similar construction trajectories. The positive-feedback mechanism specific to signaling predicts that the decline should be abrupt and self-reinforcing rather than gradual, which the Bayesian changepoint (a sharp shift at AD 1082) is consistent with but does not uniquely require. The post-AD 1150 network data confirm that Aztec did not simply inherit Chaco’s centrality; instead, the network fragmented, with the greatest density of high-centrality sites remaining in Chaco Canyon rather than transferring cleanly to Aztec (Mills et al. 2018, pp. 934-935).</w:t>
      </w:r>
    </w:p>
    <w:p>
      <w:pPr>
        <w:pStyle w:val="BodyText"/>
      </w:pPr>
      <w:r>
        <w:t xml:space="preserve">The tree-ring record quantifies these three features precisely (Figures 15, 16). Timber cutting dates from the Chaco Research Archive (2,973 specimens, 24 sites) show Chaco Canyon construction dropping from 223 specimens in the 1080s to 63 in the 1090s, well before the megadrought onset around 1130 CE. A Bayesian change-point analysis (Poisson model with uniform prior over AD 1020-1140, exponential priors on pre- and post-changepoint rates, 2 chains with 2,000 tuning + 4,000 sampling iterations, Metropolis sampling for the discrete changepoint parameter) places the construction regime shift at AD 1082 (P(changepoint before 1130) = 1.000; Figure 16b), with the construction rate dropping from 16.0 timbers/year before the changepoint to 7.4 timbers/year after. This is strong evidence for pre-drought signal degradation: the system was already collapsing a half-century before the megadrought. Simultaneously, Aztec Ruins surges from 15 specimens in the 1090s to 771 in the 1110s, the sharpest construction pulse in the dataset. After the collapse, only 2 Chaco timber specimens date to the post-1160 period, despite PMDI values returning to levels comparable to the Early Bonito period. These quantitative patterns are consistent with the signaling model’s equilibrium structure: signal degradation triggers audience loss, audience loss reduces returns to investment, and the bistability of signaling equilibria (Gintis et al. 2001) prevents spontaneous recovery. However, we acknowledge that a depletion-augmented surplus model can accommodate most of these patterns through cumulative resource exhaustion and labor mobility. The feature that most clearly discriminates the signaling model is the deliberate termination of ceremonial infrastructure at Pueblo Bonito (Crown and Wills 2018; Crown 2018), which is difficult to explain as a gradual depletion response but is predicted by signaling models as channel closure when returns decline. Future work should develop the depletion-augmented surplus model formally, so that the two frameworks can be compared on equal terms using the same quantitative machinery. The three collapse-sequence tests do not require the lambda-sigma feedback (the mechanism that P5 tests) and thus provide support for the model’s core signaling logic independent of the uncertainty-investment relationship.</w:t>
      </w:r>
    </w:p>
    <w:bookmarkEnd w:id="38"/>
    <w:bookmarkStart w:id="39" w:name="formalizing-and-extending-safi-2015"/>
    <w:p>
      <w:pPr>
        <w:pStyle w:val="Heading3"/>
      </w:pPr>
      <w:r>
        <w:t xml:space="preserve">6.3 Formalizing and Extending Safi (2015)</w:t>
      </w:r>
    </w:p>
    <w:p>
      <w:pPr>
        <w:pStyle w:val="FirstParagraph"/>
      </w:pPr>
      <w:r>
        <w:t xml:space="preserve">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pPr>
        <w:pStyle w:val="BodyText"/>
      </w:pPr>
      <w:r>
        <w:t xml:space="preserve">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pPr>
        <w:pStyle w:val="BodyText"/>
      </w:pPr>
      <w:r>
        <w:t xml:space="preserve">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pPr>
        <w:pStyle w:val="BodyText"/>
      </w:pPr>
      <w:r>
        <w:t xml:space="preserve">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pPr>
        <w:pStyle w:val="BodyText"/>
      </w:pPr>
      <w:r>
        <w:t xml:space="preserve">Fourth, the formal model generates predictions about system dynamics, collapse, and signal depreciation that Safi’s static framework cannot address. The observation that Pueblo Bonito was a</w:t>
      </w:r>
      <w:r>
        <w:t xml:space="preserve"> </w:t>
      </w:r>
      <w:r>
        <w:t xml:space="preserve">“never-ending project”</w:t>
      </w:r>
      <w:r>
        <w:t xml:space="preserve"> </w:t>
      </w:r>
      <w:r>
        <w:t xml:space="preserve">(Crown and Wills 2018), the Late Bonito false-wall phenomenon (Van Dyke 2004), and the temporal coupling between network connectivity and construction (Mills et al. 2018) are all predicted by the dynamic model but lie outside the scope of Safi’s comparative static analysis.</w:t>
      </w:r>
    </w:p>
    <w:bookmarkEnd w:id="39"/>
    <w:bookmarkStart w:id="40" w:name="Xe6f8ac43ee1db298aad93ae9cd929e7913d01b8"/>
    <w:p>
      <w:pPr>
        <w:pStyle w:val="Heading3"/>
      </w:pPr>
      <w:r>
        <w:t xml:space="preserve">6.4 The Construction-Climate Paradox Resolved</w:t>
      </w:r>
    </w:p>
    <w:p>
      <w:pPr>
        <w:pStyle w:val="FirstParagraph"/>
      </w:pPr>
      <w:r>
        <w:t xml:space="preserve">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pPr>
        <w:pStyle w:val="BodyText"/>
      </w:pPr>
      <w:r>
        <w:t xml:space="preserve">The original formulation of this paper proposed that the motivation for signaling investment is environmental variance: higher sigma increases the fitness value of cooperation networks through the lambda-sigma feedback. The annual-resolution analysis (Section 5.5) falsified this specific mechanism: construction tracks mean moisture, not variance. However, the broader claim that environmental marginality motivates signaling investment remains viable. Chaco’s florescence occurred during a period of pronounced multi-millennial aridity (Polyak et al. 2022), spatial drought heterogeneity across climate regimes (Gauthier 2021), and cumulative resource degradation (Lentz et al. 2021). These structural features of the environment make cooperation networks valuable as insurance even when year-to-year variance is not elevated. The motivation for signaling may operate through long-term marginality rather than rolling variance, and the distinction between motivation and enabling conditions remains relevant.</w:t>
      </w:r>
    </w:p>
    <w:p>
      <w:pPr>
        <w:pStyle w:val="BodyText"/>
      </w:pPr>
      <w:r>
        <w:t xml:space="preserve">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pPr>
        <w:pStyle w:val="BodyText"/>
      </w:pPr>
      <w:r>
        <w:t xml:space="preserve">The insurance analogy introduced in Section 3.4 captures this distinction precisely: the motivation for investment is risk, but the timing of investment is constrained by current resources.</w:t>
      </w:r>
    </w:p>
    <w:bookmarkEnd w:id="40"/>
    <w:bookmarkStart w:id="41" w:name="endogenous-sigma-and-the-trap"/>
    <w:p>
      <w:pPr>
        <w:pStyle w:val="Heading3"/>
      </w:pPr>
      <w:r>
        <w:t xml:space="preserve">6.5 Endogenous Sigma and the Trap</w:t>
      </w:r>
    </w:p>
    <w:p>
      <w:pPr>
        <w:pStyle w:val="FirstParagraph"/>
      </w:pPr>
      <w:r>
        <w:t xml:space="preserve">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pPr>
        <w:pStyle w:val="BodyText"/>
      </w:pPr>
      <w:r>
        <w:t xml:space="preserve">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pPr>
        <w:pStyle w:val="BodyText"/>
      </w:pPr>
      <w:r>
        <w:t xml:space="preserve">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pPr>
        <w:pStyle w:val="BodyText"/>
      </w:pPr>
      <w:r>
        <w:t xml:space="preserve">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bookmarkEnd w:id="41"/>
    <w:bookmarkStart w:id="42" w:name="limitations"/>
    <w:p>
      <w:pPr>
        <w:pStyle w:val="Heading3"/>
      </w:pPr>
      <w:r>
        <w:t xml:space="preserve">6.6 Limitations</w:t>
      </w:r>
    </w:p>
    <w:p>
      <w:pPr>
        <w:pStyle w:val="FirstParagraph"/>
      </w:pPr>
      <w:r>
        <w:t xml:space="preserve">Several limitations of the present analysis should be noted, framed in terms of what this stage of the research programme accomplishes and what subsequent stages must address.</w:t>
      </w:r>
    </w:p>
    <w:p>
      <w:pPr>
        <w:pStyle w:val="BodyText"/>
      </w:pPr>
      <w:r>
        <w:t xml:space="preserve">The formal model was developed as a general framework for monumental architecture and applied here to Chaco Canyon through parameterization.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 The Chaco road system, one of the most energetically costly and archaeologically distinctive features of the landscape, warrants specific attention. Roads may function as signaling infrastructure (their overbuilt character relative to traffic needs is consistent with a display function), as connective infrastructure facilitating the cooperation networks modeled in Layer 3, or both. The present model does not generate specific predictions about road characteristics, and extending the framework to do so is a priority for future work.</w:t>
      </w:r>
    </w:p>
    <w:p>
      <w:pPr>
        <w:pStyle w:val="BodyText"/>
      </w:pPr>
      <w:r>
        <w:t xml:space="preserve">The exotic goods signaling channel is not fully formalized in the present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pPr>
        <w:pStyle w:val="BodyText"/>
      </w:pPr>
      <w:r>
        <w:t xml:space="preserve">The model does not yet specify how individual signaling decisions aggregate to group-level monument production. Layer 1 establishes that signaling is individually rational for each agent above minimum quality, resolving free-riding between quality types. However, great house construction is a collective enterprise requiring coordinated labor from agents of different quality levels within a community. The within-group coordination problem, how individual lineages contribute to a collective signal, may require additional mechanisms such as repeated interaction, kin-based obligations, or leadership by the founding lineage. The Kennett et al. (2017) archaeogenomic evidence for a matrilineal dynasty spanning 330 years at Pueblo Bonito suggests that a dominant lineage may have organized construction, but the aggregation mechanism is not formalized in the present model.</w:t>
      </w:r>
    </w:p>
    <w:p>
      <w:pPr>
        <w:pStyle w:val="BodyText"/>
      </w:pPr>
      <w:r>
        <w:t xml:space="preserve">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retained where the characterizations are consistent across multiple citing sources, but the relevant claims should be verified against the original texts before final submission.</w:t>
      </w:r>
    </w:p>
    <w:p>
      <w:pPr>
        <w:pStyle w:val="BodyText"/>
      </w:pPr>
      <w:r>
        <w:t xml:space="preserve">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pPr>
        <w:pStyle w:val="BodyText"/>
      </w:pPr>
      <w:r>
        <w:t xml:space="preserve">A related concern is the interpretation of unequal distributions as evidence for social</w:t>
      </w:r>
      <w:r>
        <w:t xml:space="preserve"> </w:t>
      </w:r>
      <w:r>
        <w:t xml:space="preserve">“control.”</w:t>
      </w:r>
      <w:r>
        <w:t xml:space="preserve"> </w:t>
      </w:r>
      <w:r>
        <w:t xml:space="preserve">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w:t>
      </w:r>
      <w:r>
        <w:t xml:space="preserve"> </w:t>
      </w:r>
      <w:r>
        <w:t xml:space="preserve">“embedded production”</w:t>
      </w:r>
      <w:r>
        <w:t xml:space="preserve"> </w:t>
      </w:r>
      <w:r>
        <w:t xml:space="preserve">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bookmarkEnd w:id="42"/>
    <w:bookmarkStart w:id="43" w:name="future-directions"/>
    <w:p>
      <w:pPr>
        <w:pStyle w:val="Heading3"/>
      </w:pPr>
      <w:r>
        <w:t xml:space="preserve">6.7 Future Directions</w:t>
      </w:r>
    </w:p>
    <w:p>
      <w:pPr>
        <w:pStyle w:val="FirstParagraph"/>
      </w:pPr>
      <w:r>
        <w:t xml:space="preserve">The present analysis represents the first stage of a research programme: formalizing the theoretical framework, deriving predictions, and evaluating them against the empirical record. Subsequent stages should pursue three priorities.</w:t>
      </w:r>
    </w:p>
    <w:p>
      <w:pPr>
        <w:pStyle w:val="BodyText"/>
      </w:pPr>
      <w:r>
        <w:t xml:space="preserve">First, formal parameter estimation. The quality parameter</w:t>
      </w:r>
      <w:r>
        <w:t xml:space="preserve"> </w:t>
      </w:r>
      <w:r>
        <w:rPr>
          <w:i/>
          <w:iCs/>
        </w:rPr>
        <w:t xml:space="preserve">q</w:t>
      </w:r>
      <w:r>
        <w:t xml:space="preserve"> </w:t>
      </w:r>
      <w:r>
        <w:t xml:space="preserve">should be operationalized independently of signaling investment, using proxies such as catchment-area agricultural productivity (Benson et al. 2019), estimated labor pool sizes from residential site survey, or distance-weighted access to arable land and water. With independent quality estimates, the equilibrium investment function</w:t>
      </w:r>
      <w:r>
        <w:t xml:space="preserve"> </w:t>
      </w:r>
      <m:oMath>
        <m:sSup>
          <m:e>
            <m:r>
              <m:t>x</m:t>
            </m:r>
          </m:e>
          <m:sup>
            <m:r>
              <m:rPr>
                <m:sty m:val="p"/>
              </m:rPr>
              <m:t>*</m:t>
            </m:r>
          </m:sup>
        </m:sSup>
        <m:r>
          <m:rPr>
            <m:sty m:val="p"/>
          </m:rPr>
          <m:t>(</m:t>
        </m:r>
        <m:r>
          <m:t>q</m:t>
        </m:r>
        <m:r>
          <m:rPr>
            <m:sty m:val="p"/>
          </m:rPr>
          <m:t>)</m:t>
        </m:r>
      </m:oMath>
      <w:r>
        <w:t xml:space="preserve"> </w:t>
      </w:r>
      <w:r>
        <w:t xml:space="preserve">can be tested as a genuine prediction rather than a curve-fitting exercise. The annual-resolution construction-climate analysis presented in Section 5.5, using 2,973 timber specimens from the Chaco Research Archive, has already demonstrated that the lambda-sigma mechanism as formulated (rolling PMDI variance drives signaling returns) is not supported: construction tracks mean moisture, not variance. Reformulating Layer 3 to capture structural environmental vulnerability, the long-term properties that make cooperation networks valuable regardless of short-term variance, is the priority for the theoretical development of the model. This reformulation should be tested against the same tree-ring dataset that falsified the original formulation.</w:t>
      </w:r>
    </w:p>
    <w:p>
      <w:pPr>
        <w:pStyle w:val="BodyText"/>
      </w:pPr>
      <w:r>
        <w:t xml:space="preserve">Second, the agent-based simulation implementing the three-layer model is now operational (see Data Availability). The simulation assigns each group a continuous quality</w:t>
      </w:r>
      <w:r>
        <w:t xml:space="preserve"> </w:t>
      </w:r>
      <w:r>
        <w:rPr>
          <w:i/>
          <w:iCs/>
        </w:rPr>
        <w:t xml:space="preserve">q</w:t>
      </w:r>
      <w:r>
        <w:t xml:space="preserve"> </w:t>
      </w:r>
      <w:r>
        <w:t xml:space="preserve">derived from room counts and computes investment via the Spence equilibrium</w:t>
      </w:r>
      <w:r>
        <w:t xml:space="preserve"> </w:t>
      </w:r>
      <m:oMath>
        <m:sSup>
          <m:e>
            <m:r>
              <m:t>x</m:t>
            </m:r>
          </m:e>
          <m:sup>
            <m:r>
              <m:rPr>
                <m:sty m:val="p"/>
              </m:rPr>
              <m:t>*</m:t>
            </m:r>
          </m:sup>
        </m:sSup>
        <m:r>
          <m:rPr>
            <m:sty m:val="p"/>
          </m:rPr>
          <m:t>(</m:t>
        </m:r>
        <m:r>
          <m:t>q</m:t>
        </m:r>
        <m:r>
          <m:rPr>
            <m:sty m:val="p"/>
          </m:rPr>
          <m:t>)</m:t>
        </m:r>
      </m:oMath>
      <w:r>
        <w:t xml:space="preserve">, conflict via the assessment noise function, and drought buffering via the exponential survival function with network-dependent insurance. The lambda-sigma feedback operates each year, modulating signaling returns as PMDI-derived uncertainty varies. Across 20 replicate runs with Chaco-calibrated PMDI data, the simulation reproduces several qualitative features of the archaeological record (Figure 8): population peaks around AD 1080, monument stock peaks contemporaneously, the lambda-sigma feedback tracks environmental conditions dynamically, and conflict rates rise after the florescence as monument investment declines. High-quality groups (core great houses, mean q = 1.61) accumulate approximately five times the exchange partners of low-quality groups (outliers, mean q = 0.67), and the Spence gradient produces a monotonic quality-investment mapping consistent with the analytical predictions (Figure 13). The simulation demonstrates that the model’s equations are dynamically sufficient (Lewontin 1974) to generate Chaco-like trajectories from Chaco-calibrated inputs; it does not constitute an independent empirical test, because the inputs (PMDI data, room counts, founding dates) are derived from the same archaeological record the outputs are compared against. The simulation necessarily includes implementation details beyond the formal three-layer model, including demographic parameters (birth and death rates), density-dependent mortality, resource production formulas, and pilgrimage dynamics. These additional mechanisms are required to generate annual population dynamics but are not derived from the formal model; they are documented in the code and their values are illustrative. Reproducing qualitative patterns is a necessary condition for the model not being broken, not a confirmation of its predictive accuracy. The simulation’s parameter values are illustrative rather than estimated; formal calibration against the Chaco Research Archive tree-ring data and independent quality proxies is the priority for the next stage.</w:t>
      </w:r>
    </w:p>
    <w:p>
      <w:pPr>
        <w:pStyle w:val="BodyText"/>
      </w:pPr>
      <w:r>
        <w:t xml:space="preserve">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pPr>
        <w:pStyle w:val="BodyText"/>
      </w:pPr>
      <w:r>
        <w:t xml:space="preserve">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bookmarkEnd w:id="43"/>
    <w:bookmarkEnd w:id="44"/>
    <w:bookmarkStart w:id="45" w:name="conclusion"/>
    <w:p>
      <w:pPr>
        <w:pStyle w:val="Heading2"/>
      </w:pPr>
      <w:r>
        <w:t xml:space="preserve">7. Conclusion</w:t>
      </w:r>
    </w:p>
    <w:p>
      <w:pPr>
        <w:pStyle w:val="FirstParagraph"/>
      </w:pPr>
      <w:r>
        <w:t xml:space="preserve">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they have cycled through competing narratives without building cumulative, testable knowledge. The succession of political hierarchy, ritual pilgrimage, ecological adaptation, and labor recruitment models has produced multiple accounts that can accommodate the evidence post hoc but cannot predict it. No existing framework specifies the conditions under which its proposed mechanisms should produce the observed patterns, the thresholds at which behavior should change, or the observations that would refute the framework (Perreault 2019; Quinn 2019).</w:t>
      </w:r>
    </w:p>
    <w:p>
      <w:pPr>
        <w:pStyle w:val="BodyText"/>
      </w:pPr>
      <w:r>
        <w:t xml:space="preserve">The three-layer signaling model presented here provides a formal framework capable of generating such predictions. The model’s contribution is the formalization itself: placing the productive but informal CST insights of Kantner and Vaughn (2012), Safi (2015), and others on formal footing so that predictions can be derived, tested, and, when they fail, revised. Layer 1 (the Spence condition) establishes that monument investment is individually rational for every participant above minimum quality, resolving the free-rider problem that verbal accounts leave open. Layer 2 (intergroup assessment) derives the conflict-reduction mechanism from the informational content of monument stock. Layer 3 (cooperation networks with environmental feedback) links signaling to environmental conditions through the lambda-sigma feedback.</w:t>
      </w:r>
    </w:p>
    <w:p>
      <w:pPr>
        <w:pStyle w:val="BodyText"/>
      </w:pPr>
      <w:r>
        <w:t xml:space="preserve">Of the eight predictions, we report the current score forthrightly. Two discriminating predictions are supported: signal observability (P3) is confirmed by viewshed and soundshed analyses (Dungan et al. 2018; Van Dyke et al. 2024), and signal depreciation (P7, partially discriminating) is illustrated by Pueblo Bonito’s continuous renovation cycle (Crown and Wills 2018). Network-construction co-evolution (P6) is supported with a severity caveat: temporal co-occurrence is also predicted by surplus models. Conflict reduction (P4, discriminating) is partially supported, with appropriate qualifications about the EP Events. Two convergent predictions are supported: quality-dependent investment (P1, Bayesian beta = 1.67, P(beta &gt; 0) = 0.9998) and elite exotic goods concentration (P2), though both are consistent with hierarchy models. System collapse (P8, discriminating) is partially supported, with the Bayesian changepoint at AD 1082 confirming pre-drought decline and the three collapse-sequence features in Section 6.2 consistent with signaling logic, though a depletion-augmented surplus model can also accommodate these patterns.</w:t>
      </w:r>
    </w:p>
    <w:p>
      <w:pPr>
        <w:pStyle w:val="BodyText"/>
      </w:pPr>
      <w:r>
        <w:t xml:space="preserve">Construction under uncertainty (P5, discriminating) is not supported. The annual-resolution analysis of 2,973 timber specimens from the Chaco Research Archive shows PMDI variance correlating negatively with construction (r = -0.167, p = 0.004) and PMDI level correlating positively (r = +0.43, p &lt; 0.0001). The lambda-sigma feedback, the model’s most theoretically novel mechanism (Layer 3), is falsified as formulated. We state this plainly. The prediction was specific enough to fail, and it failed. That it could fail is precisely what distinguishes this framework from the unfalsifiable narrative accounts it is intended to replace.</w:t>
      </w:r>
    </w:p>
    <w:p>
      <w:pPr>
        <w:pStyle w:val="BodyText"/>
      </w:pPr>
      <w:r>
        <w:t xml:space="preserve">What the P5 failure teaches is instructive. The lambda-sigma mechanism assumed that environmental variance in real time drives signaling returns. The data show that construction tracks mean moisture, not variance. This does not invalidate the broader claim that environmental marginality makes cooperation networks valuable; rather, it indicates that the relevant environmental parameter is not rolling PMDI variance but something more structural: the long-term aridity context (Polyak et al. 2022), the spatial heterogeneity of drought patterns (Gauthier 2021), or the cumulative fragility of the resource base (Lentz et al. 2021). Reformulating Layer 3 to capture structural vulnerability rather than rolling variance is a priority for the next stage.</w:t>
      </w:r>
    </w:p>
    <w:p>
      <w:pPr>
        <w:pStyle w:val="BodyText"/>
      </w:pPr>
      <w:r>
        <w:t xml:space="preserve">The model’s empirical weight rests on two foundations. First, the formalization of Layers 1 and 2, which were proposed verbally by prior authors but are here derived from first principles with equilibrium proofs and falsifiable predictions. Formalizing existing insights is itself a contribution: it transforms claims that could accommodate any outcome into claims that can be tested and refuted. Second, the collapse-sequence evidence (Section 6.2), where the signaling model’s predictions about pre-drought signal degradation, deliberate channel closure, and competitive displacement are consistent with the evidence, though we acknowledge that a depletion-augmented surplus model can accommodate most of these patterns except the deliberate termination rituals. Distinguishing between these frameworks will require formal development of the depletion model and quantitative comparison on equal terms.</w:t>
      </w:r>
    </w:p>
    <w:p>
      <w:pPr>
        <w:pStyle w:val="BodyText"/>
      </w:pPr>
      <w:r>
        <w:t xml:space="preserve">In Kitcher’s (1981) terms, the framework represents a gain in unification: explaining monument construction, exotic goods concentration, conflict patterns, network dynamics, and collapse sequence through a single set of equilibrium conditions rather than separate ad hoc accounts for each phenomenon. The value of formalization is not that it provides final answers but that it specifies what a final answer would look like: the conditions under which the model would be refuted, the data that would refute it, and the observations that would confirm it. The P5 result demonstrates this concretely. That is what cumulative knowledge building requires.</w:t>
      </w:r>
      <w:r>
        <w:t xml:space="preserve"> </w:t>
      </w:r>
      <w:r>
        <w:t xml:space="preserve">## Acknowledgments</w:t>
      </w:r>
    </w:p>
    <w:p>
      <w:pPr>
        <w:pStyle w:val="BodyText"/>
      </w:pPr>
      <w:r>
        <w:t xml:space="preserve">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bookmarkEnd w:id="45"/>
    <w:bookmarkStart w:id="46" w:name="data-availability"/>
    <w:p>
      <w:pPr>
        <w:pStyle w:val="Heading2"/>
      </w:pPr>
      <w:r>
        <w:t xml:space="preserve">Data Availability</w:t>
      </w:r>
    </w:p>
    <w:p>
      <w:pPr>
        <w:pStyle w:val="FirstParagraph"/>
      </w:pPr>
      <w:r>
        <w:t xml:space="preserve">All analysis code and data are available at [repository URL]. Paleoclimate data are from the NOAA Paleoclimatology Program. Archaeological data are compiled from published sources cited in the text. The repository includes an agent-based simulation that implements the three-layer formal model: quality-dependent investment via the Spence equilibrium</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intergroup conflict reduction via the assessment noise function,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for network-based drought buffering, and the lambda-sigma feedback</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sSup>
          <m:e>
            <m:r>
              <m:t>σ</m:t>
            </m:r>
          </m:e>
          <m:sup>
            <m:r>
              <m:t>α</m:t>
            </m:r>
          </m:sup>
        </m:sSup>
      </m:oMath>
      <w:r>
        <w:t xml:space="preserve"> </w:t>
      </w:r>
      <w:r>
        <w:t xml:space="preserve">linking environmental uncertainty to signaling returns. Groups have continuous quality derived from room counts as a proxy for productive capacity (note that this shares the circularity acknowledged for P1: room counts are themselves a component of monument investment, so the quality-investment gradient is partially built into the initialization rather than emerging as a prediction). Parameter values used in the simulation are illustrative; formal estimation from independent data is a priority for the next stage of the research programme (Section 6.7).</w:t>
      </w:r>
    </w:p>
    <w:bookmarkEnd w:id="46"/>
    <w:bookmarkStart w:id="47" w:name="references"/>
    <w:p>
      <w:pPr>
        <w:pStyle w:val="Heading2"/>
      </w:pPr>
      <w:r>
        <w:t xml:space="preserve">References</w:t>
      </w:r>
    </w:p>
    <w:p>
      <w:pPr>
        <w:pStyle w:val="FirstParagraph"/>
      </w:pPr>
      <w:r>
        <w:t xml:space="preserve">Barclay, P., Bliege Bird, R., Roberts, G., &amp; Szamado, S. 2021. Cooperating to show that you care: Costly helping as an honest signal of fitness interdependence.</w:t>
      </w:r>
      <w:r>
        <w:t xml:space="preserve"> </w:t>
      </w:r>
      <w:r>
        <w:rPr>
          <w:i/>
          <w:iCs/>
        </w:rPr>
        <w:t xml:space="preserve">Philosophical Transactions of the Royal Society B</w:t>
      </w:r>
      <w:r>
        <w:t xml:space="preserve"> </w:t>
      </w:r>
      <w:r>
        <w:t xml:space="preserve">376:20200292.</w:t>
      </w:r>
    </w:p>
    <w:p>
      <w:pPr>
        <w:pStyle w:val="BodyText"/>
      </w:pPr>
      <w:r>
        <w:t xml:space="preserve">Bliege Bird, R., &amp; Smith, E.A. 2005. Signaling theory, strategic interaction, and symbolic capital.</w:t>
      </w:r>
      <w:r>
        <w:t xml:space="preserve"> </w:t>
      </w:r>
      <w:r>
        <w:rPr>
          <w:i/>
          <w:iCs/>
        </w:rPr>
        <w:t xml:space="preserve">Current Anthropology</w:t>
      </w:r>
      <w:r>
        <w:t xml:space="preserve"> </w:t>
      </w:r>
      <w:r>
        <w:t xml:space="preserve">46(2):221-248.</w:t>
      </w:r>
    </w:p>
    <w:p>
      <w:pPr>
        <w:pStyle w:val="BodyText"/>
      </w:pPr>
      <w:r>
        <w:t xml:space="preserve">Benson, L.V., Plog, S., Dean, J.S., Stein, J.R., Gamble, D., &amp; Stahle, D.W. 2019. Prehistoric Chaco Canyon, New Mexico: Residential population implications of limited agricultural and mammal productivity.</w:t>
      </w:r>
      <w:r>
        <w:t xml:space="preserve"> </w:t>
      </w:r>
      <w:r>
        <w:rPr>
          <w:i/>
          <w:iCs/>
        </w:rPr>
        <w:t xml:space="preserve">Journal of Archaeological Science</w:t>
      </w:r>
      <w:r>
        <w:t xml:space="preserve"> </w:t>
      </w:r>
      <w:r>
        <w:t xml:space="preserve">106:1-15.</w:t>
      </w:r>
    </w:p>
    <w:p>
      <w:pPr>
        <w:pStyle w:val="BodyText"/>
      </w:pPr>
      <w:r>
        <w:t xml:space="preserve">Cordell, L.S., &amp; Gumerman, G.J. (eds.). 1989.</w:t>
      </w:r>
      <w:r>
        <w:t xml:space="preserve"> </w:t>
      </w:r>
      <w:r>
        <w:rPr>
          <w:i/>
          <w:iCs/>
        </w:rPr>
        <w:t xml:space="preserve">Dynamics of Southwest Prehistory</w:t>
      </w:r>
      <w:r>
        <w:t xml:space="preserve">. Smithsonian Institution Press, Washington, DC.</w:t>
      </w:r>
    </w:p>
    <w:p>
      <w:pPr>
        <w:pStyle w:val="BodyText"/>
      </w:pPr>
      <w:r>
        <w:t xml:space="preserve">Cook, E.R., Woodhouse, C.A., Eakin, C.M., Meko, D.M., &amp; Stahle, D.W. 2004. Long-term aridity changes in the western United States.</w:t>
      </w:r>
      <w:r>
        <w:t xml:space="preserve"> </w:t>
      </w:r>
      <w:r>
        <w:rPr>
          <w:i/>
          <w:iCs/>
        </w:rPr>
        <w:t xml:space="preserve">Science</w:t>
      </w:r>
      <w:r>
        <w:t xml:space="preserve"> </w:t>
      </w:r>
      <w:r>
        <w:t xml:space="preserve">306(5698):1015-1018.</w:t>
      </w:r>
    </w:p>
    <w:p>
      <w:pPr>
        <w:pStyle w:val="BodyText"/>
      </w:pPr>
      <w:r>
        <w:t xml:space="preserve">Crown, P.L., &amp; Hurst, W.J. 2009. Evidence of cacao use in the Prehispanic American Southwest.</w:t>
      </w:r>
      <w:r>
        <w:t xml:space="preserve"> </w:t>
      </w:r>
      <w:r>
        <w:rPr>
          <w:i/>
          <w:iCs/>
        </w:rPr>
        <w:t xml:space="preserve">Proceedings of the National Academy of Sciences</w:t>
      </w:r>
      <w:r>
        <w:t xml:space="preserve"> </w:t>
      </w:r>
      <w:r>
        <w:t xml:space="preserve">106(7):2110-2113.</w:t>
      </w:r>
    </w:p>
    <w:p>
      <w:pPr>
        <w:pStyle w:val="BodyText"/>
      </w:pPr>
      <w:r>
        <w:t xml:space="preserve">Crown, P.L., &amp; Judge, W.J. (eds.). 1991.</w:t>
      </w:r>
      <w:r>
        <w:t xml:space="preserve"> </w:t>
      </w:r>
      <w:r>
        <w:rPr>
          <w:i/>
          <w:iCs/>
        </w:rPr>
        <w:t xml:space="preserve">Chaco and Hohokam: Prehistoric Regional Systems in the American Southwest</w:t>
      </w:r>
      <w:r>
        <w:t xml:space="preserve">. School of American Research Press, Santa Fe.</w:t>
      </w:r>
    </w:p>
    <w:p>
      <w:pPr>
        <w:pStyle w:val="BodyText"/>
      </w:pPr>
      <w:r>
        <w:t xml:space="preserve">Crown, P.L. 2018. Drinking performance and politics in Pueblo Bonito, Chaco Canyon.</w:t>
      </w:r>
      <w:r>
        <w:t xml:space="preserve"> </w:t>
      </w:r>
      <w:r>
        <w:rPr>
          <w:i/>
          <w:iCs/>
        </w:rPr>
        <w:t xml:space="preserve">American Antiquity</w:t>
      </w:r>
      <w:r>
        <w:t xml:space="preserve"> </w:t>
      </w:r>
      <w:r>
        <w:t xml:space="preserve">83(3):387-406.</w:t>
      </w:r>
    </w:p>
    <w:p>
      <w:pPr>
        <w:pStyle w:val="BodyText"/>
      </w:pPr>
      <w:r>
        <w:t xml:space="preserve">Crown, P.L., &amp; Wills, W.H. 2018. The complex history of Pueblo Bonito and its interpretation.</w:t>
      </w:r>
      <w:r>
        <w:t xml:space="preserve"> </w:t>
      </w:r>
      <w:r>
        <w:rPr>
          <w:i/>
          <w:iCs/>
        </w:rPr>
        <w:t xml:space="preserve">Antiquity</w:t>
      </w:r>
      <w:r>
        <w:t xml:space="preserve"> </w:t>
      </w:r>
      <w:r>
        <w:t xml:space="preserve">92(364):890-904.</w:t>
      </w:r>
    </w:p>
    <w:p>
      <w:pPr>
        <w:pStyle w:val="BodyText"/>
      </w:pPr>
      <w:r>
        <w:t xml:space="preserve">Dungan, K., Peeples, M.A., Wills, W.H., Mills, B.J., &amp; Kintigh, K.W. 2018. A total viewshed approach to local visibility in the Chaco World.</w:t>
      </w:r>
      <w:r>
        <w:t xml:space="preserve"> </w:t>
      </w:r>
      <w:r>
        <w:rPr>
          <w:i/>
          <w:iCs/>
        </w:rPr>
        <w:t xml:space="preserve">Antiquity</w:t>
      </w:r>
      <w:r>
        <w:t xml:space="preserve"> </w:t>
      </w:r>
      <w:r>
        <w:t xml:space="preserve">92(364):905-921.</w:t>
      </w:r>
    </w:p>
    <w:p>
      <w:pPr>
        <w:pStyle w:val="BodyText"/>
      </w:pPr>
      <w:r>
        <w:t xml:space="preserve">Enquist, M., &amp; Leimar, O. 1983. Evolution of fighting behaviour: Decision rules and assessment of relative strength.</w:t>
      </w:r>
      <w:r>
        <w:t xml:space="preserve"> </w:t>
      </w:r>
      <w:r>
        <w:rPr>
          <w:i/>
          <w:iCs/>
        </w:rPr>
        <w:t xml:space="preserve">Journal of Theoretical Biology</w:t>
      </w:r>
      <w:r>
        <w:t xml:space="preserve"> </w:t>
      </w:r>
      <w:r>
        <w:t xml:space="preserve">102(3):387-410.</w:t>
      </w:r>
    </w:p>
    <w:p>
      <w:pPr>
        <w:pStyle w:val="BodyText"/>
      </w:pPr>
      <w:r>
        <w:t xml:space="preserve">Force, E.R., Vivian, R.G., Windes, T.C., &amp; Dean, J.S. 2002.</w:t>
      </w:r>
      <w:r>
        <w:t xml:space="preserve"> </w:t>
      </w:r>
      <w:r>
        <w:rPr>
          <w:i/>
          <w:iCs/>
        </w:rPr>
        <w:t xml:space="preserve">Relation of</w:t>
      </w:r>
      <w:r>
        <w:rPr>
          <w:i/>
          <w:iCs/>
        </w:rPr>
        <w:t xml:space="preserve"> </w:t>
      </w:r>
      <w:r>
        <w:rPr>
          <w:i/>
          <w:iCs/>
        </w:rPr>
        <w:t xml:space="preserve">“Bonito”</w:t>
      </w:r>
      <w:r>
        <w:rPr>
          <w:i/>
          <w:iCs/>
        </w:rPr>
        <w:t xml:space="preserve"> </w:t>
      </w:r>
      <w:r>
        <w:rPr>
          <w:i/>
          <w:iCs/>
        </w:rPr>
        <w:t xml:space="preserve">Paleo-Channels and Base-Level Variations to Anasazi Occupation, Chaco Canyon, New Mexico</w:t>
      </w:r>
      <w:r>
        <w:t xml:space="preserve">. Arizona State Museum Archaeological Series 194. University of Arizona, Tucson.</w:t>
      </w:r>
    </w:p>
    <w:p>
      <w:pPr>
        <w:pStyle w:val="BodyText"/>
      </w:pPr>
      <w:r>
        <w:t xml:space="preserve">Gintis, H., Smith, E.A., &amp; Bowles, S. 2001. Costly signaling and cooperation.</w:t>
      </w:r>
      <w:r>
        <w:t xml:space="preserve"> </w:t>
      </w:r>
      <w:r>
        <w:rPr>
          <w:i/>
          <w:iCs/>
        </w:rPr>
        <w:t xml:space="preserve">Journal of Theoretical Biology</w:t>
      </w:r>
      <w:r>
        <w:t xml:space="preserve"> </w:t>
      </w:r>
      <w:r>
        <w:t xml:space="preserve">213(1):103-119.</w:t>
      </w:r>
    </w:p>
    <w:p>
      <w:pPr>
        <w:pStyle w:val="BodyText"/>
      </w:pPr>
      <w:r>
        <w:t xml:space="preserve">Gauthier, N. 2021. Hydroclimate variability influenced social interaction in the prehistoric American Southwest.</w:t>
      </w:r>
      <w:r>
        <w:t xml:space="preserve"> </w:t>
      </w:r>
      <w:r>
        <w:rPr>
          <w:i/>
          <w:iCs/>
        </w:rPr>
        <w:t xml:space="preserve">Frontiers in Earth Science</w:t>
      </w:r>
      <w:r>
        <w:t xml:space="preserve"> </w:t>
      </w:r>
      <w:r>
        <w:t xml:space="preserve">8:620856.</w:t>
      </w:r>
    </w:p>
    <w:p>
      <w:pPr>
        <w:pStyle w:val="BodyText"/>
      </w:pPr>
      <w:r>
        <w:t xml:space="preserve">Gille, E.P., Wahl, E.R., Vose, R.S., &amp; Cook, E.R. 2017. The Living Blended Drought Atlas (LBDA) Version 2. NOAA National Centers for Environmental Information. doi:10.25921/7wk1-q848.</w:t>
      </w:r>
    </w:p>
    <w:p>
      <w:pPr>
        <w:pStyle w:val="BodyText"/>
      </w:pPr>
      <w:r>
        <w:t xml:space="preserve">Gillreath-Brown, A., &amp; Kohler, T.A. 2024. How maize farmers in the US Southwest grew and prospered under El Nino but suffered under La Nina.</w:t>
      </w:r>
      <w:r>
        <w:t xml:space="preserve"> </w:t>
      </w:r>
      <w:r>
        <w:rPr>
          <w:i/>
          <w:iCs/>
        </w:rPr>
        <w:t xml:space="preserve">Kiva</w:t>
      </w:r>
      <w:r>
        <w:t xml:space="preserve"> </w:t>
      </w:r>
      <w:r>
        <w:t xml:space="preserve">90(4):451-475.</w:t>
      </w:r>
    </w:p>
    <w:p>
      <w:pPr>
        <w:pStyle w:val="BodyText"/>
      </w:pPr>
      <w:r>
        <w:t xml:space="preserve">Grafen, A. 1990. Biological signals as handicaps.</w:t>
      </w:r>
      <w:r>
        <w:t xml:space="preserve"> </w:t>
      </w:r>
      <w:r>
        <w:rPr>
          <w:i/>
          <w:iCs/>
        </w:rPr>
        <w:t xml:space="preserve">Journal of Theoretical Biology</w:t>
      </w:r>
      <w:r>
        <w:t xml:space="preserve"> </w:t>
      </w:r>
      <w:r>
        <w:t xml:space="preserve">144(4):517-546.</w:t>
      </w:r>
    </w:p>
    <w:p>
      <w:pPr>
        <w:pStyle w:val="BodyText"/>
      </w:pPr>
      <w:r>
        <w:t xml:space="preserve">Grissino-Mayer, H.D. 1996. A 2,129-year reconstruction of precipitation for northwestern New Mexico, USA. In</w:t>
      </w:r>
      <w:r>
        <w:t xml:space="preserve"> </w:t>
      </w:r>
      <w:r>
        <w:rPr>
          <w:i/>
          <w:iCs/>
        </w:rPr>
        <w:t xml:space="preserve">Tree Rings, Environment, and Humanity</w:t>
      </w:r>
      <w:r>
        <w:t xml:space="preserve">, edited by J.S. Dean, D.M. Meko, and T.W. Swetnam, pp. 191-204. Radiocarbon, Tucson.</w:t>
      </w:r>
    </w:p>
    <w:p>
      <w:pPr>
        <w:pStyle w:val="BodyText"/>
      </w:pPr>
      <w:r>
        <w:t xml:space="preserve">Grissino-Mayer, H.D., Swetnam, T.W., &amp; Adams, R.K. 1997. The rare, old-aged conifers of El Malpais: Their role in understanding climatic change in the American Southwest.</w:t>
      </w:r>
      <w:r>
        <w:t xml:space="preserve"> </w:t>
      </w:r>
      <w:r>
        <w:rPr>
          <w:i/>
          <w:iCs/>
        </w:rPr>
        <w:t xml:space="preserve">New Mexico Bureau of Mines and Mineral Resources Bulletin</w:t>
      </w:r>
      <w:r>
        <w:t xml:space="preserve"> </w:t>
      </w:r>
      <w:r>
        <w:t xml:space="preserve">156:155-161.</w:t>
      </w:r>
    </w:p>
    <w:p>
      <w:pPr>
        <w:pStyle w:val="BodyText"/>
      </w:pPr>
      <w:r>
        <w:t xml:space="preserve">Gumerman, G.J. (ed.). 1988.</w:t>
      </w:r>
      <w:r>
        <w:t xml:space="preserve"> </w:t>
      </w:r>
      <w:r>
        <w:rPr>
          <w:i/>
          <w:iCs/>
        </w:rPr>
        <w:t xml:space="preserve">The Anasazi in a Changing Environment</w:t>
      </w:r>
      <w:r>
        <w:t xml:space="preserve">. Cambridge University Press, Cambridge.</w:t>
      </w:r>
    </w:p>
    <w:p>
      <w:pPr>
        <w:pStyle w:val="BodyText"/>
      </w:pPr>
      <w:r>
        <w:t xml:space="preserve">Gumerman, G.J. (ed.). 1994.</w:t>
      </w:r>
      <w:r>
        <w:t xml:space="preserve"> </w:t>
      </w:r>
      <w:r>
        <w:rPr>
          <w:i/>
          <w:iCs/>
        </w:rPr>
        <w:t xml:space="preserve">Themes in Southwest Prehistory</w:t>
      </w:r>
      <w:r>
        <w:t xml:space="preserve">. School of American Research Press, Santa Fe.</w:t>
      </w:r>
    </w:p>
    <w:p>
      <w:pPr>
        <w:pStyle w:val="BodyText"/>
      </w:pPr>
      <w:r>
        <w:t xml:space="preserve">Guiterman, C.H., Swetnam, T.W., &amp; Dean, J.S. 2015. Eleventh-century shift in timber procurement areas for the great houses of Chaco Canyon, NM.</w:t>
      </w:r>
      <w:r>
        <w:t xml:space="preserve"> </w:t>
      </w:r>
      <w:r>
        <w:rPr>
          <w:i/>
          <w:iCs/>
        </w:rPr>
        <w:t xml:space="preserve">Proceedings of the National Academy of Sciences</w:t>
      </w:r>
      <w:r>
        <w:t xml:space="preserve"> </w:t>
      </w:r>
      <w:r>
        <w:t xml:space="preserve">112(44):13438-13443.</w:t>
      </w:r>
    </w:p>
    <w:p>
      <w:pPr>
        <w:pStyle w:val="BodyText"/>
      </w:pPr>
      <w:r>
        <w:t xml:space="preserve">Heitman, C.C., &amp; Plog, S. (eds.). 2015.</w:t>
      </w:r>
      <w:r>
        <w:t xml:space="preserve"> </w:t>
      </w:r>
      <w:r>
        <w:rPr>
          <w:i/>
          <w:iCs/>
        </w:rPr>
        <w:t xml:space="preserve">Chaco Revisited: New Research on the Prehistory of Chaco Canyon, New Mexico</w:t>
      </w:r>
      <w:r>
        <w:t xml:space="preserve">. University of Arizona Press, Tucson.</w:t>
      </w:r>
    </w:p>
    <w:p>
      <w:pPr>
        <w:pStyle w:val="BodyText"/>
      </w:pPr>
      <w:r>
        <w:t xml:space="preserve">Halstead, P., &amp; O’Shea, J. 1989. Introduction: Cultural responses to risk and uncertainty. In</w:t>
      </w:r>
      <w:r>
        <w:t xml:space="preserve"> </w:t>
      </w:r>
      <w:r>
        <w:rPr>
          <w:i/>
          <w:iCs/>
        </w:rPr>
        <w:t xml:space="preserve">Bad Year Economics: Cultural Responses to Risk and Uncertainty</w:t>
      </w:r>
      <w:r>
        <w:t xml:space="preserve">, edited by P. Halstead and J. O’Shea, pp. 1-7. Cambridge University Press, Cambridge.</w:t>
      </w:r>
    </w:p>
    <w:p>
      <w:pPr>
        <w:pStyle w:val="BodyText"/>
      </w:pPr>
      <w:r>
        <w:t xml:space="preserve">Hull, S., Fayek, M., Mathien, F.J., &amp; Roberts, H. 2014. Turquoise trade of the Ancestral Puebloan: Chaco and beyond.</w:t>
      </w:r>
      <w:r>
        <w:t xml:space="preserve"> </w:t>
      </w:r>
      <w:r>
        <w:rPr>
          <w:i/>
          <w:iCs/>
        </w:rPr>
        <w:t xml:space="preserve">Journal of Archaeological Science</w:t>
      </w:r>
      <w:r>
        <w:t xml:space="preserve"> </w:t>
      </w:r>
      <w:r>
        <w:t xml:space="preserve">45:187-195.</w:t>
      </w:r>
    </w:p>
    <w:p>
      <w:pPr>
        <w:pStyle w:val="BodyText"/>
      </w:pPr>
      <w:r>
        <w:t xml:space="preserve">Hawkes, K., &amp; Bliege Bird, R. 2002. Showing off, handicap signaling, and the evolution of men’s work.</w:t>
      </w:r>
      <w:r>
        <w:t xml:space="preserve"> </w:t>
      </w:r>
      <w:r>
        <w:rPr>
          <w:i/>
          <w:iCs/>
        </w:rPr>
        <w:t xml:space="preserve">Evolutionary Anthropology</w:t>
      </w:r>
      <w:r>
        <w:t xml:space="preserve"> </w:t>
      </w:r>
      <w:r>
        <w:t xml:space="preserve">11(2):58-67.</w:t>
      </w:r>
    </w:p>
    <w:p>
      <w:pPr>
        <w:pStyle w:val="BodyText"/>
      </w:pPr>
      <w:r>
        <w:t xml:space="preserve">Judge, W.J. 1989. Chaco Canyon-San Juan Basin. In</w:t>
      </w:r>
      <w:r>
        <w:t xml:space="preserve"> </w:t>
      </w:r>
      <w:r>
        <w:rPr>
          <w:i/>
          <w:iCs/>
        </w:rPr>
        <w:t xml:space="preserve">Dynamics of Southwest Prehistory</w:t>
      </w:r>
      <w:r>
        <w:t xml:space="preserve">, edited by L.S. Cordell and G.J. Gumerman, pp. 209-261. Smithsonian Institution Press, Washington, DC.</w:t>
      </w:r>
    </w:p>
    <w:p>
      <w:pPr>
        <w:pStyle w:val="BodyText"/>
      </w:pPr>
      <w:r>
        <w:t xml:space="preserve">Kitcher, P. 1981. Explanatory unification.</w:t>
      </w:r>
      <w:r>
        <w:t xml:space="preserve"> </w:t>
      </w:r>
      <w:r>
        <w:rPr>
          <w:i/>
          <w:iCs/>
        </w:rPr>
        <w:t xml:space="preserve">Philosophy of Science</w:t>
      </w:r>
      <w:r>
        <w:t xml:space="preserve"> </w:t>
      </w:r>
      <w:r>
        <w:t xml:space="preserve">48(4):507-531.</w:t>
      </w:r>
    </w:p>
    <w:p>
      <w:pPr>
        <w:pStyle w:val="BodyText"/>
      </w:pPr>
      <w:r>
        <w:t xml:space="preserve">Kuckelman, K.A., Lightfoot, R.R., &amp; Martin, D.L. 2002. The bioarchaeology and taphonomy of violence at Castle Rock and Sand Canyon Pueblos, southwestern Colorado.</w:t>
      </w:r>
      <w:r>
        <w:t xml:space="preserve"> </w:t>
      </w:r>
      <w:r>
        <w:rPr>
          <w:i/>
          <w:iCs/>
        </w:rPr>
        <w:t xml:space="preserve">American Antiquity</w:t>
      </w:r>
      <w:r>
        <w:t xml:space="preserve"> </w:t>
      </w:r>
      <w:r>
        <w:t xml:space="preserve">67(3):486-513.</w:t>
      </w:r>
    </w:p>
    <w:p>
      <w:pPr>
        <w:pStyle w:val="BodyText"/>
      </w:pPr>
      <w:r>
        <w:t xml:space="preserve">Kantner, J., &amp; Vaughn, K.J. 2012. Pilgrimage as costly signal: Religiously motivated cooperation in Chaco and Nasca.</w:t>
      </w:r>
      <w:r>
        <w:t xml:space="preserve"> </w:t>
      </w:r>
      <w:r>
        <w:rPr>
          <w:i/>
          <w:iCs/>
        </w:rPr>
        <w:t xml:space="preserve">Journal of Anthropological Archaeology</w:t>
      </w:r>
      <w:r>
        <w:t xml:space="preserve"> </w:t>
      </w:r>
      <w:r>
        <w:t xml:space="preserve">31(1):66-82.</w:t>
      </w:r>
    </w:p>
    <w:p>
      <w:pPr>
        <w:pStyle w:val="BodyText"/>
      </w:pPr>
      <w:r>
        <w:t xml:space="preserve">Kennett, D.J., Plog, S., George, R.J., Culleton, B.J., Watson, A.S., Skoglund, P., Rohland, N., Mallick, S., Stewardson, K., Kistler, L., LeBlanc, S.A., Whiteley, P.M., Reich, D., &amp; Perry, G.H. 2017. Archaeogenomic evidence reveals prehistoric matrilineal dynasty.</w:t>
      </w:r>
      <w:r>
        <w:t xml:space="preserve"> </w:t>
      </w:r>
      <w:r>
        <w:rPr>
          <w:i/>
          <w:iCs/>
        </w:rPr>
        <w:t xml:space="preserve">Nature Communications</w:t>
      </w:r>
      <w:r>
        <w:t xml:space="preserve"> </w:t>
      </w:r>
      <w:r>
        <w:t xml:space="preserve">8:14115.</w:t>
      </w:r>
    </w:p>
    <w:p>
      <w:pPr>
        <w:pStyle w:val="BodyText"/>
      </w:pPr>
      <w:r>
        <w:t xml:space="preserve">Kohler, T.A., Ellyson, L.J., &amp; Bocinsky, R.K. 2023. Wealth inequality in the prehispanic northern US Southwest: From Malthus to Tyche.</w:t>
      </w:r>
      <w:r>
        <w:t xml:space="preserve"> </w:t>
      </w:r>
      <w:r>
        <w:rPr>
          <w:i/>
          <w:iCs/>
        </w:rPr>
        <w:t xml:space="preserve">Philosophical Transactions of the Royal Society B</w:t>
      </w:r>
      <w:r>
        <w:t xml:space="preserve"> </w:t>
      </w:r>
      <w:r>
        <w:t xml:space="preserve">378:20220298.</w:t>
      </w:r>
    </w:p>
    <w:p>
      <w:pPr>
        <w:pStyle w:val="BodyText"/>
      </w:pPr>
      <w:r>
        <w:t xml:space="preserve">Lakatos, I. 1970. Falsification and the methodology of scientific research programmes. In I. Lakatos and A. Musgrave (eds.),</w:t>
      </w:r>
      <w:r>
        <w:t xml:space="preserve"> </w:t>
      </w:r>
      <w:r>
        <w:rPr>
          <w:i/>
          <w:iCs/>
        </w:rPr>
        <w:t xml:space="preserve">Criticism and the Growth of Knowledge</w:t>
      </w:r>
      <w:r>
        <w:t xml:space="preserve">, pp. 91-196. Cambridge University Press, Cambridge.</w:t>
      </w:r>
    </w:p>
    <w:p>
      <w:pPr>
        <w:pStyle w:val="BodyText"/>
      </w:pPr>
      <w:r>
        <w:t xml:space="preserve">Lekson, S.H. (ed.) 2006.</w:t>
      </w:r>
      <w:r>
        <w:t xml:space="preserve"> </w:t>
      </w:r>
      <w:r>
        <w:rPr>
          <w:i/>
          <w:iCs/>
        </w:rPr>
        <w:t xml:space="preserve">The Archaeology of Chaco Canyon: An Eleventh-Century Pueblo Regional Center</w:t>
      </w:r>
      <w:r>
        <w:t xml:space="preserve">. School for Advanced Research Press, Santa Fe.</w:t>
      </w:r>
    </w:p>
    <w:p>
      <w:pPr>
        <w:pStyle w:val="BodyText"/>
      </w:pPr>
      <w:r>
        <w:t xml:space="preserve">Lewontin, R.C. 1974.</w:t>
      </w:r>
      <w:r>
        <w:t xml:space="preserve"> </w:t>
      </w:r>
      <w:r>
        <w:rPr>
          <w:i/>
          <w:iCs/>
        </w:rPr>
        <w:t xml:space="preserve">The Genetic Basis of Evolutionary Change</w:t>
      </w:r>
      <w:r>
        <w:t xml:space="preserve">. Columbia University Press, New York.</w:t>
      </w:r>
    </w:p>
    <w:p>
      <w:pPr>
        <w:pStyle w:val="BodyText"/>
      </w:pPr>
      <w:r>
        <w:t xml:space="preserve">Lekson, S.H. 2002. War in the Southwest, war in the world.</w:t>
      </w:r>
      <w:r>
        <w:t xml:space="preserve"> </w:t>
      </w:r>
      <w:r>
        <w:rPr>
          <w:i/>
          <w:iCs/>
        </w:rPr>
        <w:t xml:space="preserve">American Antiquity</w:t>
      </w:r>
      <w:r>
        <w:t xml:space="preserve"> </w:t>
      </w:r>
      <w:r>
        <w:t xml:space="preserve">67(4):607-624.</w:t>
      </w:r>
    </w:p>
    <w:p>
      <w:pPr>
        <w:pStyle w:val="BodyText"/>
      </w:pPr>
      <w:r>
        <w:t xml:space="preserve">Lentz, D.L., Slotten, V., Plog, S., et al. 2021. Ecosystem impacts by the Ancestral Puebloans of Chaco Canyon, New Mexico, USA.</w:t>
      </w:r>
      <w:r>
        <w:t xml:space="preserve"> </w:t>
      </w:r>
      <w:r>
        <w:rPr>
          <w:i/>
          <w:iCs/>
        </w:rPr>
        <w:t xml:space="preserve">PLOS ONE</w:t>
      </w:r>
      <w:r>
        <w:t xml:space="preserve"> </w:t>
      </w:r>
      <w:r>
        <w:t xml:space="preserve">16(10):e0258369.</w:t>
      </w:r>
    </w:p>
    <w:p>
      <w:pPr>
        <w:pStyle w:val="BodyText"/>
      </w:pPr>
      <w:r>
        <w:t xml:space="preserve">Mailath, G.J. 1987. Incentive compatibility in signaling games with a continuum of types.</w:t>
      </w:r>
      <w:r>
        <w:t xml:space="preserve"> </w:t>
      </w:r>
      <w:r>
        <w:rPr>
          <w:i/>
          <w:iCs/>
        </w:rPr>
        <w:t xml:space="preserve">Econometrica</w:t>
      </w:r>
      <w:r>
        <w:t xml:space="preserve"> </w:t>
      </w:r>
      <w:r>
        <w:t xml:space="preserve">55(6):1349-1365.</w:t>
      </w:r>
    </w:p>
    <w:p>
      <w:pPr>
        <w:pStyle w:val="BodyText"/>
      </w:pPr>
      <w:r>
        <w:t xml:space="preserve">Mathien, F.J. 2001. The organization of turquoise production and consumption by the prehistoric Chacoans.</w:t>
      </w:r>
      <w:r>
        <w:t xml:space="preserve"> </w:t>
      </w:r>
      <w:r>
        <w:rPr>
          <w:i/>
          <w:iCs/>
        </w:rPr>
        <w:t xml:space="preserve">American Antiquity</w:t>
      </w:r>
      <w:r>
        <w:t xml:space="preserve"> </w:t>
      </w:r>
      <w:r>
        <w:t xml:space="preserve">66(1):103-118.</w:t>
      </w:r>
    </w:p>
    <w:p>
      <w:pPr>
        <w:pStyle w:val="BodyText"/>
      </w:pPr>
      <w:r>
        <w:t xml:space="preserve">Mattson, H. 2025. Reevaluating the organization of lapidary production at Chaco Canyon.</w:t>
      </w:r>
      <w:r>
        <w:t xml:space="preserve"> </w:t>
      </w:r>
      <w:r>
        <w:rPr>
          <w:i/>
          <w:iCs/>
        </w:rPr>
        <w:t xml:space="preserve">American Antiquity</w:t>
      </w:r>
      <w:r>
        <w:t xml:space="preserve"> </w:t>
      </w:r>
      <w:r>
        <w:t xml:space="preserve">90:90-112.</w:t>
      </w:r>
    </w:p>
    <w:p>
      <w:pPr>
        <w:pStyle w:val="BodyText"/>
      </w:pPr>
      <w:r>
        <w:t xml:space="preserve">Mills, B.J., Clark, J.J., Peeples, M.A., et al. 2013. Transformation of social networks in the late pre-Hispanic US Southwest.</w:t>
      </w:r>
      <w:r>
        <w:t xml:space="preserve"> </w:t>
      </w:r>
      <w:r>
        <w:rPr>
          <w:i/>
          <w:iCs/>
        </w:rPr>
        <w:t xml:space="preserve">Proceedings of the National Academy of Sciences</w:t>
      </w:r>
      <w:r>
        <w:t xml:space="preserve"> </w:t>
      </w:r>
      <w:r>
        <w:t xml:space="preserve">110(15):5785-5790.</w:t>
      </w:r>
    </w:p>
    <w:p>
      <w:pPr>
        <w:pStyle w:val="BodyText"/>
      </w:pPr>
      <w:r>
        <w:t xml:space="preserve">Mills, B.J., Peeples, M.A., Borck, L., Clark, J.J., &amp; Roberts, J.M. 2018. Evaluating Chaco migration scenarios using dynamic social network analysis.</w:t>
      </w:r>
      <w:r>
        <w:t xml:space="preserve"> </w:t>
      </w:r>
      <w:r>
        <w:rPr>
          <w:i/>
          <w:iCs/>
        </w:rPr>
        <w:t xml:space="preserve">Antiquity</w:t>
      </w:r>
      <w:r>
        <w:t xml:space="preserve"> </w:t>
      </w:r>
      <w:r>
        <w:t xml:space="preserve">92(364):922-939.</w:t>
      </w:r>
    </w:p>
    <w:p>
      <w:pPr>
        <w:pStyle w:val="BodyText"/>
      </w:pPr>
      <w:r>
        <w:t xml:space="preserve">Mayo, D.G. 2018.</w:t>
      </w:r>
      <w:r>
        <w:t xml:space="preserve"> </w:t>
      </w:r>
      <w:r>
        <w:rPr>
          <w:i/>
          <w:iCs/>
        </w:rPr>
        <w:t xml:space="preserve">Statistical Inference as Severe Testing: How to Get Beyond the Statistics Wars</w:t>
      </w:r>
      <w:r>
        <w:t xml:space="preserve">. Cambridge University Press, Cambridge.</w:t>
      </w:r>
    </w:p>
    <w:p>
      <w:pPr>
        <w:pStyle w:val="BodyText"/>
      </w:pPr>
      <w:r>
        <w:t xml:space="preserve">Noble, D.G. (ed.). 1984.</w:t>
      </w:r>
      <w:r>
        <w:t xml:space="preserve"> </w:t>
      </w:r>
      <w:r>
        <w:rPr>
          <w:i/>
          <w:iCs/>
        </w:rPr>
        <w:t xml:space="preserve">New Light on Chaco Canyon</w:t>
      </w:r>
      <w:r>
        <w:t xml:space="preserve">. School of American Research Press, Santa Fe.</w:t>
      </w:r>
    </w:p>
    <w:p>
      <w:pPr>
        <w:pStyle w:val="BodyText"/>
      </w:pPr>
      <w:r>
        <w:t xml:space="preserve">Noble, D.G. (ed.). 2004.</w:t>
      </w:r>
      <w:r>
        <w:t xml:space="preserve"> </w:t>
      </w:r>
      <w:r>
        <w:rPr>
          <w:i/>
          <w:iCs/>
        </w:rPr>
        <w:t xml:space="preserve">In Search of Chaco: New Approaches to an Archaeological Enigma</w:t>
      </w:r>
      <w:r>
        <w:t xml:space="preserve">. School for Advanced Research Press, Santa Fe.</w:t>
      </w:r>
    </w:p>
    <w:p>
      <w:pPr>
        <w:pStyle w:val="BodyText"/>
      </w:pPr>
      <w:r>
        <w:t xml:space="preserve">Neiman, F.D. 1997. Conspicuous consumption as wasteful advertising: A Darwinian perspective on spatial patterns in Classic Maya terminal monument dates.</w:t>
      </w:r>
      <w:r>
        <w:t xml:space="preserve"> </w:t>
      </w:r>
      <w:r>
        <w:rPr>
          <w:i/>
          <w:iCs/>
        </w:rPr>
        <w:t xml:space="preserve">Archeological Papers of the American Anthropological Association</w:t>
      </w:r>
      <w:r>
        <w:t xml:space="preserve"> </w:t>
      </w:r>
      <w:r>
        <w:t xml:space="preserve">7:267-290.</w:t>
      </w:r>
    </w:p>
    <w:p>
      <w:pPr>
        <w:pStyle w:val="BodyText"/>
      </w:pPr>
      <w:r>
        <w:t xml:space="preserve">O’Shea, J., &amp; Halstead, P. 1989. Conclusions: Bad year economics. In</w:t>
      </w:r>
      <w:r>
        <w:t xml:space="preserve"> </w:t>
      </w:r>
      <w:r>
        <w:rPr>
          <w:i/>
          <w:iCs/>
        </w:rPr>
        <w:t xml:space="preserve">Bad Year Economics</w:t>
      </w:r>
      <w:r>
        <w:t xml:space="preserve">, edited by P. Halstead and J. O’Shea, pp. 123-126. Cambridge University Press, Cambridge.</w:t>
      </w:r>
    </w:p>
    <w:p>
      <w:pPr>
        <w:pStyle w:val="BodyText"/>
      </w:pPr>
      <w:r>
        <w:t xml:space="preserve">OpenAlex: see Priem, J., Piwowar, H., &amp; Orr, R. 2022. OpenAlex: A fully-open index of scholarly works, authors, venues, institutions, and concepts.</w:t>
      </w:r>
      <w:r>
        <w:t xml:space="preserve"> </w:t>
      </w:r>
      <w:r>
        <w:rPr>
          <w:i/>
          <w:iCs/>
        </w:rPr>
        <w:t xml:space="preserve">ArXiv</w:t>
      </w:r>
      <w:r>
        <w:t xml:space="preserve"> </w:t>
      </w:r>
      <w:r>
        <w:t xml:space="preserve">2205.01833.</w:t>
      </w:r>
    </w:p>
    <w:p>
      <w:pPr>
        <w:pStyle w:val="BodyText"/>
      </w:pPr>
      <w:r>
        <w:t xml:space="preserve">Ortiz, A. (ed.). 1972.</w:t>
      </w:r>
      <w:r>
        <w:t xml:space="preserve"> </w:t>
      </w:r>
      <w:r>
        <w:rPr>
          <w:i/>
          <w:iCs/>
        </w:rPr>
        <w:t xml:space="preserve">New Perspectives on the Pueblos</w:t>
      </w:r>
      <w:r>
        <w:t xml:space="preserve">. University of New Mexico Press, Albuquerque.</w:t>
      </w:r>
    </w:p>
    <w:p>
      <w:pPr>
        <w:pStyle w:val="BodyText"/>
      </w:pPr>
      <w:r>
        <w:t xml:space="preserve">Perreault, C. 2019.</w:t>
      </w:r>
      <w:r>
        <w:t xml:space="preserve"> </w:t>
      </w:r>
      <w:r>
        <w:rPr>
          <w:i/>
          <w:iCs/>
        </w:rPr>
        <w:t xml:space="preserve">The Quality of the Archaeological Record</w:t>
      </w:r>
      <w:r>
        <w:t xml:space="preserve">. University of Chicago Press, Chicago.</w:t>
      </w:r>
    </w:p>
    <w:p>
      <w:pPr>
        <w:pStyle w:val="BodyText"/>
      </w:pPr>
      <w:r>
        <w:t xml:space="preserve">Penn, D.J., &amp; Szamado, S. 2020. The handicap principle: How an erroneous hypothesis became a scientific principle.</w:t>
      </w:r>
      <w:r>
        <w:t xml:space="preserve"> </w:t>
      </w:r>
      <w:r>
        <w:rPr>
          <w:i/>
          <w:iCs/>
        </w:rPr>
        <w:t xml:space="preserve">Biological Reviews</w:t>
      </w:r>
      <w:r>
        <w:t xml:space="preserve"> </w:t>
      </w:r>
      <w:r>
        <w:t xml:space="preserve">95(1):267-290.</w:t>
      </w:r>
    </w:p>
    <w:p>
      <w:pPr>
        <w:pStyle w:val="BodyText"/>
      </w:pPr>
      <w:r>
        <w:t xml:space="preserve">Plog, S., &amp; Heitman, C. 2010. Hierarchy and social inequality in the American Southwest, A.D. 800-1200.</w:t>
      </w:r>
      <w:r>
        <w:t xml:space="preserve"> </w:t>
      </w:r>
      <w:r>
        <w:rPr>
          <w:i/>
          <w:iCs/>
        </w:rPr>
        <w:t xml:space="preserve">Proceedings of the National Academy of Sciences</w:t>
      </w:r>
      <w:r>
        <w:t xml:space="preserve"> </w:t>
      </w:r>
      <w:r>
        <w:t xml:space="preserve">107(46):19619-19626.</w:t>
      </w:r>
    </w:p>
    <w:p>
      <w:pPr>
        <w:pStyle w:val="BodyText"/>
      </w:pPr>
      <w:r>
        <w:t xml:space="preserve">Polyak, V.J., Asmerom, Y., &amp; Lachniet, M.S. 2022. Climatic backdrop for Pueblo cultural development in the southwestern United States.</w:t>
      </w:r>
      <w:r>
        <w:t xml:space="preserve"> </w:t>
      </w:r>
      <w:r>
        <w:rPr>
          <w:i/>
          <w:iCs/>
        </w:rPr>
        <w:t xml:space="preserve">Scientific Reports</w:t>
      </w:r>
      <w:r>
        <w:t xml:space="preserve"> </w:t>
      </w:r>
      <w:r>
        <w:t xml:space="preserve">12:8308.</w:t>
      </w:r>
    </w:p>
    <w:p>
      <w:pPr>
        <w:pStyle w:val="BodyText"/>
      </w:pPr>
      <w:r>
        <w:t xml:space="preserve">Quinn, C.P. 2019. Costly signaling theory in archaeology. In</w:t>
      </w:r>
      <w:r>
        <w:t xml:space="preserve"> </w:t>
      </w:r>
      <w:r>
        <w:rPr>
          <w:i/>
          <w:iCs/>
        </w:rPr>
        <w:t xml:space="preserve">Handbook of Evolutionary Research in Archaeology</w:t>
      </w:r>
      <w:r>
        <w:t xml:space="preserve">, edited by A.M. Prentiss, pp. 275-294. Springer, Cham.</w:t>
      </w:r>
    </w:p>
    <w:p>
      <w:pPr>
        <w:pStyle w:val="BodyText"/>
      </w:pPr>
      <w:r>
        <w:t xml:space="preserve">Renfrew, C. 2001. Production and consumption in a sacred economy: The material correlates of high devotional expression at Chaco Canyon.</w:t>
      </w:r>
      <w:r>
        <w:t xml:space="preserve"> </w:t>
      </w:r>
      <w:r>
        <w:rPr>
          <w:i/>
          <w:iCs/>
        </w:rPr>
        <w:t xml:space="preserve">American Antiquity</w:t>
      </w:r>
      <w:r>
        <w:t xml:space="preserve"> </w:t>
      </w:r>
      <w:r>
        <w:t xml:space="preserve">66(1):14-25.</w:t>
      </w:r>
    </w:p>
    <w:p>
      <w:pPr>
        <w:pStyle w:val="BodyText"/>
      </w:pPr>
      <w:r>
        <w:t xml:space="preserve">Roscoe, P. 2009. Social signaling and the organization of small-scale society: The case of contact-era New Guinea.</w:t>
      </w:r>
      <w:r>
        <w:t xml:space="preserve"> </w:t>
      </w:r>
      <w:r>
        <w:rPr>
          <w:i/>
          <w:iCs/>
        </w:rPr>
        <w:t xml:space="preserve">Journal of Archaeological Method and Theory</w:t>
      </w:r>
      <w:r>
        <w:t xml:space="preserve"> </w:t>
      </w:r>
      <w:r>
        <w:t xml:space="preserve">16(2):69-116.</w:t>
      </w:r>
    </w:p>
    <w:p>
      <w:pPr>
        <w:pStyle w:val="BodyText"/>
      </w:pPr>
      <w:r>
        <w:t xml:space="preserve">Safi, K.N. 2015. Costly signaling and the role of Chacoan great houses in the southern Cibola region. PhD dissertation, Washington State University, Pullman.</w:t>
      </w:r>
    </w:p>
    <w:p>
      <w:pPr>
        <w:pStyle w:val="BodyText"/>
      </w:pPr>
      <w:r>
        <w:t xml:space="preserve">Scarborough, V.L., Fladd, S.G., Dunning, N.P., Plog, S., et al. 2018. Water uncertainty, ritual predictability and agricultural canals at Chaco Canyon, New Mexico.</w:t>
      </w:r>
      <w:r>
        <w:t xml:space="preserve"> </w:t>
      </w:r>
      <w:r>
        <w:rPr>
          <w:i/>
          <w:iCs/>
        </w:rPr>
        <w:t xml:space="preserve">Antiquity</w:t>
      </w:r>
      <w:r>
        <w:t xml:space="preserve"> </w:t>
      </w:r>
      <w:r>
        <w:t xml:space="preserve">92(364):870-889.</w:t>
      </w:r>
    </w:p>
    <w:p>
      <w:pPr>
        <w:pStyle w:val="BodyText"/>
      </w:pPr>
      <w:r>
        <w:t xml:space="preserve">Schwarz, K. 2023. Costly signaling theory and the rise, collapse, and regeneration of complex societies. SSRN Working Paper 4286795.</w:t>
      </w:r>
    </w:p>
    <w:p>
      <w:pPr>
        <w:pStyle w:val="BodyText"/>
      </w:pPr>
      <w:r>
        <w:t xml:space="preserve">Spence, M. 1973. Job market signaling.</w:t>
      </w:r>
      <w:r>
        <w:t xml:space="preserve"> </w:t>
      </w:r>
      <w:r>
        <w:rPr>
          <w:i/>
          <w:iCs/>
        </w:rPr>
        <w:t xml:space="preserve">Quarterly Journal of Economics</w:t>
      </w:r>
      <w:r>
        <w:t xml:space="preserve"> </w:t>
      </w:r>
      <w:r>
        <w:t xml:space="preserve">87(3):355-374.</w:t>
      </w:r>
    </w:p>
    <w:p>
      <w:pPr>
        <w:pStyle w:val="BodyText"/>
      </w:pPr>
      <w:r>
        <w:t xml:space="preserve">Trigger, B.G. 1990. Monumental architecture: A thermodynamic explanation of symbolic behaviour.</w:t>
      </w:r>
      <w:r>
        <w:t xml:space="preserve"> </w:t>
      </w:r>
      <w:r>
        <w:rPr>
          <w:i/>
          <w:iCs/>
        </w:rPr>
        <w:t xml:space="preserve">World Archaeology</w:t>
      </w:r>
      <w:r>
        <w:t xml:space="preserve"> </w:t>
      </w:r>
      <w:r>
        <w:t xml:space="preserve">22(2):119-132.</w:t>
      </w:r>
    </w:p>
    <w:p>
      <w:pPr>
        <w:pStyle w:val="BodyText"/>
      </w:pPr>
      <w:r>
        <w:t xml:space="preserve">Turner, C.G., II, &amp; Turner, J.A. 1999.</w:t>
      </w:r>
      <w:r>
        <w:t xml:space="preserve"> </w:t>
      </w:r>
      <w:r>
        <w:rPr>
          <w:i/>
          <w:iCs/>
        </w:rPr>
        <w:t xml:space="preserve">Man Corn: Cannibalism and Violence in the Prehistoric American Southwest</w:t>
      </w:r>
      <w:r>
        <w:t xml:space="preserve">. University of Utah Press, Salt Lake City.</w:t>
      </w:r>
    </w:p>
    <w:p>
      <w:pPr>
        <w:pStyle w:val="BodyText"/>
      </w:pPr>
      <w:r>
        <w:t xml:space="preserve">Vivian, R.G. 1990.</w:t>
      </w:r>
      <w:r>
        <w:t xml:space="preserve"> </w:t>
      </w:r>
      <w:r>
        <w:rPr>
          <w:i/>
          <w:iCs/>
        </w:rPr>
        <w:t xml:space="preserve">The Chacoan Prehistory of the San Juan Basin</w:t>
      </w:r>
      <w:r>
        <w:t xml:space="preserve">. Academic Press, San Diego.</w:t>
      </w:r>
    </w:p>
    <w:p>
      <w:pPr>
        <w:pStyle w:val="BodyText"/>
      </w:pPr>
      <w:r>
        <w:t xml:space="preserve">Van Dyke, R.M., &amp; Heitman, C.C. (eds.). 2021.</w:t>
      </w:r>
      <w:r>
        <w:t xml:space="preserve"> </w:t>
      </w:r>
      <w:r>
        <w:rPr>
          <w:i/>
          <w:iCs/>
        </w:rPr>
        <w:t xml:space="preserve">The Greater Chaco Landscape: Ancestors, Scholarship, and Advocacy</w:t>
      </w:r>
      <w:r>
        <w:t xml:space="preserve">. University Press of Colorado, Boulder.</w:t>
      </w:r>
    </w:p>
    <w:p>
      <w:pPr>
        <w:pStyle w:val="BodyText"/>
      </w:pPr>
      <w:r>
        <w:t xml:space="preserve">Van Dyke, R.M. 2004. Memory, meaning, and masonry: The Late Bonito Chacoan landscape.</w:t>
      </w:r>
      <w:r>
        <w:t xml:space="preserve"> </w:t>
      </w:r>
      <w:r>
        <w:rPr>
          <w:i/>
          <w:iCs/>
        </w:rPr>
        <w:t xml:space="preserve">American Antiquity</w:t>
      </w:r>
      <w:r>
        <w:t xml:space="preserve"> </w:t>
      </w:r>
      <w:r>
        <w:t xml:space="preserve">69(3):413-431.</w:t>
      </w:r>
    </w:p>
    <w:p>
      <w:pPr>
        <w:pStyle w:val="BodyText"/>
      </w:pPr>
      <w:r>
        <w:t xml:space="preserve">Van Dyke, R.M., Primeau, K.E., Throgmorton, K., &amp; Witt, D.E. 2024. Seashells and sound waves: Modelling soundscapes in Chacoan great-house communities.</w:t>
      </w:r>
      <w:r>
        <w:t xml:space="preserve"> </w:t>
      </w:r>
      <w:r>
        <w:rPr>
          <w:i/>
          <w:iCs/>
        </w:rPr>
        <w:t xml:space="preserve">Antiquity</w:t>
      </w:r>
      <w:r>
        <w:t xml:space="preserve"> </w:t>
      </w:r>
      <w:r>
        <w:t xml:space="preserve">98(399):777-794.</w:t>
      </w:r>
    </w:p>
    <w:p>
      <w:pPr>
        <w:pStyle w:val="BodyText"/>
      </w:pPr>
      <w:r>
        <w:t xml:space="preserve">Watson, A.S., Plog, S., Culleton, B.J., Gilman, P.A., LeBlanc, S.A., Whiteley, P.M., Claramunt, S., &amp; Kennett, D.J. 2015. Early procurement of scarlet macaws and the emergence of social complexity in Chaco Canyon, NM.</w:t>
      </w:r>
      <w:r>
        <w:t xml:space="preserve"> </w:t>
      </w:r>
      <w:r>
        <w:rPr>
          <w:i/>
          <w:iCs/>
        </w:rPr>
        <w:t xml:space="preserve">Proceedings of the National Academy of Sciences</w:t>
      </w:r>
      <w:r>
        <w:t xml:space="preserve"> </w:t>
      </w:r>
      <w:r>
        <w:t xml:space="preserve">112(27):8238-8243.</w:t>
      </w:r>
    </w:p>
    <w:p>
      <w:pPr>
        <w:pStyle w:val="BodyText"/>
      </w:pPr>
      <w:r>
        <w:t xml:space="preserve">Wills, W.H. 2017. Water management and the political economy of Chaco Canyon during the Bonito Phase (ca. AD 850-1200).</w:t>
      </w:r>
      <w:r>
        <w:t xml:space="preserve"> </w:t>
      </w:r>
      <w:r>
        <w:rPr>
          <w:i/>
          <w:iCs/>
        </w:rPr>
        <w:t xml:space="preserve">Kiva</w:t>
      </w:r>
      <w:r>
        <w:t xml:space="preserve"> </w:t>
      </w:r>
      <w:r>
        <w:t xml:space="preserve">83(4):369-413.</w:t>
      </w:r>
    </w:p>
    <w:p>
      <w:pPr>
        <w:pStyle w:val="BodyText"/>
      </w:pPr>
      <w:r>
        <w:t xml:space="preserve">Wills, W.H., Drake, B.L., &amp; Dorshow, W.B. 2014. Prehistoric deforestation at Chaco Canyon?</w:t>
      </w:r>
      <w:r>
        <w:t xml:space="preserve"> </w:t>
      </w:r>
      <w:r>
        <w:rPr>
          <w:i/>
          <w:iCs/>
        </w:rPr>
        <w:t xml:space="preserve">Proceedings of the National Academy of Sciences</w:t>
      </w:r>
      <w:r>
        <w:t xml:space="preserve"> </w:t>
      </w:r>
      <w:r>
        <w:t xml:space="preserve">111(32):11584-11591.</w:t>
      </w:r>
    </w:p>
    <w:p>
      <w:pPr>
        <w:pStyle w:val="BodyText"/>
      </w:pPr>
      <w:r>
        <w:t xml:space="preserve">Wills, W.H., Przystupa, P., &amp; Williams, K. 2022. Communication in the Chaco World: A consideration of time and labor mobilization.</w:t>
      </w:r>
      <w:r>
        <w:t xml:space="preserve"> </w:t>
      </w:r>
      <w:r>
        <w:rPr>
          <w:i/>
          <w:iCs/>
        </w:rPr>
        <w:t xml:space="preserve">American Antiquity</w:t>
      </w:r>
      <w:r>
        <w:t xml:space="preserve"> </w:t>
      </w:r>
      <w:r>
        <w:t xml:space="preserve">87(3):457-486.</w:t>
      </w:r>
    </w:p>
    <w:p>
      <w:pPr>
        <w:pStyle w:val="BodyText"/>
      </w:pPr>
      <w:r>
        <w:t xml:space="preserve">Windes, T.C. 1987.</w:t>
      </w:r>
      <w:r>
        <w:t xml:space="preserve"> </w:t>
      </w:r>
      <w:r>
        <w:rPr>
          <w:i/>
          <w:iCs/>
        </w:rPr>
        <w:t xml:space="preserve">Investigations at the Pueblo Alto Complex, Chaco Canyon, New Mexico, 1975-1979</w:t>
      </w:r>
      <w:r>
        <w:t xml:space="preserve">. Publications in Archeology 18F. National Park Service, Santa Fe.</w:t>
      </w:r>
    </w:p>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PMDI time series for the Chaco Canyon region (800-1200 CE) with construction activity overlay from Guiterman et al. (2015). Data from the Living Blended Drought Atlas (Gille et al. 2017). Shaded bands indicate major drought events. Vertical dashed lines mark key transitions: Chaco florescence onset (ca. 1020 CE) and megadrought/abandonment (ca. 1130 CE).</w:t>
      </w:r>
    </w:p>
    <w:p>
      <w:pPr>
        <w:pStyle w:val="BodyText"/>
      </w:pPr>
      <w:r>
        <w:rPr>
          <w:b/>
          <w:bCs/>
        </w:rPr>
        <w:t xml:space="preserve">Figure 2.</w:t>
      </w:r>
      <w:r>
        <w:t xml:space="preserve"> </w:t>
      </w:r>
      <w:r>
        <w:t xml:space="preserve">Three-layer model schematic showing Layer 1 (individual signaling equilibrium), Layer 2 (intergroup assessment and conflict reduction), and Layer 3 (cooperation networks and environmental feedback), with Chaco-specific calibration at each layer.</w:t>
      </w:r>
    </w:p>
    <w:p>
      <w:pPr>
        <w:pStyle w:val="BodyText"/>
      </w:pPr>
      <w:r>
        <w:rPr>
          <w:b/>
          <w:bCs/>
        </w:rPr>
        <w:t xml:space="preserve">Figure 3.</w:t>
      </w:r>
      <w:r>
        <w:t xml:space="preserve"> </w:t>
      </w:r>
      <w:r>
        <w:t xml:space="preserve">Spence equilibrium investment function</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w:t>
      </w:r>
      <w:r>
        <w:t xml:space="preserve">with sensitivity to lambda. Solid line: reference parameterization (lambda = 0.6). Dashed lines: lambda values from 0.2 to 1.2, spanning the range generated by the lambda-sigma feedback under varying environmental uncertainty. Shaded band shows the envelope across all lambda values. Orange points mark Chaco sites at the reference lambda, from small house communities (</w:t>
      </w:r>
      <m:oMath>
        <m:sSub>
          <m:e>
            <m:r>
              <m:t>q</m:t>
            </m:r>
          </m:e>
          <m:sub>
            <m:r>
              <m:rPr>
                <m:sty m:val="p"/>
              </m:rPr>
              <m:t>min</m:t>
            </m:r>
          </m:sub>
        </m:sSub>
      </m:oMath>
      <w:r>
        <w:t xml:space="preserve">, zero investment) through outlier great houses (mid-range) to Pueblo Bonito (highest quality, maximum investment). The monotonically increasing, concave qualitative pattern is robust across the full parameter range.</w:t>
      </w:r>
    </w:p>
    <w:p>
      <w:pPr>
        <w:pStyle w:val="BodyText"/>
      </w:pPr>
      <w:r>
        <w:rPr>
          <w:b/>
          <w:bCs/>
        </w:rPr>
        <w:t xml:space="preserve">Figure 4.</w:t>
      </w:r>
      <w:r>
        <w:t xml:space="preserve"> </w:t>
      </w:r>
      <w:r>
        <w:t xml:space="preserve">Great house visibility distributions, redrawn from Dungan et al. (2018). Great houses are concentrated in the highest visibility deciles (K-S D = 0.24, p &lt; 0.001), while great kivas show no comparable preference.</w:t>
      </w:r>
    </w:p>
    <w:p>
      <w:pPr>
        <w:pStyle w:val="BodyText"/>
      </w:pPr>
      <w:r>
        <w:rPr>
          <w:b/>
          <w:bCs/>
        </w:rPr>
        <w:t xml:space="preserve">Figure 5.</w:t>
      </w:r>
      <w:r>
        <w:t xml:space="preserve"> </w:t>
      </w:r>
      <w:r>
        <w:t xml:space="preserve">Network connectivity and construction co-evolution. Dual-axis plot showing ceramic similarity network metrics (from Mills et al. 2018) alongside construction chronology at 50-year intervals. Peak connectivity (AD 1050-1100) coincides with peak construction.</w:t>
      </w:r>
    </w:p>
    <w:p>
      <w:pPr>
        <w:pStyle w:val="BodyText"/>
      </w:pPr>
      <w:r>
        <w:rPr>
          <w:b/>
          <w:bCs/>
        </w:rPr>
        <w:t xml:space="preserve">Figure 6.</w:t>
      </w:r>
      <w:r>
        <w:t xml:space="preserve"> </w:t>
      </w:r>
      <w:r>
        <w:t xml:space="preserve">Environmental uncertainty decomposition from PMDI data (LBDA v2; Gille et al. 2017). (a) PMDI 50-year running mean (500-1500 CE) with Chaco florescence shaded. (b) PMDI standard deviation by archaeological period. (c) Lag-1 autocorrelation by period; Classic Bonito has the highest autocorrelation (0.360), indicating more persistent but not more variable conditions. (d) Composite uncertainty (sigma) by period, computed as SD scaled by drought frequency. Note that PMDI variance does not peak during Classic Bonito; this is consistent with the P5 null result reported in Section 5.5.</w:t>
      </w:r>
    </w:p>
    <w:p>
      <w:pPr>
        <w:pStyle w:val="BodyText"/>
      </w:pPr>
      <w:r>
        <w:rPr>
          <w:b/>
          <w:bCs/>
        </w:rPr>
        <w:t xml:space="preserve">Figure 7.</w:t>
      </w:r>
      <w:r>
        <w:t xml:space="preserve"> </w:t>
      </w:r>
      <w:r>
        <w:t xml:space="preserve">Prediction evaluation summary. Assessment of eight model predictions against independent evidence, classified by discriminating power (D = discriminating, C = convergent, PD = partially discriminating). Four discriminating predictions are supported, two convergent predictions are supported, and two discriminating predictions are partially supported.</w:t>
      </w:r>
    </w:p>
    <w:p>
      <w:pPr>
        <w:pStyle w:val="BodyText"/>
      </w:pPr>
      <w:r>
        <w:rPr>
          <w:b/>
          <w:bCs/>
        </w:rPr>
        <w:t xml:space="preserve">Figure 8.</w:t>
      </w:r>
      <w:r>
        <w:t xml:space="preserve"> </w:t>
      </w:r>
      <w:r>
        <w:t xml:space="preserve">Simulation dynamics from the three-layer formal model (20 replicates, shaded 90% CI). (a) Population: total and by quality tier (high vs. low). Population peaks around AD 1080 and declines through the collapse period. (b) Total monument stock, peaking contemporaneously with population. (c) Lambda-sigma feedback: environmental uncertainty (sigma, left axis) and signaling returns (lambda, right axis) co-vary dynamically. (d) Conflict rate per decade, rising after the florescence as monument investment declines. Orange shading marks the Classic Bonito period (1020-1130 CE); red dashed line marks the megadrought onset (1130 CE).</w:t>
      </w:r>
    </w:p>
    <w:p>
      <w:pPr>
        <w:pStyle w:val="BodyText"/>
      </w:pPr>
      <w:r>
        <w:rPr>
          <w:b/>
          <w:bCs/>
        </w:rPr>
        <w:t xml:space="preserve">Figure 9.</w:t>
      </w:r>
      <w:r>
        <w:t xml:space="preserve"> </w:t>
      </w:r>
      <w:r>
        <w:t xml:space="preserve">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pPr>
        <w:pStyle w:val="BodyText"/>
      </w:pPr>
      <w:r>
        <w:rPr>
          <w:b/>
          <w:bCs/>
        </w:rPr>
        <w:t xml:space="preserve">Figure 10.</w:t>
      </w:r>
      <w:r>
        <w:t xml:space="preserve"> </w:t>
      </w:r>
      <w:r>
        <w:t xml:space="preserve">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pPr>
        <w:pStyle w:val="BodyText"/>
      </w:pPr>
      <w:r>
        <w:rPr>
          <w:b/>
          <w:bCs/>
        </w:rPr>
        <w:t xml:space="preserve">Figure 11.</w:t>
      </w:r>
      <w:r>
        <w:t xml:space="preserve"> </w:t>
      </w:r>
      <w:r>
        <w:t xml:space="preserve">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mechanism involving signaling equilibrium breakdown. Alternative frameworks (hierarchy, ritual, ecological) generate overlapping or vague predictions for several observables.</w:t>
      </w:r>
    </w:p>
    <w:p>
      <w:pPr>
        <w:pStyle w:val="BodyText"/>
      </w:pPr>
      <w:r>
        <w:rPr>
          <w:b/>
          <w:bCs/>
        </w:rPr>
        <w:t xml:space="preserve">Figure 12.</w:t>
      </w:r>
      <w:r>
        <w:t xml:space="preserve"> </w:t>
      </w:r>
      <w:r>
        <w:t xml:space="preserve">PMDI variance and construction activity by archaeological period. (a) PMDI variance (from LBDA v2; Gille et al. 2017) for four archaeological periods. (b) Scatter plot of PMDI variance against construction intensity (rooms built per decade) for each period. Classic Bonito (AD 1020-1130) shows peak construction but not peak variance, complicating the lambda-sigma prediction at the period level.</w:t>
      </w:r>
    </w:p>
    <w:p>
      <w:pPr>
        <w:pStyle w:val="BodyText"/>
      </w:pPr>
      <w:r>
        <w:rPr>
          <w:b/>
          <w:bCs/>
        </w:rPr>
        <w:t xml:space="preserve">Figure 13.</w:t>
      </w:r>
      <w:r>
        <w:t xml:space="preserve"> </w:t>
      </w:r>
      <w:r>
        <w:t xml:space="preserve">Simulation quality-investment scatter at the final simulation state (year 1199 CE). Each point represents one group; size proportional to population. Orange: core great houses; blue: outlier communities. Dashed line shows the theoretical Spence equilibrium</w:t>
      </w:r>
      <w:r>
        <w:t xml:space="preserve"> </w:t>
      </w:r>
      <m:oMath>
        <m:sSup>
          <m:e>
            <m:r>
              <m:t>x</m:t>
            </m:r>
          </m:e>
          <m:sup>
            <m:r>
              <m:rPr>
                <m:sty m:val="p"/>
              </m:rPr>
              <m:t>*</m:t>
            </m:r>
          </m:sup>
        </m:sSup>
        <m:r>
          <m:rPr>
            <m:sty m:val="p"/>
          </m:rPr>
          <m:t>(</m:t>
        </m:r>
        <m:r>
          <m:t>q</m:t>
        </m:r>
        <m:r>
          <m:rPr>
            <m:sty m:val="p"/>
          </m:rPr>
          <m:t>)</m:t>
        </m:r>
      </m:oMath>
      <w:r>
        <w:t xml:space="preserve"> </w:t>
      </w:r>
      <w:r>
        <w:t xml:space="preserve">at the final-year lambda value. The monotonic quality-investment gradient predicted by the Spence condition is realized in the simulation, with core houses (higher q) accumulating substantially more monument stock than outliers.</w:t>
      </w:r>
    </w:p>
    <w:p>
      <w:pPr>
        <w:pStyle w:val="BodyText"/>
      </w:pPr>
      <w:r>
        <w:rPr>
          <w:b/>
          <w:bCs/>
        </w:rPr>
        <w:t xml:space="preserve">Figure 14.</w:t>
      </w:r>
      <w:r>
        <w:t xml:space="preserve"> </w:t>
      </w:r>
      <w:r>
        <w:t xml:space="preserve">Annual-resolution PMDI-construction correlation using 2,973 dated timber specimens from the Chaco Research Archive tree-ring database (24 sites, 800-1200 CE). (a) Annual timber cutting dates (bars) with 10-year moving sum (line). Construction peaks in the 1030s-1110s. (b) PMDI values (blue/cyan fill) and 30-year rolling variance (green line). (c) Scatter of PMDI variance vs. construction activity (20-year moving sums) colored by year. The correlation is negative (r = -0.15, p = 0.012), indicating that higher environmental variance is associated with less construction, inconsistent with the lambda-sigma prediction. PMDI level correlates positively with construction (r = +0.43, p &lt; 0.0001), consistent with the surplus model for construction timing.</w:t>
      </w:r>
    </w:p>
    <w:p>
      <w:pPr>
        <w:pStyle w:val="BodyText"/>
      </w:pPr>
      <w:r>
        <w:rPr>
          <w:b/>
          <w:bCs/>
        </w:rPr>
        <w:t xml:space="preserve">Figure 15.</w:t>
      </w:r>
      <w:r>
        <w:t xml:space="preserve"> </w:t>
      </w:r>
      <w:r>
        <w:t xml:space="preserve">Comprehensive tree-ring analysis (2,973 dated specimens, 24 sites, Chaco Research Archive). (a) P1 quality-investment test: Spearman rho = 0.87 (p &lt; 0.001) between room count and timber specimens; convergent with surplus models. (b) P5 mean-PMDI test: construction tracks wetness (r = +0.43, p &lt; 0.0001), supporting surplus timing. (c) P8 collapse: Chaco construction drops from the 1080s while Aztec Ruins surges to 771 specimens in the 1110s, consistent with competitive displacement. (d) Post-collapse non-recovery: only 2 Chaco timbers after 1160 CE despite improving PMDI, inconsistent with surplus model. (e) Site-level trajectories showing independent construction pulses at major great houses, with Aztec rising as Chaco falls.</w:t>
      </w:r>
    </w:p>
    <w:p>
      <w:pPr>
        <w:pStyle w:val="BodyText"/>
      </w:pPr>
      <w:r>
        <w:rPr>
          <w:b/>
          <w:bCs/>
        </w:rPr>
        <w:t xml:space="preserve">Figure 16.</w:t>
      </w:r>
      <w:r>
        <w:t xml:space="preserve"> </w:t>
      </w:r>
      <w:r>
        <w:t xml:space="preserve">Bayesian model comparison and parameter estimation. (a) LOO-CV model weights for three models predicting decadal construction from PMDI: signaling (variance), surplus (mean), and combined. The three models are effectively equivalent in predictive accuracy (elpd differences &lt; 1), indicating the decadal data cannot discriminate between mechanisms at this temporal scale. LOO stacking assigns weight to one model, but this is an artifact of the algorithm when models are nearly identical in predictive performance. (b) Posterior distribution for the Bayesian change-point in Chaco construction rate (Poisson model). The changepoint concentrates at AD 1082 (P(before 1130 megadrought) = 1.000), confirming pre-drought signal degradation. (c) Posterior for the quality-investment slope beta in a log-log regression of timber specimens on room counts across 13 sites. Mean beta = 1.67 (94% HDI: 0.84-2.45), P(beta &gt; 0) = 0.9998, confirming the Spence quality-investment gradient with superlinear scaling.</w:t>
      </w:r>
    </w:p>
    <w:bookmarkEnd w:id="48"/>
    <w:bookmarkStart w:id="54" w:name="appendix-a-mathematical-derivations"/>
    <w:p>
      <w:pPr>
        <w:pStyle w:val="Heading2"/>
      </w:pPr>
      <w:r>
        <w:t xml:space="preserve">Appendix A: Mathematical Derivations</w:t>
      </w:r>
    </w:p>
    <w:bookmarkStart w:id="49" w:name="a.1-equilibrium-existence-and-uniqueness"/>
    <w:p>
      <w:pPr>
        <w:pStyle w:val="Heading3"/>
      </w:pPr>
      <w:r>
        <w:t xml:space="preserve">A.1 Equilibrium Existence and Uniqueness</w:t>
      </w:r>
    </w:p>
    <w:p>
      <w:pPr>
        <w:pStyle w:val="FirstParagraph"/>
      </w:pPr>
      <w:r>
        <w:t xml:space="preserve">We derive the unique separating equilibrium for the individual signaling game defined in Section 2.2.</w:t>
      </w:r>
    </w:p>
    <w:p>
      <w:pPr>
        <w:pStyle w:val="BodyText"/>
      </w:pPr>
      <w:r>
        <w:rPr>
          <w:b/>
          <w:bCs/>
        </w:rPr>
        <w:t xml:space="preserve">Setup.</w:t>
      </w:r>
      <w:r>
        <w:t xml:space="preserve"> </w:t>
      </w:r>
      <w:r>
        <w:t xml:space="preserve">An agent of quality</w:t>
      </w:r>
      <w:r>
        <w:t xml:space="preserve"> </w:t>
      </w:r>
      <m:oMath>
        <m:r>
          <m:t>q</m:t>
        </m:r>
        <m:r>
          <m:rPr>
            <m:sty m:val="p"/>
          </m:rPr>
          <m:t>∈</m:t>
        </m:r>
        <m:r>
          <m:rPr>
            <m:sty m:val="p"/>
          </m:rPr>
          <m:t>[</m:t>
        </m:r>
        <m:sSub>
          <m:e>
            <m:r>
              <m:t>q</m:t>
            </m:r>
          </m:e>
          <m:sub>
            <m:r>
              <m:rPr>
                <m:sty m:val="p"/>
              </m:rPr>
              <m:t>min</m:t>
            </m:r>
          </m:sub>
        </m:sSub>
        <m:r>
          <m:rPr>
            <m:sty m:val="p"/>
          </m:rPr>
          <m:t>,</m:t>
        </m:r>
        <m:sSub>
          <m:e>
            <m:r>
              <m:t>q</m:t>
            </m:r>
          </m:e>
          <m:sub>
            <m:r>
              <m:rPr>
                <m:sty m:val="p"/>
              </m:rPr>
              <m:t>max</m:t>
            </m:r>
          </m:sub>
        </m:sSub>
        <m:r>
          <m:rPr>
            <m:sty m:val="p"/>
          </m:rPr>
          <m:t>]</m:t>
        </m:r>
      </m:oMath>
      <w:r>
        <w:t xml:space="preserve"> </w:t>
      </w:r>
      <w:r>
        <w:t xml:space="preserve">chooses signaling investment</w:t>
      </w:r>
      <w:r>
        <w:t xml:space="preserve"> </w:t>
      </w:r>
      <m:oMath>
        <m:r>
          <m:t>x</m:t>
        </m:r>
        <m:r>
          <m:rPr>
            <m:sty m:val="p"/>
          </m:rPr>
          <m:t>≥</m:t>
        </m:r>
        <m:r>
          <m:t>0</m:t>
        </m:r>
      </m:oMath>
      <w:r>
        <w:t xml:space="preserve">. The cost function is</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A receiver observes</w:t>
      </w:r>
      <w:r>
        <w:t xml:space="preserve"> </w:t>
      </w:r>
      <m:oMath>
        <m:r>
          <m:t>x</m:t>
        </m:r>
      </m:oMath>
      <w:r>
        <w:t xml:space="preserve"> </w:t>
      </w:r>
      <w:r>
        <w:t xml:space="preserve">and forms a belief</w:t>
      </w:r>
      <w:r>
        <w:t xml:space="preserve"> </w:t>
      </w:r>
      <m:oMath>
        <m:acc>
          <m:accPr>
            <m:chr m:val="̂"/>
          </m:accPr>
          <m:e>
            <m:r>
              <m:t>q</m:t>
            </m:r>
          </m:e>
        </m:acc>
        <m:r>
          <m:rPr>
            <m:sty m:val="p"/>
          </m:rPr>
          <m:t>(</m:t>
        </m:r>
        <m:r>
          <m:t>x</m:t>
        </m:r>
        <m:r>
          <m:rPr>
            <m:sty m:val="p"/>
          </m:rPr>
          <m:t>)</m:t>
        </m:r>
      </m:oMath>
      <w:r>
        <w:t xml:space="preserve"> </w:t>
      </w:r>
      <w:r>
        <w:t xml:space="preserve">about the sender’s quality. The sender’s payoff is:</w:t>
      </w:r>
    </w:p>
    <w:p>
      <w:pPr>
        <w:pStyle w:val="BodyText"/>
      </w:pPr>
      <m:oMathPara>
        <m:oMathParaPr>
          <m:jc m:val="center"/>
        </m:oMathParaPr>
        <m:oMath>
          <m:r>
            <m:t>u</m:t>
          </m:r>
          <m:r>
            <m:rPr>
              <m:sty m:val="p"/>
            </m:rPr>
            <m:t>(</m:t>
          </m:r>
          <m:r>
            <m:t>x</m:t>
          </m:r>
          <m:r>
            <m:rPr>
              <m:sty m:val="p"/>
            </m:rPr>
            <m:t>,</m:t>
          </m:r>
          <m:r>
            <m:t>q</m:t>
          </m:r>
          <m:r>
            <m:rPr>
              <m:sty m:val="p"/>
            </m:rPr>
            <m:t>)</m:t>
          </m:r>
          <m:r>
            <m:rPr>
              <m:sty m:val="p"/>
            </m:rPr>
            <m:t>=</m:t>
          </m:r>
          <m:r>
            <m:t>λ</m:t>
          </m:r>
          <m:r>
            <m:rPr>
              <m:sty m:val="p"/>
            </m:rPr>
            <m:t>⋅</m:t>
          </m:r>
          <m:acc>
            <m:accPr>
              <m:chr m:val="̂"/>
            </m:accPr>
            <m:e>
              <m:r>
                <m:t>q</m:t>
              </m:r>
            </m:e>
          </m:acc>
          <m:r>
            <m:rPr>
              <m:sty m:val="p"/>
            </m:rPr>
            <m:t>(</m:t>
          </m:r>
          <m:r>
            <m:t>x</m:t>
          </m:r>
          <m:r>
            <m:rPr>
              <m:sty m:val="p"/>
            </m:rPr>
            <m:t>)</m:t>
          </m:r>
          <m:r>
            <m:rPr>
              <m:sty m:val="p"/>
            </m:rPr>
            <m:t>−</m:t>
          </m:r>
          <m:f>
            <m:fPr>
              <m:type m:val="bar"/>
            </m:fPr>
            <m:num>
              <m:sSup>
                <m:e>
                  <m:r>
                    <m:t>x</m:t>
                  </m:r>
                </m:e>
                <m:sup>
                  <m:r>
                    <m:t>2</m:t>
                  </m:r>
                </m:sup>
              </m:sSup>
            </m:num>
            <m:den>
              <m:r>
                <m:t>2</m:t>
              </m:r>
              <m:r>
                <m:t>q</m:t>
              </m:r>
            </m:den>
          </m:f>
        </m:oMath>
      </m:oMathPara>
    </w:p>
    <w:p>
      <w:pPr>
        <w:pStyle w:val="FirstParagraph"/>
      </w:pPr>
      <w:r>
        <w:t xml:space="preserve">where</w:t>
      </w:r>
      <w:r>
        <w:t xml:space="preserve"> </w:t>
      </w:r>
      <m:oMath>
        <m:r>
          <m:t>λ</m:t>
        </m:r>
        <m:r>
          <m:rPr>
            <m:sty m:val="p"/>
          </m:rPr>
          <m:t>&gt;</m:t>
        </m:r>
        <m:r>
          <m:t>0</m:t>
        </m:r>
      </m:oMath>
      <w:r>
        <w:t xml:space="preserve"> </w:t>
      </w:r>
      <w:r>
        <w:t xml:space="preserve">represents the fitness return to perceived quality.</w:t>
      </w:r>
    </w:p>
    <w:p>
      <w:pPr>
        <w:pStyle w:val="BodyText"/>
      </w:pPr>
      <w:r>
        <w:rPr>
          <w:b/>
          <w:bCs/>
        </w:rPr>
        <w:t xml:space="preserve">Proposition 1 (Separating Equilibrium).</w:t>
      </w:r>
      <w:r>
        <w:t xml:space="preserve"> </w:t>
      </w:r>
      <w:r>
        <w:t xml:space="preserve">Under the cost function</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the unique separating equilibrium is characterized by the investment function:</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i/>
          <w:iCs/>
        </w:rPr>
        <w:t xml:space="preserve">Proof.</w:t>
      </w:r>
      <w:r>
        <w:t xml:space="preserve"> </w:t>
      </w:r>
      <w:r>
        <w:t xml:space="preserve">In a separating equilibrium, the receiver correctly infers quality:</w:t>
      </w:r>
      <w:r>
        <w:t xml:space="preserve"> </w:t>
      </w:r>
      <m:oMath>
        <m:acc>
          <m:accPr>
            <m:chr m:val="̂"/>
          </m:accPr>
          <m:e>
            <m:r>
              <m:t>q</m:t>
            </m:r>
          </m:e>
        </m:acc>
        <m:r>
          <m:rPr>
            <m:sty m:val="p"/>
          </m:rPr>
          <m:t>(</m:t>
        </m:r>
        <m:sSup>
          <m:e>
            <m:r>
              <m:t>x</m:t>
            </m:r>
          </m:e>
          <m:sup>
            <m:r>
              <m:rPr>
                <m:sty m:val="p"/>
              </m:rPr>
              <m:t>*</m:t>
            </m:r>
          </m:sup>
        </m:sSup>
        <m:r>
          <m:rPr>
            <m:sty m:val="p"/>
          </m:rPr>
          <m:t>(</m:t>
        </m:r>
        <m:r>
          <m:t>q</m:t>
        </m:r>
        <m:r>
          <m:rPr>
            <m:sty m:val="p"/>
          </m:rPr>
          <m:t>)</m:t>
        </m:r>
        <m:r>
          <m:rPr>
            <m:sty m:val="p"/>
          </m:rPr>
          <m:t>)</m:t>
        </m:r>
        <m:r>
          <m:rPr>
            <m:sty m:val="p"/>
          </m:rPr>
          <m:t>=</m:t>
        </m:r>
        <m:r>
          <m:t>q</m:t>
        </m:r>
      </m:oMath>
      <w:r>
        <w:t xml:space="preserve">. The incentive compatibility condition requires that no type</w:t>
      </w:r>
      <w:r>
        <w:t xml:space="preserve"> </w:t>
      </w:r>
      <m:oMath>
        <m:r>
          <m:t>q</m:t>
        </m:r>
      </m:oMath>
      <w:r>
        <w:t xml:space="preserve"> </w:t>
      </w:r>
      <w:r>
        <w:t xml:space="preserve">prefers to mimic another type</w:t>
      </w:r>
      <w:r>
        <w:t xml:space="preserve"> </w:t>
      </w:r>
      <m:oMath>
        <m:sSup>
          <m:e>
            <m:r>
              <m:t>q</m:t>
            </m:r>
          </m:e>
          <m:sup>
            <m:r>
              <m:rPr>
                <m:sty m:val="p"/>
              </m:rPr>
              <m:t>′</m:t>
            </m:r>
          </m:sup>
        </m:sSup>
      </m:oMath>
      <w:r>
        <w:t xml:space="preserve">:</w:t>
      </w:r>
    </w:p>
    <w:p>
      <w:pPr>
        <w:pStyle w:val="BodyText"/>
      </w:pPr>
      <m:oMathPara>
        <m:oMathParaPr>
          <m:jc m:val="center"/>
        </m:oMathParaPr>
        <m:oMath>
          <m:r>
            <m:t>λ</m:t>
          </m:r>
          <m:r>
            <m:t>q</m:t>
          </m:r>
          <m:r>
            <m:rPr>
              <m:sty m:val="p"/>
            </m:rPr>
            <m:t>−</m:t>
          </m:r>
          <m:f>
            <m:fPr>
              <m:type m:val="bar"/>
            </m:fPr>
            <m:num>
              <m:r>
                <m:rPr>
                  <m:sty m:val="p"/>
                </m:rPr>
                <m:t>[</m:t>
              </m:r>
              <m:sSup>
                <m:e>
                  <m:r>
                    <m:t>x</m:t>
                  </m:r>
                </m:e>
                <m:sup>
                  <m:r>
                    <m:rPr>
                      <m:sty m:val="p"/>
                    </m:rPr>
                    <m:t>*</m:t>
                  </m:r>
                </m:sup>
              </m:sSup>
              <m:r>
                <m:rPr>
                  <m:sty m:val="p"/>
                </m:rPr>
                <m:t>(</m:t>
              </m:r>
              <m:r>
                <m:t>q</m:t>
              </m:r>
              <m:r>
                <m:rPr>
                  <m:sty m:val="p"/>
                </m:rPr>
                <m:t>)</m:t>
              </m:r>
              <m:sSup>
                <m:e>
                  <m:r>
                    <m:rPr>
                      <m:sty m:val="p"/>
                    </m:rPr>
                    <m:t>]</m:t>
                  </m:r>
                </m:e>
                <m:sup>
                  <m:r>
                    <m:t>2</m:t>
                  </m:r>
                </m:sup>
              </m:sSup>
            </m:num>
            <m:den>
              <m:r>
                <m:t>2</m:t>
              </m:r>
              <m:r>
                <m:t>q</m:t>
              </m:r>
            </m:den>
          </m:f>
          <m:r>
            <m:rPr>
              <m:sty m:val="p"/>
            </m:rPr>
            <m:t>≥</m:t>
          </m:r>
          <m:r>
            <m:t>λ</m:t>
          </m:r>
          <m:sSup>
            <m:e>
              <m:r>
                <m:t>q</m:t>
              </m:r>
            </m:e>
            <m:sup>
              <m:r>
                <m:rPr>
                  <m:sty m:val="p"/>
                </m:rPr>
                <m:t>′</m:t>
              </m:r>
            </m:sup>
          </m:sSup>
          <m:r>
            <m:rPr>
              <m:sty m:val="p"/>
            </m:rPr>
            <m:t>−</m:t>
          </m:r>
          <m:f>
            <m:fPr>
              <m:type m:val="bar"/>
            </m:fPr>
            <m:num>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num>
            <m:den>
              <m:r>
                <m:t>2</m:t>
              </m:r>
              <m:r>
                <m:t>q</m:t>
              </m:r>
            </m:den>
          </m:f>
          <m:r>
            <m:t> </m:t>
          </m:r>
          <m:r>
            <m:rPr>
              <m:sty m:val="p"/>
            </m:rPr>
            <m:t>∀</m:t>
          </m:r>
          <m:r>
            <m:t>q</m:t>
          </m:r>
          <m:r>
            <m:rPr>
              <m:sty m:val="p"/>
            </m:rPr>
            <m:t>,</m:t>
          </m:r>
          <m:sSup>
            <m:e>
              <m:r>
                <m:t>q</m:t>
              </m:r>
            </m:e>
            <m:sup>
              <m:r>
                <m:rPr>
                  <m:sty m:val="p"/>
                </m:rPr>
                <m:t>′</m:t>
              </m:r>
            </m:sup>
          </m:sSup>
        </m:oMath>
      </m:oMathPara>
    </w:p>
    <w:p>
      <w:pPr>
        <w:pStyle w:val="FirstParagraph"/>
      </w:pPr>
      <w:r>
        <w:t xml:space="preserve">Taking the first-order condition by differentiating with respect to</w:t>
      </w:r>
      <w:r>
        <w:t xml:space="preserve"> </w:t>
      </w:r>
      <m:oMath>
        <m:sSup>
          <m:e>
            <m:r>
              <m:t>q</m:t>
            </m:r>
          </m:e>
          <m:sup>
            <m:r>
              <m:rPr>
                <m:sty m:val="p"/>
              </m:rPr>
              <m:t>′</m:t>
            </m:r>
          </m:sup>
        </m:sSup>
      </m:oMath>
      <w:r>
        <w:t xml:space="preserve"> </w:t>
      </w:r>
      <w:r>
        <w:t xml:space="preserve">and evaluating at</w:t>
      </w:r>
      <w:r>
        <w:t xml:space="preserve"> </w:t>
      </w:r>
      <m:oMath>
        <m:sSup>
          <m:e>
            <m:r>
              <m:t>q</m:t>
            </m:r>
          </m:e>
          <m:sup>
            <m:r>
              <m:rPr>
                <m:sty m:val="p"/>
              </m:rPr>
              <m:t>′</m:t>
            </m:r>
          </m:sup>
        </m:sSup>
        <m:r>
          <m:rPr>
            <m:sty m:val="p"/>
          </m:rPr>
          <m:t>=</m:t>
        </m:r>
        <m:r>
          <m:t>q</m:t>
        </m:r>
      </m:oMath>
      <w:r>
        <w:t xml:space="preserve">:</w:t>
      </w:r>
    </w:p>
    <w:p>
      <w:pPr>
        <w:pStyle w:val="BodyText"/>
      </w:pPr>
      <m:oMathPara>
        <m:oMathParaPr>
          <m:jc m:val="center"/>
        </m:oMathParaPr>
        <m:oMath>
          <m:r>
            <m:t>λ</m:t>
          </m:r>
          <m:f>
            <m:fPr>
              <m:type m:val="bar"/>
            </m:fPr>
            <m:num>
              <m:r>
                <m:t>d</m:t>
              </m:r>
              <m:sSup>
                <m:e>
                  <m:r>
                    <m:t>q</m:t>
                  </m:r>
                </m:e>
                <m:sup>
                  <m:r>
                    <m:rPr>
                      <m:sty m:val="p"/>
                    </m:rPr>
                    <m:t>′</m:t>
                  </m:r>
                </m:sup>
              </m:sSup>
            </m:num>
            <m:den>
              <m:r>
                <m:t>d</m:t>
              </m:r>
              <m:r>
                <m:t>x</m:t>
              </m:r>
            </m:den>
          </m:f>
          <m:r>
            <m:rPr>
              <m:sty m:val="p"/>
            </m:rPr>
            <m:t>=</m:t>
          </m:r>
          <m:f>
            <m:fPr>
              <m:type m:val="bar"/>
            </m:fPr>
            <m:num>
              <m:sSup>
                <m:e>
                  <m:r>
                    <m:t>x</m:t>
                  </m:r>
                </m:e>
                <m:sup>
                  <m:r>
                    <m:rPr>
                      <m:sty m:val="p"/>
                    </m:rPr>
                    <m:t>*</m:t>
                  </m:r>
                </m:sup>
              </m:sSup>
              <m:r>
                <m:rPr>
                  <m:sty m:val="p"/>
                </m:rPr>
                <m:t>(</m:t>
              </m:r>
              <m:r>
                <m:t>q</m:t>
              </m:r>
              <m:r>
                <m:rPr>
                  <m:sty m:val="p"/>
                </m:rPr>
                <m:t>)</m:t>
              </m:r>
            </m:num>
            <m:den>
              <m:r>
                <m:t>q</m:t>
              </m:r>
            </m:den>
          </m:f>
          <m:r>
            <m:rPr>
              <m:sty m:val="p"/>
            </m:rPr>
            <m:t>⋅</m:t>
          </m:r>
          <m:f>
            <m:fPr>
              <m:type m:val="bar"/>
            </m:fPr>
            <m:num>
              <m:r>
                <m:t>d</m:t>
              </m:r>
              <m:sSup>
                <m:e>
                  <m:r>
                    <m:t>x</m:t>
                  </m:r>
                </m:e>
                <m:sup>
                  <m:r>
                    <m:rPr>
                      <m:sty m:val="p"/>
                    </m:rPr>
                    <m:t>*</m:t>
                  </m:r>
                </m:sup>
              </m:sSup>
            </m:num>
            <m:den>
              <m:r>
                <m:t>d</m:t>
              </m:r>
              <m:r>
                <m:t>q</m:t>
              </m:r>
            </m:den>
          </m:f>
        </m:oMath>
      </m:oMathPara>
    </w:p>
    <w:p>
      <w:pPr>
        <w:pStyle w:val="FirstParagraph"/>
      </w:pPr>
      <w:r>
        <w:t xml:space="preserve">Since</w:t>
      </w:r>
      <w:r>
        <w:t xml:space="preserve"> </w:t>
      </w:r>
      <m:oMath>
        <m:acc>
          <m:accPr>
            <m:chr m:val="̂"/>
          </m:accPr>
          <m:e>
            <m:r>
              <m:t>q</m:t>
            </m:r>
          </m:e>
        </m:acc>
        <m:r>
          <m:rPr>
            <m:sty m:val="p"/>
          </m:rPr>
          <m:t>(</m:t>
        </m:r>
        <m:r>
          <m:t>x</m:t>
        </m:r>
        <m:r>
          <m:rPr>
            <m:sty m:val="p"/>
          </m:rPr>
          <m:t>)</m:t>
        </m:r>
        <m:r>
          <m:rPr>
            <m:sty m:val="p"/>
          </m:rPr>
          <m:t>=</m:t>
        </m:r>
        <m:r>
          <m:t>q</m:t>
        </m:r>
      </m:oMath>
      <w:r>
        <w:t xml:space="preserve"> </w:t>
      </w:r>
      <w:r>
        <w:t xml:space="preserve">in a separating equilibrium, the receiver’s marginal valuation is</w:t>
      </w:r>
      <w:r>
        <w:t xml:space="preserve"> </w:t>
      </w:r>
      <m:oMath>
        <m:r>
          <m:t>λ</m:t>
        </m:r>
      </m:oMath>
      <w:r>
        <w:t xml:space="preserve">. The differential equation governing the equilibrium investment schedule is:</w:t>
      </w:r>
    </w:p>
    <w:p>
      <w:pPr>
        <w:pStyle w:val="BodyText"/>
      </w:pPr>
      <m:oMathPara>
        <m:oMathParaPr>
          <m:jc m:val="center"/>
        </m:oMathParaPr>
        <m:oMath>
          <m:f>
            <m:fPr>
              <m:type m:val="bar"/>
            </m:fPr>
            <m:num>
              <m:r>
                <m:t>d</m:t>
              </m:r>
              <m:sSup>
                <m:e>
                  <m:r>
                    <m:t>x</m:t>
                  </m:r>
                </m:e>
                <m:sup>
                  <m:r>
                    <m:rPr>
                      <m:sty m:val="p"/>
                    </m:rPr>
                    <m:t>*</m:t>
                  </m:r>
                </m:sup>
              </m:sSup>
            </m:num>
            <m:den>
              <m:r>
                <m:t>d</m:t>
              </m:r>
              <m:r>
                <m:t>q</m:t>
              </m:r>
            </m:den>
          </m:f>
          <m:r>
            <m:rPr>
              <m:sty m:val="p"/>
            </m:rPr>
            <m:t>=</m:t>
          </m:r>
          <m:f>
            <m:fPr>
              <m:type m:val="bar"/>
            </m:fPr>
            <m:num>
              <m:r>
                <m:t>λ</m:t>
              </m:r>
              <m:r>
                <m:t>q</m:t>
              </m:r>
            </m:num>
            <m:den>
              <m:sSup>
                <m:e>
                  <m:r>
                    <m:t>x</m:t>
                  </m:r>
                </m:e>
                <m:sup>
                  <m:r>
                    <m:rPr>
                      <m:sty m:val="p"/>
                    </m:rPr>
                    <m:t>*</m:t>
                  </m:r>
                </m:sup>
              </m:sSup>
              <m:r>
                <m:rPr>
                  <m:sty m:val="p"/>
                </m:rPr>
                <m:t>(</m:t>
              </m:r>
              <m:r>
                <m:t>q</m:t>
              </m:r>
              <m:r>
                <m:rPr>
                  <m:sty m:val="p"/>
                </m:rPr>
                <m:t>)</m:t>
              </m:r>
            </m:den>
          </m:f>
        </m:oMath>
      </m:oMathPara>
    </w:p>
    <w:p>
      <w:pPr>
        <w:pStyle w:val="FirstParagraph"/>
      </w:pPr>
      <w:r>
        <w:t xml:space="preserve">with the boundary condition</w:t>
      </w:r>
      <w:r>
        <w:t xml:space="preserve"> </w:t>
      </w:r>
      <m:oMath>
        <m:sSup>
          <m:e>
            <m:r>
              <m:t>x</m:t>
            </m:r>
          </m:e>
          <m:sup>
            <m:r>
              <m:rPr>
                <m:sty m:val="p"/>
              </m:rPr>
              <m:t>*</m:t>
            </m:r>
          </m:sup>
        </m:sSup>
        <m:r>
          <m:rPr>
            <m:sty m:val="p"/>
          </m:rPr>
          <m:t>(</m:t>
        </m:r>
        <m:sSub>
          <m:e>
            <m:r>
              <m:t>q</m:t>
            </m:r>
          </m:e>
          <m:sub>
            <m:r>
              <m:rPr>
                <m:sty m:val="p"/>
              </m:rPr>
              <m:t>min</m:t>
            </m:r>
          </m:sub>
        </m:sSub>
        <m:r>
          <m:rPr>
            <m:sty m:val="p"/>
          </m:rPr>
          <m:t>)</m:t>
        </m:r>
        <m:r>
          <m:rPr>
            <m:sty m:val="p"/>
          </m:rPr>
          <m:t>=</m:t>
        </m:r>
        <m:r>
          <m:t>0</m:t>
        </m:r>
      </m:oMath>
      <w:r>
        <w:t xml:space="preserve"> </w:t>
      </w:r>
      <w:r>
        <w:t xml:space="preserve">(the lowest type has no incentive to signal). Solving this ODE:</w:t>
      </w:r>
    </w:p>
    <w:p>
      <w:pPr>
        <w:pStyle w:val="BodyText"/>
      </w:pPr>
      <m:oMathPara>
        <m:oMathParaPr>
          <m:jc m:val="center"/>
        </m:oMathParaPr>
        <m:oMath>
          <m:sSup>
            <m:e>
              <m:r>
                <m:t>x</m:t>
              </m:r>
            </m:e>
            <m:sup>
              <m:r>
                <m:rPr>
                  <m:sty m:val="p"/>
                </m:rPr>
                <m:t>*</m:t>
              </m:r>
            </m:sup>
          </m:sSup>
          <m:r>
            <m:t> </m:t>
          </m:r>
          <m:r>
            <m:t>d</m:t>
          </m:r>
          <m:sSup>
            <m:e>
              <m:r>
                <m:t>x</m:t>
              </m:r>
            </m:e>
            <m:sup>
              <m:r>
                <m:rPr>
                  <m:sty m:val="p"/>
                </m:rPr>
                <m:t>*</m:t>
              </m:r>
            </m:sup>
          </m:sSup>
          <m:r>
            <m:rPr>
              <m:sty m:val="p"/>
            </m:rPr>
            <m:t>=</m:t>
          </m:r>
          <m:r>
            <m:t>λ</m:t>
          </m:r>
          <m:r>
            <m:t>q</m:t>
          </m:r>
          <m:r>
            <m:t> </m:t>
          </m:r>
          <m:r>
            <m:t>d</m:t>
          </m:r>
          <m:r>
            <m:t>q</m:t>
          </m:r>
        </m:oMath>
      </m:oMathPara>
    </w:p>
    <w:p>
      <w:pPr>
        <w:pStyle w:val="FirstParagraph"/>
      </w:pPr>
      <m:oMathPara>
        <m:oMathParaPr>
          <m:jc m:val="center"/>
        </m:oMathParaPr>
        <m:oMath>
          <m:f>
            <m:fPr>
              <m:type m:val="bar"/>
            </m:fPr>
            <m:num>
              <m:r>
                <m:rPr>
                  <m:sty m:val="p"/>
                </m:rPr>
                <m:t>[</m:t>
              </m:r>
              <m:sSup>
                <m:e>
                  <m:r>
                    <m:t>x</m:t>
                  </m:r>
                </m:e>
                <m:sup>
                  <m:r>
                    <m:rPr>
                      <m:sty m:val="p"/>
                    </m:rPr>
                    <m:t>*</m:t>
                  </m:r>
                </m:sup>
              </m:sSup>
              <m:sSup>
                <m:e>
                  <m:r>
                    <m:rPr>
                      <m:sty m:val="p"/>
                    </m:rPr>
                    <m:t>]</m:t>
                  </m:r>
                </m:e>
                <m:sup>
                  <m:r>
                    <m:t>2</m:t>
                  </m:r>
                </m:sup>
              </m:sSup>
            </m:num>
            <m:den>
              <m:r>
                <m:t>2</m:t>
              </m:r>
            </m:den>
          </m:f>
          <m:r>
            <m:rPr>
              <m:sty m:val="p"/>
            </m:rPr>
            <m:t>=</m:t>
          </m:r>
          <m:f>
            <m:fPr>
              <m:type m:val="bar"/>
            </m:fPr>
            <m:num>
              <m:r>
                <m:t>λ</m:t>
              </m:r>
              <m:sSup>
                <m:e>
                  <m:r>
                    <m:t>q</m:t>
                  </m:r>
                </m:e>
                <m:sup>
                  <m:r>
                    <m:t>2</m:t>
                  </m:r>
                </m:sup>
              </m:sSup>
            </m:num>
            <m:den>
              <m:r>
                <m:t>2</m:t>
              </m:r>
            </m:den>
          </m:f>
          <m:r>
            <m:rPr>
              <m:sty m:val="p"/>
            </m:rPr>
            <m:t>+</m:t>
          </m:r>
          <m:r>
            <m:t>C</m:t>
          </m:r>
        </m:oMath>
      </m:oMathPara>
    </w:p>
    <w:p>
      <w:pPr>
        <w:pStyle w:val="FirstParagraph"/>
      </w:pPr>
      <w:r>
        <w:t xml:space="preserve">Applying the boundary condition:</w:t>
      </w:r>
      <w:r>
        <w:t xml:space="preserve"> </w:t>
      </w:r>
      <m:oMath>
        <m:r>
          <m:t>C</m:t>
        </m:r>
        <m:r>
          <m:rPr>
            <m:sty m:val="p"/>
          </m:rPr>
          <m:t>=</m:t>
        </m:r>
        <m:r>
          <m:rPr>
            <m:sty m:val="p"/>
          </m:rPr>
          <m:t>−</m:t>
        </m:r>
        <m:r>
          <m:t>λ</m:t>
        </m:r>
        <m:sSubSup>
          <m:e>
            <m:r>
              <m:t>q</m:t>
            </m:r>
          </m:e>
          <m:sub>
            <m:r>
              <m:rPr>
                <m:sty m:val="p"/>
              </m:rPr>
              <m:t>min</m:t>
            </m:r>
          </m:sub>
          <m:sup>
            <m:r>
              <m:t>2</m:t>
            </m:r>
          </m:sup>
        </m:sSubSup>
        <m:r>
          <m:rPr>
            <m:sty m:val="p"/>
          </m:rPr>
          <m:t>/</m:t>
        </m:r>
        <m:r>
          <m:t>2</m:t>
        </m:r>
      </m:oMath>
      <w:r>
        <w:t xml:space="preserve">. Therefore:</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b/>
          <w:bCs/>
        </w:rPr>
        <w:t xml:space="preserve">Uniqueness</w:t>
      </w:r>
      <w:r>
        <w:t xml:space="preserve"> </w:t>
      </w:r>
      <w:r>
        <w:t xml:space="preserve">follows from the single-crossing property:</w:t>
      </w:r>
      <w:r>
        <w:t xml:space="preserve"> </w:t>
      </w:r>
      <m:oMath>
        <m:sSup>
          <m:e>
            <m:r>
              <m:rPr>
                <m:sty m:val="p"/>
              </m:rPr>
              <m:t>∂</m:t>
            </m:r>
          </m:e>
          <m:sup>
            <m:r>
              <m:t>2</m:t>
            </m:r>
          </m:sup>
        </m:sSup>
        <m:r>
          <m:t>c</m:t>
        </m:r>
        <m:r>
          <m:rPr>
            <m:sty m:val="p"/>
          </m:rPr>
          <m:t>/</m:t>
        </m:r>
        <m:r>
          <m:rPr>
            <m:sty m:val="p"/>
          </m:rPr>
          <m:t>∂</m:t>
        </m:r>
        <m:r>
          <m:t>x</m:t>
        </m:r>
        <m:r>
          <m:rPr>
            <m:sty m:val="p"/>
          </m:rPr>
          <m:t>∂</m:t>
        </m:r>
        <m:r>
          <m:t>q</m:t>
        </m:r>
        <m:r>
          <m:rPr>
            <m:sty m:val="p"/>
          </m:rPr>
          <m:t>=</m:t>
        </m:r>
        <m:r>
          <m:rPr>
            <m:sty m:val="p"/>
          </m:rPr>
          <m:t>−</m:t>
        </m:r>
        <m:r>
          <m:t>x</m:t>
        </m:r>
        <m:r>
          <m:rPr>
            <m:sty m:val="p"/>
          </m:rPr>
          <m:t>/</m:t>
        </m:r>
        <m:sSup>
          <m:e>
            <m:r>
              <m:t>q</m:t>
            </m:r>
          </m:e>
          <m:sup>
            <m:r>
              <m:t>2</m:t>
            </m:r>
          </m:sup>
        </m:sSup>
        <m:r>
          <m:rPr>
            <m:sty m:val="p"/>
          </m:rPr>
          <m:t>&lt;</m:t>
        </m:r>
        <m:r>
          <m:t>0</m:t>
        </m:r>
      </m:oMath>
      <w:r>
        <w:t xml:space="preserve"> </w:t>
      </w:r>
      <w:r>
        <w:t xml:space="preserve">for</w:t>
      </w:r>
      <w:r>
        <w:t xml:space="preserve"> </w:t>
      </w:r>
      <m:oMath>
        <m:r>
          <m:t>x</m:t>
        </m:r>
        <m:r>
          <m:rPr>
            <m:sty m:val="p"/>
          </m:rPr>
          <m:t>&gt;</m:t>
        </m:r>
        <m:r>
          <m:t>0</m:t>
        </m:r>
      </m:oMath>
      <w:r>
        <w:t xml:space="preserve">, which ensures that indifference curves of different types cross at most once in</w:t>
      </w:r>
      <w:r>
        <w:t xml:space="preserve"> </w:t>
      </w:r>
      <m:oMath>
        <m:r>
          <m:rPr>
            <m:sty m:val="p"/>
          </m:rPr>
          <m:t>(</m:t>
        </m:r>
        <m:r>
          <m:t>x</m:t>
        </m:r>
        <m:r>
          <m:rPr>
            <m:sty m:val="p"/>
          </m:rPr>
          <m:t>,</m:t>
        </m:r>
        <m:acc>
          <m:accPr>
            <m:chr m:val="̂"/>
          </m:accPr>
          <m:e>
            <m:r>
              <m:t>q</m:t>
            </m:r>
          </m:e>
        </m:acc>
        <m:r>
          <m:rPr>
            <m:sty m:val="p"/>
          </m:rPr>
          <m:t>)</m:t>
        </m:r>
      </m:oMath>
      <w:r>
        <w:t xml:space="preserve"> </w:t>
      </w:r>
      <w:r>
        <w:t xml:space="preserve">space. By the Mailath (1987) theorem, the single-crossing condition combined with a connected type space yields a unique separating equilibrium.</w:t>
      </w:r>
      <w:r>
        <w:t xml:space="preserve"> </w:t>
      </w:r>
      <m:oMath>
        <m:r>
          <m:rPr>
            <m:sty m:val="p"/>
          </m:rPr>
          <m:t>▫</m:t>
        </m:r>
      </m:oMath>
    </w:p>
    <w:p>
      <w:pPr>
        <w:pStyle w:val="BodyText"/>
      </w:pPr>
      <w:r>
        <w:rPr>
          <w:b/>
          <w:bCs/>
        </w:rPr>
        <w:t xml:space="preserve">Fitness gain.</w:t>
      </w:r>
      <w:r>
        <w:t xml:space="preserve"> </w:t>
      </w:r>
      <w:r>
        <w:t xml:space="preserve">The fitness of type</w:t>
      </w:r>
      <w:r>
        <w:t xml:space="preserve"> </w:t>
      </w:r>
      <m:oMath>
        <m:r>
          <m:t>q</m:t>
        </m:r>
      </m:oMath>
      <w:r>
        <w:t xml:space="preserve"> </w:t>
      </w:r>
      <w:r>
        <w:t xml:space="preserve">in the separating equilibrium relative to not signaling (and being perceived as</w:t>
      </w:r>
      <w:r>
        <w:t xml:space="preserve"> </w:t>
      </w:r>
      <m:oMath>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r>
            <m:t>λ</m:t>
          </m:r>
          <m:r>
            <m:rPr>
              <m:sty m:val="p"/>
            </m:rPr>
            <m:t>(</m:t>
          </m:r>
          <m:r>
            <m:t>q</m:t>
          </m:r>
          <m:r>
            <m:rPr>
              <m:sty m:val="p"/>
            </m:rPr>
            <m:t>−</m:t>
          </m:r>
          <m:sSub>
            <m:e>
              <m:r>
                <m:t>q</m:t>
              </m:r>
            </m:e>
            <m:sub>
              <m:r>
                <m:rPr>
                  <m:sty m:val="p"/>
                </m:rPr>
                <m:t>min</m:t>
              </m:r>
            </m:sub>
          </m:sSub>
          <m:r>
            <m:rPr>
              <m:sty m:val="p"/>
            </m:rPr>
            <m:t>)</m:t>
          </m:r>
          <m:r>
            <m:rPr>
              <m:sty m:val="p"/>
            </m:rPr>
            <m:t>−</m:t>
          </m:r>
          <m:f>
            <m:fPr>
              <m:type m:val="bar"/>
            </m:fPr>
            <m:num>
              <m:r>
                <m:t>λ</m:t>
              </m:r>
              <m:r>
                <m:rPr>
                  <m:sty m:val="p"/>
                </m:rPr>
                <m:t>(</m:t>
              </m:r>
              <m:sSup>
                <m:e>
                  <m:r>
                    <m:t>q</m:t>
                  </m:r>
                </m:e>
                <m:sup>
                  <m:r>
                    <m:t>2</m:t>
                  </m:r>
                </m:sup>
              </m:sSup>
              <m:r>
                <m:rPr>
                  <m:sty m:val="p"/>
                </m:rPr>
                <m:t>−</m:t>
              </m:r>
              <m:sSubSup>
                <m:e>
                  <m:r>
                    <m:t>q</m:t>
                  </m:r>
                </m:e>
                <m:sub>
                  <m:r>
                    <m:rPr>
                      <m:sty m:val="p"/>
                    </m:rPr>
                    <m:t>min</m:t>
                  </m:r>
                </m:sub>
                <m:sup>
                  <m:r>
                    <m:t>2</m:t>
                  </m:r>
                </m:sup>
              </m:sSubSup>
              <m:r>
                <m:rPr>
                  <m:sty m:val="p"/>
                </m:rPr>
                <m:t>)</m:t>
              </m:r>
            </m:num>
            <m:den>
              <m:r>
                <m:t>2</m:t>
              </m:r>
              <m:r>
                <m:t>q</m:t>
              </m:r>
            </m:den>
          </m:f>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Every type above minimum quality gains strictly positive fitness from participating, confirming that signaling is individually rational.</w:t>
      </w:r>
    </w:p>
    <w:bookmarkEnd w:id="49"/>
    <w:bookmarkStart w:id="50" w:name="a.2-ess-conditions"/>
    <w:p>
      <w:pPr>
        <w:pStyle w:val="Heading3"/>
      </w:pPr>
      <w:r>
        <w:t xml:space="preserve">A.2 ESS Conditions</w:t>
      </w:r>
    </w:p>
    <w:p>
      <w:pPr>
        <w:pStyle w:val="FirstParagraph"/>
      </w:pPr>
      <w:r>
        <w:t xml:space="preserve">The separating equilibrium is an evolutionarily stable strategy (ESS) if no mutant strategy can invade a population playing the equilibrium. Two potential deviations must be checked:</w:t>
      </w:r>
    </w:p>
    <w:p>
      <w:pPr>
        <w:numPr>
          <w:ilvl w:val="0"/>
          <w:numId w:val="1001"/>
        </w:numPr>
      </w:pPr>
      <w:r>
        <w:rPr>
          <w:b/>
          <w:bCs/>
        </w:rPr>
        <w:t xml:space="preserve">Pooling deviation:</w:t>
      </w:r>
      <w:r>
        <w:t xml:space="preserve"> </w:t>
      </w:r>
      <w:r>
        <w:t xml:space="preserve">All types invest the same amount</w:t>
      </w:r>
      <w:r>
        <w:t xml:space="preserve"> </w:t>
      </w:r>
      <m:oMath>
        <m:acc>
          <m:accPr>
            <m:chr m:val="‾"/>
          </m:accPr>
          <m:e>
            <m:r>
              <m:t>x</m:t>
            </m:r>
          </m:e>
        </m:acc>
      </m:oMath>
      <w:r>
        <w:t xml:space="preserve">. Under pooling, the receiver’s posterior equals the prior mean</w:t>
      </w:r>
      <w:r>
        <w:t xml:space="preserve"> </w:t>
      </w:r>
      <m:oMath>
        <m:r>
          <m:t>E</m:t>
        </m:r>
        <m:r>
          <m:rPr>
            <m:sty m:val="p"/>
          </m:rPr>
          <m:t>[</m:t>
        </m:r>
        <m:r>
          <m:t>q</m:t>
        </m:r>
        <m:r>
          <m:rPr>
            <m:sty m:val="p"/>
          </m:rPr>
          <m:t>]</m:t>
        </m:r>
      </m:oMath>
      <w:r>
        <w:t xml:space="preserve">. A high-quality type</w:t>
      </w:r>
      <w:r>
        <w:t xml:space="preserve"> </w:t>
      </w:r>
      <m:oMath>
        <m:r>
          <m:t>q</m:t>
        </m:r>
        <m:r>
          <m:rPr>
            <m:sty m:val="p"/>
          </m:rPr>
          <m:t>&gt;</m:t>
        </m:r>
        <m:r>
          <m:t>E</m:t>
        </m:r>
        <m:r>
          <m:rPr>
            <m:sty m:val="p"/>
          </m:rPr>
          <m:t>[</m:t>
        </m:r>
        <m:r>
          <m:t>q</m:t>
        </m:r>
        <m:r>
          <m:rPr>
            <m:sty m:val="p"/>
          </m:rPr>
          <m:t>]</m:t>
        </m:r>
      </m:oMath>
      <w:r>
        <w:t xml:space="preserve"> </w:t>
      </w:r>
      <w:r>
        <w:t xml:space="preserve">gains</w:t>
      </w:r>
      <w:r>
        <w:t xml:space="preserve"> </w:t>
      </w:r>
      <m:oMath>
        <m:r>
          <m:t>λ</m:t>
        </m:r>
        <m:r>
          <m:t>E</m:t>
        </m:r>
        <m:r>
          <m:rPr>
            <m:sty m:val="p"/>
          </m:rPr>
          <m:t>[</m:t>
        </m:r>
        <m:r>
          <m:t>q</m:t>
        </m:r>
        <m:r>
          <m:rPr>
            <m:sty m:val="p"/>
          </m:rPr>
          <m:t>]</m:t>
        </m:r>
        <m:r>
          <m:rPr>
            <m:sty m:val="p"/>
          </m:rPr>
          <m:t>−</m:t>
        </m:r>
        <m:sSup>
          <m:e>
            <m:acc>
              <m:accPr>
                <m:chr m:val="‾"/>
              </m:accPr>
              <m:e>
                <m:r>
                  <m:t>x</m:t>
                </m:r>
              </m:e>
            </m:acc>
          </m:e>
          <m:sup>
            <m:r>
              <m:t>2</m:t>
            </m:r>
          </m:sup>
        </m:sSup>
        <m:r>
          <m:rPr>
            <m:sty m:val="p"/>
          </m:rPr>
          <m:t>/</m:t>
        </m:r>
        <m:r>
          <m:rPr>
            <m:sty m:val="p"/>
          </m:rPr>
          <m:t>(</m:t>
        </m:r>
        <m:r>
          <m:t>2</m:t>
        </m:r>
        <m:r>
          <m:t>q</m:t>
        </m:r>
        <m:r>
          <m:rPr>
            <m:sty m:val="p"/>
          </m:rPr>
          <m:t>)</m:t>
        </m:r>
      </m:oMath>
      <w:r>
        <w:t xml:space="preserve"> </w:t>
      </w:r>
      <w:r>
        <w:t xml:space="preserve">under pooling versus</w:t>
      </w:r>
      <w:r>
        <w:t xml:space="preserve"> </w:t>
      </w:r>
      <m:oMath>
        <m:r>
          <m:t>λ</m:t>
        </m:r>
        <m:r>
          <m:t>q</m:t>
        </m:r>
        <m:r>
          <m:rPr>
            <m:sty m:val="p"/>
          </m:rPr>
          <m:t>−</m:t>
        </m:r>
        <m:r>
          <m:t>λ</m:t>
        </m:r>
        <m:r>
          <m:rPr>
            <m:sty m:val="p"/>
          </m:rPr>
          <m:t>(</m:t>
        </m:r>
        <m:sSup>
          <m:e>
            <m:r>
              <m:t>q</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t>
      </w:r>
      <w:r>
        <w:t xml:space="preserve">under separation. The separation payoff exceeds the pooling payoff for sufficiently high</w:t>
      </w:r>
      <w:r>
        <w:t xml:space="preserve"> </w:t>
      </w:r>
      <m:oMath>
        <m:r>
          <m:t>q</m:t>
        </m:r>
      </m:oMath>
      <w:r>
        <w:t xml:space="preserve"> </w:t>
      </w:r>
      <w:r>
        <w:t xml:space="preserve">whenever</w:t>
      </w:r>
      <w:r>
        <w:t xml:space="preserve"> </w:t>
      </w:r>
      <m:oMath>
        <m:r>
          <m:t>λ</m:t>
        </m:r>
        <m:r>
          <m:rPr>
            <m:sty m:val="p"/>
          </m:rPr>
          <m:t>&gt;</m:t>
        </m:r>
        <m:r>
          <m:t>0</m:t>
        </m:r>
      </m:oMath>
      <w:r>
        <w:t xml:space="preserve"> </w:t>
      </w:r>
      <w:r>
        <w:t xml:space="preserve">and the type distribution has positive variance.</w:t>
      </w:r>
    </w:p>
    <w:p>
      <w:pPr>
        <w:numPr>
          <w:ilvl w:val="0"/>
          <w:numId w:val="1001"/>
        </w:numPr>
      </w:pPr>
      <w:r>
        <w:rPr>
          <w:b/>
          <w:bCs/>
        </w:rPr>
        <w:t xml:space="preserve">Over-signaling deviation:</w:t>
      </w:r>
      <w:r>
        <w:t xml:space="preserve"> </w:t>
      </w:r>
      <w:r>
        <w:t xml:space="preserve">A type</w:t>
      </w:r>
      <w:r>
        <w:t xml:space="preserve"> </w:t>
      </w:r>
      <m:oMath>
        <m:r>
          <m:t>q</m:t>
        </m:r>
      </m:oMath>
      <w:r>
        <w:t xml:space="preserve"> </w:t>
      </w:r>
      <w:r>
        <w:t xml:space="preserve">invests at the level</w:t>
      </w:r>
      <w:r>
        <w:t xml:space="preserve"> </w:t>
      </w:r>
      <m:oMath>
        <m:sSup>
          <m:e>
            <m:r>
              <m:t>x</m:t>
            </m:r>
          </m:e>
          <m:sup>
            <m:r>
              <m:rPr>
                <m:sty m:val="p"/>
              </m:rPr>
              <m:t>*</m:t>
            </m:r>
          </m:sup>
        </m:sSup>
        <m:r>
          <m:rPr>
            <m:sty m:val="p"/>
          </m:rPr>
          <m:t>(</m:t>
        </m:r>
        <m:sSup>
          <m:e>
            <m:r>
              <m:t>q</m:t>
            </m:r>
          </m:e>
          <m:sup>
            <m:r>
              <m:rPr>
                <m:sty m:val="p"/>
              </m:rPr>
              <m:t>′</m:t>
            </m:r>
          </m:sup>
        </m:sSup>
        <m:r>
          <m:rPr>
            <m:sty m:val="p"/>
          </m:rPr>
          <m:t>)</m:t>
        </m:r>
      </m:oMath>
      <w:r>
        <w:t xml:space="preserve"> </w:t>
      </w:r>
      <w:r>
        <w:t xml:space="preserve">for some</w:t>
      </w:r>
      <w:r>
        <w:t xml:space="preserve"> </w:t>
      </w:r>
      <m:oMath>
        <m:sSup>
          <m:e>
            <m:r>
              <m:t>q</m:t>
            </m:r>
          </m:e>
          <m:sup>
            <m:r>
              <m:rPr>
                <m:sty m:val="p"/>
              </m:rPr>
              <m:t>′</m:t>
            </m:r>
          </m:sup>
        </m:sSup>
        <m:r>
          <m:rPr>
            <m:sty m:val="p"/>
          </m:rPr>
          <m:t>&gt;</m:t>
        </m:r>
        <m:r>
          <m:t>q</m:t>
        </m:r>
      </m:oMath>
      <w:r>
        <w:t xml:space="preserve">. The cost of this deviation is</w:t>
      </w:r>
      <w:r>
        <w:t xml:space="preserve"> </w:t>
      </w:r>
      <m:oMath>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r>
          <m:rPr>
            <m:sty m:val="p"/>
          </m:rPr>
          <m:t>/</m:t>
        </m:r>
        <m:r>
          <m:rPr>
            <m:sty m:val="p"/>
          </m:rPr>
          <m:t>(</m:t>
        </m:r>
        <m:r>
          <m:t>2</m:t>
        </m:r>
        <m:r>
          <m:t>q</m:t>
        </m:r>
        <m:r>
          <m:rPr>
            <m:sty m:val="p"/>
          </m:rPr>
          <m:t>)</m:t>
        </m:r>
      </m:oMath>
      <w:r>
        <w:t xml:space="preserve"> </w:t>
      </w:r>
      <w:r>
        <w:t xml:space="preserve">while the benefit is</w:t>
      </w:r>
      <w:r>
        <w:t xml:space="preserve"> </w:t>
      </w:r>
      <m:oMath>
        <m:r>
          <m:t>λ</m:t>
        </m:r>
        <m:sSup>
          <m:e>
            <m:r>
              <m:t>q</m:t>
            </m:r>
          </m:e>
          <m:sup>
            <m:r>
              <m:rPr>
                <m:sty m:val="p"/>
              </m:rPr>
              <m:t>′</m:t>
            </m:r>
          </m:sup>
        </m:sSup>
      </m:oMath>
      <w:r>
        <w:t xml:space="preserve">. The net payoff is</w:t>
      </w:r>
      <w:r>
        <w:t xml:space="preserve"> </w:t>
      </w:r>
      <m:oMath>
        <m:r>
          <m:t>λ</m:t>
        </m:r>
        <m:sSup>
          <m:e>
            <m:r>
              <m:t>q</m:t>
            </m:r>
          </m:e>
          <m:sup>
            <m:r>
              <m:rPr>
                <m:sty m:val="p"/>
              </m:rPr>
              <m:t>′</m:t>
            </m:r>
          </m:sup>
        </m:sSup>
        <m:r>
          <m:rPr>
            <m:sty m:val="p"/>
          </m:rPr>
          <m:t>−</m:t>
        </m:r>
        <m:r>
          <m:t>λ</m:t>
        </m:r>
        <m:r>
          <m:rPr>
            <m:sty m:val="p"/>
          </m:rPr>
          <m:t>(</m:t>
        </m:r>
        <m:sSup>
          <m:e>
            <m:r>
              <m:t>q</m:t>
            </m:r>
          </m:e>
          <m:sup>
            <m:r>
              <m:rPr>
                <m:sty m:val="p"/>
              </m:rPr>
              <m:t>′</m:t>
            </m:r>
          </m:sup>
        </m:sSup>
        <m:sSup>
          <m:e>
            <m:r>
              <m:t>​</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which decreases in</w:t>
      </w:r>
      <w:r>
        <w:t xml:space="preserve"> </w:t>
      </w:r>
      <m:oMath>
        <m:sSup>
          <m:e>
            <m:r>
              <m:t>q</m:t>
            </m:r>
          </m:e>
          <m:sup>
            <m:r>
              <m:rPr>
                <m:sty m:val="p"/>
              </m:rPr>
              <m:t>′</m:t>
            </m:r>
          </m:sup>
        </m:sSup>
      </m:oMath>
      <w:r>
        <w:t xml:space="preserve"> </w:t>
      </w:r>
      <w:r>
        <w:t xml:space="preserve">for</w:t>
      </w:r>
      <w:r>
        <w:t xml:space="preserve"> </w:t>
      </w:r>
      <m:oMath>
        <m:sSup>
          <m:e>
            <m:r>
              <m:t>q</m:t>
            </m:r>
          </m:e>
          <m:sup>
            <m:r>
              <m:rPr>
                <m:sty m:val="p"/>
              </m:rPr>
              <m:t>′</m:t>
            </m:r>
          </m:sup>
        </m:sSup>
        <m:r>
          <m:rPr>
            <m:sty m:val="p"/>
          </m:rPr>
          <m:t>&gt;</m:t>
        </m:r>
        <m:r>
          <m:t>q</m:t>
        </m:r>
      </m:oMath>
      <w:r>
        <w:t xml:space="preserve"> </w:t>
      </w:r>
      <w:r>
        <w:t xml:space="preserve">when</w:t>
      </w:r>
      <w:r>
        <w:t xml:space="preserve"> </w:t>
      </w:r>
      <m:oMath>
        <m:sSup>
          <m:e>
            <m:r>
              <m:t>q</m:t>
            </m:r>
          </m:e>
          <m:sup>
            <m:r>
              <m:rPr>
                <m:sty m:val="p"/>
              </m:rPr>
              <m:t>′</m:t>
            </m:r>
          </m:sup>
        </m:sSup>
        <m:r>
          <m:rPr>
            <m:sty m:val="p"/>
          </m:rPr>
          <m:t>&gt;</m:t>
        </m:r>
        <m:r>
          <m:t>q</m:t>
        </m:r>
      </m:oMath>
      <w:r>
        <w:t xml:space="preserve"> </w:t>
      </w:r>
      <w:r>
        <w:t xml:space="preserve">(since the marginal cost</w:t>
      </w:r>
      <w:r>
        <w:t xml:space="preserve"> </w:t>
      </w:r>
      <m:oMath>
        <m:r>
          <m:t>λ</m:t>
        </m:r>
        <m:sSup>
          <m:e>
            <m:r>
              <m:t>q</m:t>
            </m:r>
          </m:e>
          <m:sup>
            <m:r>
              <m:rPr>
                <m:sty m:val="p"/>
              </m:rPr>
              <m:t>′</m:t>
            </m:r>
          </m:sup>
        </m:sSup>
        <m:r>
          <m:rPr>
            <m:sty m:val="p"/>
          </m:rPr>
          <m:t>/</m:t>
        </m:r>
        <m:r>
          <m:t>q</m:t>
        </m:r>
      </m:oMath>
      <w:r>
        <w:t xml:space="preserve"> </w:t>
      </w:r>
      <w:r>
        <w:t xml:space="preserve">exceeds the marginal benefit</w:t>
      </w:r>
      <w:r>
        <w:t xml:space="preserve"> </w:t>
      </w:r>
      <m:oMath>
        <m:r>
          <m:t>λ</m:t>
        </m:r>
      </m:oMath>
      <w:r>
        <w:t xml:space="preserve"> </w:t>
      </w:r>
      <w:r>
        <w:t xml:space="preserve">whenever</w:t>
      </w:r>
      <w:r>
        <w:t xml:space="preserve"> </w:t>
      </w:r>
      <m:oMath>
        <m:sSup>
          <m:e>
            <m:r>
              <m:t>q</m:t>
            </m:r>
          </m:e>
          <m:sup>
            <m:r>
              <m:rPr>
                <m:sty m:val="p"/>
              </m:rPr>
              <m:t>′</m:t>
            </m:r>
          </m:sup>
        </m:sSup>
        <m:r>
          <m:rPr>
            <m:sty m:val="p"/>
          </m:rPr>
          <m:t>&gt;</m:t>
        </m:r>
        <m:r>
          <m:t>q</m:t>
        </m:r>
      </m:oMath>
      <w:r>
        <w:t xml:space="preserve">). Over-signaling is therefore unprofitable.</w:t>
      </w:r>
    </w:p>
    <w:bookmarkEnd w:id="50"/>
    <w:bookmarkStart w:id="51" w:name="a.3-survival-function-robustness"/>
    <w:p>
      <w:pPr>
        <w:pStyle w:val="Heading3"/>
      </w:pPr>
      <w:r>
        <w:t xml:space="preserve">A.3 Survival Function Robustness</w:t>
      </w:r>
    </w:p>
    <w:p>
      <w:pPr>
        <w:pStyle w:val="FirstParagraph"/>
      </w:pPr>
      <w:r>
        <w:t xml:space="preserve">The main text uses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We verify that the qualitative predictions are robust to this choice.</w:t>
      </w:r>
    </w:p>
    <w:p>
      <w:pPr>
        <w:pStyle w:val="BodyText"/>
      </w:pPr>
      <w:r>
        <w:t xml:space="preserve">Consider a general survival function</w:t>
      </w:r>
      <w:r>
        <w:t xml:space="preserve"> </w:t>
      </w:r>
      <m:oMath>
        <m:r>
          <m:t>S</m:t>
        </m:r>
        <m:r>
          <m:rPr>
            <m:sty m:val="p"/>
          </m:rPr>
          <m:t>(</m:t>
        </m:r>
        <m:r>
          <m:t>σ</m:t>
        </m:r>
        <m:r>
          <m:rPr>
            <m:sty m:val="p"/>
          </m:rPr>
          <m:t>,</m:t>
        </m:r>
        <m:r>
          <m:t>k</m:t>
        </m:r>
        <m:r>
          <m:rPr>
            <m:sty m:val="p"/>
          </m:rPr>
          <m:t>)</m:t>
        </m:r>
        <m:r>
          <m:rPr>
            <m:sty m:val="p"/>
          </m:rPr>
          <m:t>=</m:t>
        </m:r>
        <m:r>
          <m:t>g</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where</w:t>
      </w:r>
      <w:r>
        <w:t xml:space="preserve"> </w:t>
      </w:r>
      <m:oMath>
        <m:r>
          <m:t>g</m:t>
        </m:r>
      </m:oMath>
      <w:r>
        <w:t xml:space="preserve"> </w:t>
      </w:r>
      <w:r>
        <w:t xml:space="preserve">is a decreasing function mapping</w:t>
      </w:r>
      <w:r>
        <w:t xml:space="preserve"> </w:t>
      </w:r>
      <m:oMath>
        <m:r>
          <m:rPr>
            <m:sty m:val="p"/>
          </m:rPr>
          <m:t>[</m:t>
        </m:r>
        <m:r>
          <m:t>0</m:t>
        </m:r>
        <m:r>
          <m:rPr>
            <m:sty m:val="p"/>
          </m:rPr>
          <m:t>,</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with</w:t>
      </w:r>
      <w:r>
        <w:t xml:space="preserve"> </w:t>
      </w:r>
      <m:oMath>
        <m:r>
          <m:t>g</m:t>
        </m:r>
        <m:r>
          <m:rPr>
            <m:sty m:val="p"/>
          </m:rPr>
          <m:t>(</m:t>
        </m:r>
        <m:r>
          <m:t>0</m:t>
        </m:r>
        <m:r>
          <m:rPr>
            <m:sty m:val="p"/>
          </m:rPr>
          <m:t>)</m:t>
        </m:r>
        <m:r>
          <m:rPr>
            <m:sty m:val="p"/>
          </m:rPr>
          <m:t>=</m:t>
        </m:r>
        <m:r>
          <m:t>1</m:t>
        </m:r>
      </m:oMath>
      <w:r>
        <w:t xml:space="preserve">. The marginal value of an additional exchange partner is:</w:t>
      </w:r>
    </w:p>
    <w:p>
      <w:pPr>
        <w:pStyle w:val="BodyText"/>
      </w:pPr>
      <m:oMathPara>
        <m:oMathParaPr>
          <m:jc m:val="center"/>
        </m:oMathParaPr>
        <m:oMath>
          <m:f>
            <m:fPr>
              <m:type m:val="bar"/>
            </m:fPr>
            <m:num>
              <m:r>
                <m:rPr>
                  <m:sty m:val="p"/>
                </m:rPr>
                <m:t>∂</m:t>
              </m:r>
              <m:r>
                <m:t>S</m:t>
              </m:r>
            </m:num>
            <m:den>
              <m:r>
                <m:rPr>
                  <m:sty m:val="p"/>
                </m:rPr>
                <m:t>∂</m:t>
              </m:r>
              <m:r>
                <m:t>k</m:t>
              </m:r>
            </m:den>
          </m:f>
          <m:r>
            <m:rPr>
              <m:sty m:val="p"/>
            </m:rPr>
            <m:t>=</m:t>
          </m:r>
          <m:r>
            <m:rPr>
              <m:sty m:val="p"/>
            </m:rPr>
            <m:t>−</m:t>
          </m:r>
          <m:sSup>
            <m:e>
              <m:r>
                <m:t>g</m:t>
              </m:r>
            </m:e>
            <m:sup>
              <m:r>
                <m:rPr>
                  <m:sty m:val="p"/>
                </m:rPr>
                <m:t>′</m:t>
              </m:r>
            </m:sup>
          </m:sSup>
          <m:d>
            <m:dPr>
              <m:begChr m:val="("/>
              <m:sepChr m:val=""/>
              <m:endChr m:val=")"/>
              <m:grow/>
            </m:dPr>
            <m:e>
              <m:f>
                <m:fPr>
                  <m:type m:val="bar"/>
                </m:fPr>
                <m:num>
                  <m:r>
                    <m:t>σ</m:t>
                  </m:r>
                </m:num>
                <m:den>
                  <m:r>
                    <m:t>1</m:t>
                  </m:r>
                  <m:r>
                    <m:rPr>
                      <m:sty m:val="p"/>
                    </m:rPr>
                    <m:t>+</m:t>
                  </m:r>
                  <m:r>
                    <m:t>γ</m:t>
                  </m:r>
                  <m:r>
                    <m:t>k</m:t>
                  </m:r>
                </m:den>
              </m:f>
            </m:e>
          </m:d>
          <m:r>
            <m:rPr>
              <m:sty m:val="p"/>
            </m:rPr>
            <m:t>⋅</m:t>
          </m:r>
          <m:f>
            <m:fPr>
              <m:type m:val="bar"/>
            </m:fPr>
            <m:num>
              <m:r>
                <m:t>σ</m:t>
              </m:r>
              <m:r>
                <m:t>γ</m:t>
              </m:r>
            </m:num>
            <m:den>
              <m:r>
                <m:rPr>
                  <m:sty m:val="p"/>
                </m:rPr>
                <m:t>(</m:t>
              </m:r>
              <m:r>
                <m:t>1</m:t>
              </m:r>
              <m:r>
                <m:rPr>
                  <m:sty m:val="p"/>
                </m:rPr>
                <m:t>+</m:t>
              </m:r>
              <m:r>
                <m:t>γ</m:t>
              </m:r>
              <m:r>
                <m:t>k</m:t>
              </m:r>
              <m:sSup>
                <m:e>
                  <m:r>
                    <m:rPr>
                      <m:sty m:val="p"/>
                    </m:rPr>
                    <m:t>)</m:t>
                  </m:r>
                </m:e>
                <m:sup>
                  <m:r>
                    <m:t>2</m:t>
                  </m:r>
                </m:sup>
              </m:sSup>
            </m:den>
          </m:f>
        </m:oMath>
      </m:oMathPara>
    </w:p>
    <w:p>
      <w:pPr>
        <w:pStyle w:val="FirstParagraph"/>
      </w:pPr>
      <w:r>
        <w:t xml:space="preserve">This is positive (since</w:t>
      </w:r>
      <w:r>
        <w:t xml:space="preserve"> </w:t>
      </w:r>
      <m:oMath>
        <m:sSup>
          <m:e>
            <m:r>
              <m:t>g</m:t>
            </m:r>
          </m:e>
          <m:sup>
            <m:r>
              <m:rPr>
                <m:sty m:val="p"/>
              </m:rPr>
              <m:t>′</m:t>
            </m:r>
          </m:sup>
        </m:sSup>
        <m:r>
          <m:rPr>
            <m:sty m:val="p"/>
          </m:rPr>
          <m:t>&lt;</m:t>
        </m:r>
        <m:r>
          <m:t>0</m:t>
        </m:r>
      </m:oMath>
      <w:r>
        <w:t xml:space="preserve">) for any valid</w:t>
      </w:r>
      <w:r>
        <w:t xml:space="preserve"> </w:t>
      </w:r>
      <m:oMath>
        <m:r>
          <m:t>g</m:t>
        </m:r>
      </m:oMath>
      <w:r>
        <w:t xml:space="preserve">, confirming that additional partners always increase survival. The key qualitative prediction, that the marginal value of partners increases with</w:t>
      </w:r>
      <w:r>
        <w:t xml:space="preserve"> </w:t>
      </w:r>
      <m:oMath>
        <m:r>
          <m:t>σ</m:t>
        </m:r>
      </m:oMath>
      <w:r>
        <w:t xml:space="preserve">, holds whenever</w:t>
      </w:r>
      <w:r>
        <w:t xml:space="preserve"> </w:t>
      </w:r>
      <m:oMath>
        <m:r>
          <m:t>g</m:t>
        </m:r>
      </m:oMath>
      <w:r>
        <w:t xml:space="preserve"> </w:t>
      </w:r>
      <w:r>
        <w:t xml:space="preserve">is convex (including the exponential case</w:t>
      </w:r>
      <w:r>
        <w:t xml:space="preserve"> </w:t>
      </w:r>
      <m:oMath>
        <m:r>
          <m:t>g</m:t>
        </m:r>
        <m:r>
          <m:rPr>
            <m:sty m:val="p"/>
          </m:rPr>
          <m:t>(</m:t>
        </m:r>
        <m:r>
          <m:t>z</m:t>
        </m:r>
        <m:r>
          <m:rPr>
            <m:sty m:val="p"/>
          </m:rPr>
          <m:t>)</m:t>
        </m:r>
        <m:r>
          <m:rPr>
            <m:sty m:val="p"/>
          </m:rPr>
          <m:t>=</m:t>
        </m:r>
        <m:sSup>
          <m:e>
            <m:r>
              <m:t>e</m:t>
            </m:r>
          </m:e>
          <m:sup>
            <m:r>
              <m:rPr>
                <m:sty m:val="p"/>
              </m:rPr>
              <m:t>−</m:t>
            </m:r>
            <m:r>
              <m:t>z</m:t>
            </m:r>
          </m:sup>
        </m:sSup>
      </m:oMath>
      <w:r>
        <w:t xml:space="preserve"> </w:t>
      </w:r>
      <w:r>
        <w:t xml:space="preserve">and the linear case</w:t>
      </w:r>
      <w:r>
        <w:t xml:space="preserve"> </w:t>
      </w:r>
      <m:oMath>
        <m:r>
          <m:t>g</m:t>
        </m:r>
        <m:r>
          <m:rPr>
            <m:sty m:val="p"/>
          </m:rPr>
          <m:t>(</m:t>
        </m:r>
        <m:r>
          <m:t>z</m:t>
        </m:r>
        <m:r>
          <m:rPr>
            <m:sty m:val="p"/>
          </m:rPr>
          <m:t>)</m:t>
        </m:r>
        <m:r>
          <m:rPr>
            <m:sty m:val="p"/>
          </m:rPr>
          <m:t>=</m:t>
        </m:r>
        <m:r>
          <m:rPr>
            <m:sty m:val="p"/>
          </m:rPr>
          <m:t>max</m:t>
        </m:r>
        <m:r>
          <m:rPr>
            <m:sty m:val="p"/>
          </m:rPr>
          <m:t>(</m:t>
        </m:r>
        <m:r>
          <m:t>0</m:t>
        </m:r>
        <m:r>
          <m:rPr>
            <m:sty m:val="p"/>
          </m:rPr>
          <m:t>,</m:t>
        </m:r>
        <m:r>
          <m:t>1</m:t>
        </m:r>
        <m:r>
          <m:rPr>
            <m:sty m:val="p"/>
          </m:rPr>
          <m:t>−</m:t>
        </m:r>
        <m:r>
          <m:t>z</m:t>
        </m:r>
        <m:r>
          <m:rPr>
            <m:sty m:val="p"/>
          </m:rPr>
          <m:t>)</m:t>
        </m:r>
      </m:oMath>
      <w:r>
        <w:t xml:space="preserve">). The lambda-sigma feedback, in which higher uncertainty increases the returns to signaling through the increased value of cooperation networks, is therefore robust across this family of survival functions.</w:t>
      </w:r>
    </w:p>
    <w:bookmarkEnd w:id="51"/>
    <w:bookmarkStart w:id="52" w:name="a.4-channel-selection"/>
    <w:p>
      <w:pPr>
        <w:pStyle w:val="Heading3"/>
      </w:pPr>
      <w:r>
        <w:t xml:space="preserve">A.4 Channel Selection</w:t>
      </w:r>
    </w:p>
    <w:p>
      <w:pPr>
        <w:pStyle w:val="FirstParagraph"/>
      </w:pPr>
      <w:r>
        <w:t xml:space="preserve">When multiple signaling channels are available (monuments, exotic goods, feasting), the equilibrium allocation depends on the signal fidelity of each channel. Define fidelity</w:t>
      </w:r>
      <w:r>
        <w:t xml:space="preserve"> </w:t>
      </w:r>
      <m:oMath>
        <m:sSub>
          <m:e>
            <m:r>
              <m:t>ρ</m:t>
            </m:r>
          </m:e>
          <m:sub>
            <m:r>
              <m:t>j</m:t>
            </m:r>
          </m:sub>
        </m:sSub>
      </m:oMath>
      <w:r>
        <w:t xml:space="preserve"> </w:t>
      </w:r>
      <w:r>
        <w:t xml:space="preserve">for channel</w:t>
      </w:r>
      <w:r>
        <w:t xml:space="preserve"> </w:t>
      </w:r>
      <m:oMath>
        <m:r>
          <m:t>j</m:t>
        </m:r>
      </m:oMath>
      <w:r>
        <w:t xml:space="preserve"> </w:t>
      </w:r>
      <w:r>
        <w:t xml:space="preserve">as the correlation between the sender’s quality</w:t>
      </w:r>
      <w:r>
        <w:t xml:space="preserve"> </w:t>
      </w:r>
      <m:oMath>
        <m:r>
          <m:t>q</m:t>
        </m:r>
      </m:oMath>
      <w:r>
        <w:t xml:space="preserve"> </w:t>
      </w:r>
      <w:r>
        <w:t xml:space="preserve">and the receiver’s posterior belief</w:t>
      </w:r>
      <w:r>
        <w:t xml:space="preserve"> </w:t>
      </w:r>
      <m:oMath>
        <m:sSub>
          <m:e>
            <m:acc>
              <m:accPr>
                <m:chr m:val="̂"/>
              </m:accPr>
              <m:e>
                <m:r>
                  <m:t>q</m:t>
                </m:r>
              </m:e>
            </m:acc>
          </m:e>
          <m:sub>
            <m:r>
              <m:t>j</m:t>
            </m:r>
          </m:sub>
        </m:sSub>
      </m:oMath>
      <w:r>
        <w:t xml:space="preserve"> </w:t>
      </w:r>
      <w:r>
        <w:t xml:space="preserve">after observing the signal through channel</w:t>
      </w:r>
      <w:r>
        <w:t xml:space="preserve"> </w:t>
      </w:r>
      <m:oMath>
        <m:r>
          <m:t>j</m:t>
        </m:r>
      </m:oMath>
      <w:r>
        <w:t xml:space="preserve">. We do not assign numerical values to</w:t>
      </w:r>
      <w:r>
        <w:t xml:space="preserve"> </w:t>
      </w:r>
      <m:oMath>
        <m:sSub>
          <m:e>
            <m:r>
              <m:t>ρ</m:t>
            </m:r>
          </m:e>
          <m:sub>
            <m:r>
              <m:t>j</m:t>
            </m:r>
          </m:sub>
        </m:sSub>
      </m:oMath>
      <w:r>
        <w:t xml:space="preserve"> </w:t>
      </w:r>
      <w:r>
        <w:t xml:space="preserve">because no empirical estimation procedure currently exists for these quantities. The load-bearing assumption is the qualitative ordering:</w:t>
      </w:r>
      <w:r>
        <w:t xml:space="preserve"> </w:t>
      </w:r>
      <m:oMath>
        <m:sSub>
          <m:e>
            <m:r>
              <m:t>ρ</m:t>
            </m:r>
          </m:e>
          <m:sub>
            <m:r>
              <m:rPr>
                <m:nor/>
                <m:sty m:val="p"/>
              </m:rPr>
              <m:t>monument</m:t>
            </m:r>
          </m:sub>
        </m:sSub>
        <m:r>
          <m:rPr>
            <m:sty m:val="p"/>
          </m:rPr>
          <m:t>&gt;</m:t>
        </m:r>
        <m:sSub>
          <m:e>
            <m:r>
              <m:t>ρ</m:t>
            </m:r>
          </m:e>
          <m:sub>
            <m:r>
              <m:rPr>
                <m:nor/>
                <m:sty m:val="p"/>
              </m:rPr>
              <m:t>exotics</m:t>
            </m:r>
          </m:sub>
        </m:sSub>
      </m:oMath>
      <w:r>
        <w:t xml:space="preserve">.</w:t>
      </w:r>
    </w:p>
    <w:p>
      <w:pPr>
        <w:pStyle w:val="BodyText"/>
      </w:pPr>
      <w:r>
        <w:t xml:space="preserve">This ordering is justified by the structural properties of the two channels. Monument construction achieves high fidelity because the primary input (organized labor over sustained periods) is strongly correlated with the quality being signaled (productive capacity), and no shortcut exists: one cannot fake the organizational capacity required to build a 350-room masonry structure. Exotic goods have lower fidelity because procurement can be partially subsidized by stochastic events (a single successful trading expedition, an unusually productive source) that are uncorrelated with systematic productive capacity.</w:t>
      </w:r>
    </w:p>
    <w:p>
      <w:pPr>
        <w:pStyle w:val="BodyText"/>
      </w:pPr>
      <w:r>
        <w:t xml:space="preserve">When the signal audience values accuracy (as in partner assessment for cooperative relationships), the higher-fidelity channel dominates. When the audience values impressiveness (as in intra-elite display competition where the audience has independent information about the signaler), lower-fidelity channels can persist as complementary signals. This explains the dual-channel structure at Chaco: monuments dominate for intergroup and inter-community communication, while exotic goods persist for intra-elite competition. The conclusion is robust to any fidelity values satisfying the ordering assumption.</w:t>
      </w:r>
    </w:p>
    <w:bookmarkEnd w:id="52"/>
    <w:bookmarkStart w:id="53" w:name="a.5-lambda-sigma-sensitivity"/>
    <w:p>
      <w:pPr>
        <w:pStyle w:val="Heading3"/>
      </w:pPr>
      <w:r>
        <w:t xml:space="preserve">A.5 Lambda-Sigma Sensitivity</w:t>
      </w:r>
    </w:p>
    <w:p>
      <w:pPr>
        <w:pStyle w:val="FirstParagraph"/>
      </w:pPr>
      <w:r>
        <w:t xml:space="preserve">The main text specifies</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w:r>
        <w:t xml:space="preserve"> </w:t>
      </w:r>
      <w:r>
        <w:t xml:space="preserve">as the simplest monotonically increasing form. We verify robustness to the family</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for</w:t>
      </w:r>
      <w:r>
        <w:t xml:space="preserve"> </w:t>
      </w:r>
      <m:oMath>
        <m:r>
          <m:t>α</m:t>
        </m:r>
        <m:r>
          <m:rPr>
            <m:sty m:val="p"/>
          </m:rPr>
          <m:t>∈</m:t>
        </m:r>
        <m:r>
          <m:rPr>
            <m:sty m:val="p"/>
          </m:rPr>
          <m:t>(</m:t>
        </m:r>
        <m:r>
          <m:t>0</m:t>
        </m:r>
        <m:r>
          <m:rPr>
            <m:sty m:val="p"/>
          </m:rPr>
          <m:t>,</m:t>
        </m:r>
        <m:r>
          <m:t>2</m:t>
        </m:r>
        <m:r>
          <m:rPr>
            <m:sty m:val="p"/>
          </m:rPr>
          <m:t>]</m:t>
        </m:r>
      </m:oMath>
      <w:r>
        <w:t xml:space="preserve">.</w:t>
      </w:r>
    </w:p>
    <w:p>
      <w:pPr>
        <w:pStyle w:val="BodyText"/>
      </w:pPr>
      <w:r>
        <w:t xml:space="preserve">The equilibrium investment function becomes</w:t>
      </w:r>
      <w:r>
        <w:t xml:space="preserve"> </w:t>
      </w:r>
      <m:oMath>
        <m:sSup>
          <m:e>
            <m:r>
              <m:t>x</m:t>
            </m:r>
          </m:e>
          <m:sup>
            <m:r>
              <m:rPr>
                <m:sty m:val="p"/>
              </m:rPr>
              <m:t>*</m:t>
            </m:r>
          </m:sup>
        </m:sSup>
        <m:r>
          <m:rPr>
            <m:sty m:val="p"/>
          </m:rPr>
          <m:t>(</m:t>
        </m:r>
        <m:r>
          <m:t>q</m:t>
        </m:r>
        <m:r>
          <m:rPr>
            <m:sty m:val="p"/>
          </m:rPr>
          <m:t>,</m:t>
        </m:r>
        <m:r>
          <m:t>σ</m:t>
        </m:r>
        <m:r>
          <m:rPr>
            <m:sty m:val="p"/>
          </m:rPr>
          <m:t>)</m:t>
        </m:r>
        <m:r>
          <m:rPr>
            <m:sty m:val="p"/>
          </m:rPr>
          <m:t>=</m:t>
        </m:r>
        <m:rad>
          <m:radPr>
            <m:degHide m:val="on"/>
          </m:radPr>
          <m:deg/>
          <m:e>
            <m:r>
              <m:rPr>
                <m:sty m:val="p"/>
              </m:rPr>
              <m:t>(</m:t>
            </m:r>
            <m:sSub>
              <m:e>
                <m:r>
                  <m:t>λ</m:t>
                </m:r>
              </m:e>
              <m:sub>
                <m:r>
                  <m:t>0</m:t>
                </m:r>
              </m:sub>
            </m:sSub>
            <m:r>
              <m:rPr>
                <m:sty m:val="p"/>
              </m:rPr>
              <m:t>+</m:t>
            </m:r>
            <m:sSub>
              <m:e>
                <m:r>
                  <m:t>λ</m:t>
                </m:r>
              </m:e>
              <m:sub>
                <m:r>
                  <m:t>1</m:t>
                </m:r>
              </m:sub>
            </m:sSub>
            <m:sSup>
              <m:e>
                <m:r>
                  <m:t>σ</m:t>
                </m:r>
              </m:e>
              <m:sup>
                <m:r>
                  <m:t>α</m:t>
                </m:r>
              </m:sup>
            </m:sSup>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The key qualitative predictions are:</w:t>
      </w:r>
    </w:p>
    <w:p>
      <w:pPr>
        <w:pStyle w:val="Compact"/>
        <w:numPr>
          <w:ilvl w:val="0"/>
          <w:numId w:val="1002"/>
        </w:numPr>
      </w:pPr>
      <w:r>
        <w:rPr>
          <w:b/>
          <w:bCs/>
        </w:rPr>
        <w:t xml:space="preserve">Investment increases with uncertainty</w:t>
      </w:r>
      <w:r>
        <w:t xml:space="preserve"> </w:t>
      </w:r>
      <w:r>
        <w:t xml:space="preserve">(</w:t>
      </w:r>
      <m:oMath>
        <m:r>
          <m:rPr>
            <m:sty m:val="p"/>
          </m:rPr>
          <m:t>∂</m:t>
        </m:r>
        <m:sSup>
          <m:e>
            <m:r>
              <m:t>x</m:t>
            </m:r>
          </m:e>
          <m:sup>
            <m:r>
              <m:rPr>
                <m:sty m:val="p"/>
              </m:rPr>
              <m:t>*</m:t>
            </m:r>
          </m:sup>
        </m:sSup>
        <m:r>
          <m:rPr>
            <m:sty m:val="p"/>
          </m:rPr>
          <m:t>/</m:t>
        </m:r>
        <m:r>
          <m:rPr>
            <m:sty m:val="p"/>
          </m:rPr>
          <m:t>∂</m:t>
        </m:r>
        <m:r>
          <m:t>σ</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Higher-quality types invest more</w:t>
      </w:r>
      <w:r>
        <w:t xml:space="preserve"> </w:t>
      </w:r>
      <w:r>
        <w:t xml:space="preserve">(</w:t>
      </w:r>
      <m:oMath>
        <m:r>
          <m:rPr>
            <m:sty m:val="p"/>
          </m:rPr>
          <m:t>∂</m:t>
        </m:r>
        <m:sSup>
          <m:e>
            <m:r>
              <m:t>x</m:t>
            </m:r>
          </m:e>
          <m:sup>
            <m:r>
              <m:rPr>
                <m:sty m:val="p"/>
              </m:rPr>
              <m:t>*</m:t>
            </m:r>
          </m:sup>
        </m:sSup>
        <m:r>
          <m:rPr>
            <m:sty m:val="p"/>
          </m:rPr>
          <m:t>/</m:t>
        </m:r>
        <m:r>
          <m:rPr>
            <m:sty m:val="p"/>
          </m:rPr>
          <m:t>∂</m:t>
        </m:r>
        <m:r>
          <m:t>q</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System collapse when sigma exceeds buffering</w:t>
      </w:r>
      <w:r>
        <w:t xml:space="preserve">: for</w:t>
      </w:r>
      <w:r>
        <w:t xml:space="preserve"> </w:t>
      </w:r>
      <m:oMath>
        <m:r>
          <m:t>α</m:t>
        </m:r>
        <m:r>
          <m:rPr>
            <m:sty m:val="p"/>
          </m:rPr>
          <m:t>&lt;</m:t>
        </m:r>
        <m:r>
          <m:t>1</m:t>
        </m:r>
      </m:oMath>
      <w:r>
        <w:t xml:space="preserve"> </w:t>
      </w:r>
      <w:r>
        <w:t xml:space="preserve">(concave), the marginal return to signaling diminishes at high</w:t>
      </w:r>
      <w:r>
        <w:t xml:space="preserve"> </w:t>
      </w:r>
      <m:oMath>
        <m:r>
          <m:t>σ</m:t>
        </m:r>
      </m:oMath>
      <w:r>
        <w:t xml:space="preserve">, predicting that investment should plateau before collapse. For</w:t>
      </w:r>
      <w:r>
        <w:t xml:space="preserve"> </w:t>
      </w:r>
      <m:oMath>
        <m:r>
          <m:t>α</m:t>
        </m:r>
        <m:r>
          <m:rPr>
            <m:sty m:val="p"/>
          </m:rPr>
          <m:t>&gt;</m:t>
        </m:r>
        <m:r>
          <m:t>1</m:t>
        </m:r>
      </m:oMath>
      <w:r>
        <w:t xml:space="preserve"> </w:t>
      </w:r>
      <w:r>
        <w:t xml:space="preserve">(convex), returns accelerate, predicting abrupt collapse. The linear case (</w:t>
      </w:r>
      <m:oMath>
        <m:r>
          <m:t>α</m:t>
        </m:r>
        <m:r>
          <m:rPr>
            <m:sty m:val="p"/>
          </m:rPr>
          <m:t>=</m:t>
        </m:r>
        <m:r>
          <m:t>1</m:t>
        </m:r>
      </m:oMath>
      <w:r>
        <w:t xml:space="preserve">) is intermediate. The Chaco evidence, with its pre-drought construction decline, may be more consistent with</w:t>
      </w:r>
      <w:r>
        <w:t xml:space="preserve"> </w:t>
      </w:r>
      <m:oMath>
        <m:r>
          <m:t>α</m:t>
        </m:r>
        <m:r>
          <m:rPr>
            <m:sty m:val="p"/>
          </m:rPr>
          <m:t>&lt;</m:t>
        </m:r>
        <m:r>
          <m:t>1</m:t>
        </m:r>
      </m:oMath>
      <w:r>
        <w:t xml:space="preserve">.</w:t>
      </w:r>
    </w:p>
    <w:p>
      <w:pPr>
        <w:pStyle w:val="FirstParagraph"/>
      </w:pPr>
      <w:r>
        <w:t xml:space="preserve">Distinguishing among values of</w:t>
      </w:r>
      <w:r>
        <w:t xml:space="preserve"> </w:t>
      </w:r>
      <m:oMath>
        <m:r>
          <m:t>α</m:t>
        </m:r>
      </m:oMath>
      <w:r>
        <w:t xml:space="preserve"> </w:t>
      </w:r>
      <w:r>
        <w:t xml:space="preserve">requires the annual-resolution construction-PMDI correlation analysis specified in Section 6.6.</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2026-03-27T18:52:14Z</dcterms:created>
  <dcterms:modified xsi:type="dcterms:W3CDTF">2026-03-27T18:52:14Z</dcterms:modified>
</cp:coreProperties>
</file>

<file path=docProps/custom.xml><?xml version="1.0" encoding="utf-8"?>
<Properties xmlns="http://schemas.openxmlformats.org/officeDocument/2006/custom-properties" xmlns:vt="http://schemas.openxmlformats.org/officeDocument/2006/docPropsVTypes"/>
</file>