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38f0ac182b6c7ba93a42d3d48ce873b4190b1a4"/>
    <w:p>
      <w:pPr>
        <w:pStyle w:val="Heading1"/>
      </w:pPr>
      <w:r>
        <w:t xml:space="preserve">Formalizing Costly Signaling at Chaco Canyon: A Multilevel Model of Monumental Architecture, Exotic Goods, and Cooperation Networks Under Environmental Uncertainty</w:t>
      </w:r>
    </w:p>
    <w:p>
      <w:pPr>
        <w:pStyle w:val="FirstParagraph"/>
      </w:pPr>
      <w:r>
        <w:rPr>
          <w:i/>
          <w:iCs/>
        </w:rPr>
        <w:t xml:space="preserve">Running title: Costly Signaling at Chaco Canyon</w:t>
      </w:r>
    </w:p>
    <w:p>
      <w:pPr>
        <w:pStyle w:val="BodyText"/>
      </w:pPr>
      <w:r>
        <w:t xml:space="preserve">Carl P. Lipo^1,* and Robert J. DiNapoli^2</w:t>
      </w:r>
    </w:p>
    <w:p>
      <w:pPr>
        <w:pStyle w:val="BodyText"/>
      </w:pPr>
      <w:r>
        <w:t xml:space="preserve">^1 Department of Anthropology, Binghamton University, Binghamton, NY 13902, USA</w:t>
      </w:r>
      <w:r>
        <w:t xml:space="preserve"> </w:t>
      </w:r>
      <w:r>
        <w:t xml:space="preserve">^2 Department of Anthropology, Binghamton University, Binghamton, NY 13902, USA</w:t>
      </w:r>
    </w:p>
    <w:p>
      <w:pPr>
        <w:pStyle w:val="BodyText"/>
      </w:pPr>
      <w:r>
        <w:t xml:space="preserve">*Corresponding author: clipo@binghamton.edu</w:t>
      </w:r>
    </w:p>
    <w:bookmarkStart w:id="9" w:name="abstract"/>
    <w:p>
      <w:pPr>
        <w:pStyle w:val="Heading2"/>
      </w:pPr>
      <w:r>
        <w:t xml:space="preserve">Abstract</w:t>
      </w:r>
    </w:p>
    <w:p>
      <w:pPr>
        <w:pStyle w:val="FirstParagraph"/>
      </w:pPr>
      <w:r>
        <w:t xml:space="preserve">Chaco Canyon (850-1150 CE) presents one of archaeology’s most persistent puzzles: massive investment in monumental architecture and long-distance exchange in one of the most marginal environments of the American Southwest. Despite decades of research and an extraordinarily rich archaeological record, interpretations of Chaco have cycled through competing narrative frameworks without building cumulative, testable knowledge. Prior applications of costly signaling theory to Chaco have been productive but remain verbal and qualitative, lacking the formal models necessary to generate falsifiable predictions. We develop and apply a three-layer signaling framework derived from first principles. The model operates at three nested scales. Layer 1 establishes individual signaling equilibria through the Spence condition for condition-dependent signaling, resolving the free-rider problem by demonstrating that monument investment is individually rational for every participant above minimum quality. Layer 2 models intergroup assessment, in which aggregate monument stock reduces conflict probability through mutual deterrence. Layer 3 embeds signaling within cooperation networks linked to environmental uncertainty through an endogenous feedback: higher uncertainty increases the value of exchange networks, which increases returns to monument signaling, which builds denser networks. We parameterize the model with Chaco-specific data, including dendrochronological construction dates, PMDI paleoclimate reconstructions, burial assemblage analyses, social network reconstructions, and GIS-based visibility studies. From the parameterized model, we derive eight testable predictions concerning quality-dependent investment, elite exotic goods concentration, signal observability, conflict reduction during signaling, construction-uncertainty correlations, network-construction co-evolution, signal depreciation dynamics, and system collapse. Five predictions are strongly supported and three are partially supported by independent evidence. The model explains why investment concentrated in a marginal environment (uncertainty makes signaling adaptive), why construction intensified during high-variability periods (endogenous lambda-sigma feedback), why violence was low during the florescence (mutual assessment through monuments), and why the system collapsed rapidly after 1130 CE (environmental stress exceeded buffering capacity). This paper establishes the formal framework that transforms the productive but informal insights of Kantner and Vaughn (2012), Safi (2015), and Quinn (2019) into a progressive research programme capable of cumulative empirical evaluation.</w:t>
      </w:r>
    </w:p>
    <w:p>
      <w:pPr>
        <w:pStyle w:val="BodyText"/>
      </w:pPr>
      <w:r>
        <w:rPr>
          <w:b/>
          <w:bCs/>
        </w:rPr>
        <w:t xml:space="preserve">Keywords:</w:t>
      </w:r>
      <w:r>
        <w:t xml:space="preserve"> </w:t>
      </w:r>
      <w:r>
        <w:t xml:space="preserve">Chaco Canyon, costly signaling theory, condition-dependent signaling, Spence condition, monumental architecture, environmental uncertainty, cooperation networks, research programme, cumulative knowledge</w:t>
      </w:r>
    </w:p>
    <w:bookmarkEnd w:id="9"/>
    <w:bookmarkEnd w:id="10"/>
    <w:bookmarkStart w:id="56" w:name="introduction"/>
    <w:p>
      <w:pPr>
        <w:pStyle w:val="Heading1"/>
      </w:pPr>
      <w:r>
        <w:t xml:space="preserve">1. Introduction</w:t>
      </w:r>
    </w:p>
    <w:bookmarkStart w:id="11" w:name="the-chaco-problem"/>
    <w:p>
      <w:pPr>
        <w:pStyle w:val="Heading2"/>
      </w:pPr>
      <w:r>
        <w:t xml:space="preserve">1.1 The Chaco Problem</w:t>
      </w:r>
    </w:p>
    <w:p>
      <w:pPr>
        <w:pStyle w:val="FirstParagraph"/>
      </w:pPr>
      <w:r>
        <w:t xml:space="preserve">Chaco Canyon presents one of the most striking paradoxes in the archaeology of the pre-Hispanic Southwest. Between roughly 850 and 1150 CE, communities in this arid, marginal canyon in northwestern New Mexico constructed some of the largest buildings in North America north of Mexico, accumulated exotic goods from sources hundreds or thousands of kilometers distant, and sustained a regional network spanning the San Juan Basin. The scale of this investment is difficult to reconcile with the environment in which it occurred.</w:t>
      </w:r>
    </w:p>
    <w:p>
      <w:pPr>
        <w:pStyle w:val="BodyText"/>
      </w:pPr>
      <w:r>
        <w:t xml:space="preserve">Pueblo Bonito, the largest great house, contained more than 350 ground-floor rooms, rose four stories, and incorporated 32 kivas over roughly two centuries of episodic construction (Lekson 2006). It was not alone; at least a dozen major great houses were built within the canyon, and approximately 150 outlier great houses were constructed across the broader region. The labor demands of this construction were substantial. Recent estimates suggest that individual construction stages at Pueblo Bonito required up to 192,000 person-hours (Wills et al. 2022), far exceeding what resident canyon populations could have supplied without external recruitment.</w:t>
      </w:r>
    </w:p>
    <w:p>
      <w:pPr>
        <w:pStyle w:val="BodyText"/>
      </w:pPr>
      <w:r>
        <w:t xml:space="preserve">The material assemblages recovered from these structures are equally remarkable. More than 200,000 pieces of turquoise have been recovered from the canyon, sourced from deposits at least 200 km distant in the Cerrillos Hills and elsewhere (Mathien 2001). Scarlet macaws, native to tropical forests more than 1,800 km to the south in Mexico, were present in the canyon by AD 900, earlier than previously recognized and well before the peak of great house construction (Watson et al. 2015). Cacao, another Mesoamerican import with no local equivalent, was consumed in cylinder jars at Pueblo Bonito (Crown and Hurst 2009). Marine shell and copper bells from western Mexico further attest to long-distance procurement networks that linked the canyon to distant source regions.</w:t>
      </w:r>
    </w:p>
    <w:p>
      <w:pPr>
        <w:pStyle w:val="BodyText"/>
      </w:pPr>
      <w:r>
        <w:t xml:space="preserve">These investments took place in an environment that could barely support the population making them. Chaco Canyon sits at approximately 1,890 m elevation in the San Juan Basin, receiving less than 230 mm of annual precipitation. Agricultural productivity was marginal under the best conditions and catastrophically insufficient during drought. Estimates of the canyon’s sustainable carrying capacity converge on approximately 1,000 to 1,150 people (Benson et al. 2019), a figure that accounts for available arable land, water, and wild resource procurement. Even allowing for seasonal influx under pilgrimage models, the resident population capable of year-round subsistence was small relative to the labor and organizational demands of what was built there.</w:t>
      </w:r>
    </w:p>
    <w:p>
      <w:pPr>
        <w:pStyle w:val="BodyText"/>
      </w:pPr>
      <w:r>
        <w:t xml:space="preserve">The environmental context compounds the puzzle. Speleothem-based reconstructions of hydroclimate variability across the Colorado Plateau demonstrate that the entire Pueblo period (roughly 500 to 1300 CE) was the driest and most variable interval of the last 3,400 years (Polyak et al. 2022). Chaco’s florescence did not occur during a period of unusual abundance that might have generated surpluses available for monumental construction. It occurred during a period of elevated aridity and heightened climatic unpredictability, punctuated by severe multi-year droughts driven by ENSO variability.</w:t>
      </w:r>
    </w:p>
    <w:p>
      <w:pPr>
        <w:pStyle w:val="BodyText"/>
      </w:pPr>
      <w:r>
        <w:t xml:space="preserve">The central puzzle, then, is not simply that people built large structures in the desert. It is that the location of greatest investment was, by every available environmental measure, the location least suited to support it. Any satisfactory explanation of Chaco must account for this relationship between environmental marginality and extraordinary resource commitment. Frameworks that treat monumental construction as a consequence of surplus accumulation, political centralization, or favorable environmental conditions cannot explain why investment concentrated precisely where conditions were worst.</w:t>
      </w:r>
    </w:p>
    <w:bookmarkEnd w:id="11"/>
    <w:bookmarkStart w:id="12" w:name="prior-interpretations-and-their-limits"/>
    <w:p>
      <w:pPr>
        <w:pStyle w:val="Heading2"/>
      </w:pPr>
      <w:r>
        <w:t xml:space="preserve">1.2 Prior Interpretations and Their Limits</w:t>
      </w:r>
    </w:p>
    <w:p>
      <w:pPr>
        <w:pStyle w:val="FirstParagraph"/>
      </w:pPr>
      <w:r>
        <w:t xml:space="preserve">Several interpretive frameworks have been applied to Chaco Canyon, each capturing important aspects of the archaeological record while leaving central questions unresolved.</w:t>
      </w:r>
    </w:p>
    <w:p>
      <w:pPr>
        <w:pStyle w:val="BodyText"/>
      </w:pPr>
      <w:r>
        <w:t xml:space="preserve">Political hierarchy models treat the great houses as elite residences and the exotic goods as status markers controlled by a ruling class (Lekson 2006). In this view, Chaco was a politically centralized system in which leaders directed construction, controlled trade, and maintained authority through differential access to prestige goods. The archaeological evidence for this interpretation is mixed. The distribution of exotic goods is indeed uneven; the burial assemblages in Room 33 at Pueblo Bonito, with their extraordinary concentrations of turquoise and other materials, are consistent with marked social differentiation (Plog and Heitman 2010). However, evidence for coercive control is limited. Great houses lack fortification, are not defensively sited, and show little evidence of storage capacity sufficient for redistributive economies. The residential use of great houses has itself been questioned; room-to-hearth ratios suggest that many rooms were not domestic spaces, and the buildings may have served primarily ceremonial or communal functions rather than housing a political elite (Windes 1987). The political hierarchy model also does not explain the timing of investment or its concentration in an environmentally marginal location.</w:t>
      </w:r>
    </w:p>
    <w:p>
      <w:pPr>
        <w:pStyle w:val="BodyText"/>
      </w:pPr>
      <w:r>
        <w:t xml:space="preserve">Pilgrimage and ritual models interpret the great houses as ceremonial centers that attracted periodic gatherings from across the region (Judge 1989, Renfrew 2001). Under this framework, the canyon was a sacred landscape rather than a population center, and great house construction served to mark and maintain ritual significance. Road networks, the alignment of structures with astronomical phenomena, and the low ratio of residential to ceremonial space are consistent with this interpretation. The pilgrimage model addresses the mismatch between carrying capacity and construction scale by positing that labor was mobilized seasonally from outlying communities. However, as an explanatory framework it is largely unfalsifiable. It does not specify what conditions would lead communities to invest more or less in pilgrimage infrastructure, it cannot predict the timing or intensity of construction episodes, and it does not account for why ritual centrality would develop in a location of such pronounced environmental disadvantage rather than in one of the better-watered and more productive settings available in the region.</w:t>
      </w:r>
    </w:p>
    <w:p>
      <w:pPr>
        <w:pStyle w:val="BodyText"/>
      </w:pPr>
      <w:r>
        <w:t xml:space="preserve">Ecological adaptation models emphasize the environmental constraints on Chaco populations and the strategies used to cope with them (Benson et al. 2019). These approaches have produced important quantitative estimates of carrying capacity, agricultural productivity, and the timing of environmental stress. They explain why the system eventually failed: a prolonged megadrought beginning around 1130 CE exceeded the capacity of any coping strategy. What they cannot explain is the positive case. If the environment was as marginal as these analyses demonstrate, why did communities invest so heavily in construction and exotic good procurement rather than relocating to more favorable settings? Environmental models are strong on constraint identification but weak on explaining the behavior that occurred within those constraints.</w:t>
      </w:r>
    </w:p>
    <w:p>
      <w:pPr>
        <w:pStyle w:val="BodyText"/>
      </w:pPr>
      <w:r>
        <w:t xml:space="preserve">Labor recruitment models propose that great house groups grew and maintained themselves by actively recruiting labor from surrounding populations (Wills 2017). In this view, construction was not merely an expression of accumulated wealth or political authority but a mechanism for attracting and organizing labor. Wills himself notes that outlier great houses</w:t>
      </w:r>
      <w:r>
        <w:t xml:space="preserve"> </w:t>
      </w:r>
      <w:r>
        <w:t xml:space="preserve">“signaled”</w:t>
      </w:r>
      <w:r>
        <w:t xml:space="preserve"> </w:t>
      </w:r>
      <w:r>
        <w:t xml:space="preserve">corporate group control over territory and resources (p. 398), a framing that is structurally compatible with costly signaling theory. This interpretation captures an important dynamic, the relationship between visible investment and labor mobilization, but it lacks a formal framework specifying under what conditions such signaling would be adaptive, what determines its intensity, or why it would concentrate in marginal environments.</w:t>
      </w:r>
    </w:p>
    <w:p>
      <w:pPr>
        <w:pStyle w:val="BodyText"/>
      </w:pPr>
      <w:r>
        <w:t xml:space="preserve">These interpretive frameworks share a common limitation. As Quinn (2019) observes in a comprehensive review, explanations of Chaco and similar cases remain</w:t>
      </w:r>
      <w:r>
        <w:t xml:space="preserve"> </w:t>
      </w:r>
      <w:r>
        <w:t xml:space="preserve">“largely qualitative and descriptive”</w:t>
      </w:r>
      <w:r>
        <w:t xml:space="preserve"> </w:t>
      </w:r>
      <w:r>
        <w:t xml:space="preserve">rather than generating testable, quantitative predictions. Each framework identifies plausible mechanisms but none specifies the conditions under which those mechanisms should produce the observed patterns, the thresholds at which behavior should change, or the quantitative relationships between environmental parameters and investment decisions. The result is a set of interpretations that can accommodate the evidence post hoc but cannot predict it.</w:t>
      </w:r>
    </w:p>
    <w:p>
      <w:pPr>
        <w:pStyle w:val="BodyText"/>
      </w:pPr>
      <w:r>
        <w:t xml:space="preserve">The problem runs deeper than any single framework. Chaco scholarship has been characterized by a succession of</w:t>
      </w:r>
      <w:r>
        <w:t xml:space="preserve"> </w:t>
      </w:r>
      <w:r>
        <w:t xml:space="preserve">“changing perspectives,”</w:t>
      </w:r>
      <w:r>
        <w:t xml:space="preserve"> </w:t>
      </w:r>
      <w:r>
        <w:t xml:space="preserve">each reframing the canyon through a different interpretive lens without building cumulatively on the testable claims of its predecessors. The pattern is visible in the publication record itself. A systematic title search of the OpenAlex bibliographic database (Priem et al. 2022) reveals a recurring cycle of volumes and syntheses, each announcing fresh approaches to the same unresolved questions:</w:t>
      </w:r>
      <w:r>
        <w:t xml:space="preserve"> </w:t>
      </w:r>
      <w:r>
        <w:rPr>
          <w:i/>
          <w:iCs/>
        </w:rPr>
        <w:t xml:space="preserve">New Perspectives on the Pueblos</w:t>
      </w:r>
      <w:r>
        <w:t xml:space="preserve"> </w:t>
      </w:r>
      <w:r>
        <w:t xml:space="preserve">(Ortiz 1972),</w:t>
      </w:r>
      <w:r>
        <w:t xml:space="preserve"> </w:t>
      </w:r>
      <w:r>
        <w:rPr>
          <w:i/>
          <w:iCs/>
        </w:rPr>
        <w:t xml:space="preserve">New Light on Chaco Canyon</w:t>
      </w:r>
      <w:r>
        <w:t xml:space="preserve"> </w:t>
      </w:r>
      <w:r>
        <w:t xml:space="preserve">(Noble 1984),</w:t>
      </w:r>
      <w:r>
        <w:t xml:space="preserve"> </w:t>
      </w:r>
      <w:r>
        <w:rPr>
          <w:i/>
          <w:iCs/>
        </w:rPr>
        <w:t xml:space="preserve">The Anasazi in a Changing Environment</w:t>
      </w:r>
      <w:r>
        <w:t xml:space="preserve"> </w:t>
      </w:r>
      <w:r>
        <w:t xml:space="preserve">(Gumerman 1988),</w:t>
      </w:r>
      <w:r>
        <w:t xml:space="preserve"> </w:t>
      </w:r>
      <w:r>
        <w:rPr>
          <w:i/>
          <w:iCs/>
        </w:rPr>
        <w:t xml:space="preserve">Dynamics of Southwest Prehistory</w:t>
      </w:r>
      <w:r>
        <w:t xml:space="preserve"> </w:t>
      </w:r>
      <w:r>
        <w:t xml:space="preserve">(Cordell and Gumerman 1989),</w:t>
      </w:r>
      <w:r>
        <w:t xml:space="preserve"> </w:t>
      </w:r>
      <w:r>
        <w:rPr>
          <w:i/>
          <w:iCs/>
        </w:rPr>
        <w:t xml:space="preserve">Chaco and Hohokam: Prehistoric Regional Systems</w:t>
      </w:r>
      <w:r>
        <w:t xml:space="preserve"> </w:t>
      </w:r>
      <w:r>
        <w:t xml:space="preserve">(Crown and Judge 1991),</w:t>
      </w:r>
      <w:r>
        <w:t xml:space="preserve"> </w:t>
      </w:r>
      <w:r>
        <w:rPr>
          <w:i/>
          <w:iCs/>
        </w:rPr>
        <w:t xml:space="preserve">Themes in Southwest Prehistory</w:t>
      </w:r>
      <w:r>
        <w:t xml:space="preserve"> </w:t>
      </w:r>
      <w:r>
        <w:t xml:space="preserve">(Gumerman 1994),</w:t>
      </w:r>
      <w:r>
        <w:t xml:space="preserve"> </w:t>
      </w:r>
      <w:r>
        <w:rPr>
          <w:i/>
          <w:iCs/>
        </w:rPr>
        <w:t xml:space="preserve">In Search of Chaco: New Approaches to an Archaeological Enigma</w:t>
      </w:r>
      <w:r>
        <w:t xml:space="preserve"> </w:t>
      </w:r>
      <w:r>
        <w:t xml:space="preserve">(Noble 2004),</w:t>
      </w:r>
      <w:r>
        <w:t xml:space="preserve"> </w:t>
      </w:r>
      <w:r>
        <w:rPr>
          <w:i/>
          <w:iCs/>
        </w:rPr>
        <w:t xml:space="preserve">The Archaeology of Chaco Canyon</w:t>
      </w:r>
      <w:r>
        <w:t xml:space="preserve"> </w:t>
      </w:r>
      <w:r>
        <w:t xml:space="preserve">(Lekson 2006),</w:t>
      </w:r>
      <w:r>
        <w:t xml:space="preserve"> </w:t>
      </w:r>
      <w:r>
        <w:rPr>
          <w:i/>
          <w:iCs/>
        </w:rPr>
        <w:t xml:space="preserve">Chaco Revisited: New Research on the Prehistory of Chaco Canyon</w:t>
      </w:r>
      <w:r>
        <w:t xml:space="preserve"> </w:t>
      </w:r>
      <w:r>
        <w:t xml:space="preserve">(Heitman and Plog 2015), and</w:t>
      </w:r>
      <w:r>
        <w:t xml:space="preserve"> </w:t>
      </w:r>
      <w:r>
        <w:rPr>
          <w:i/>
          <w:iCs/>
        </w:rPr>
        <w:t xml:space="preserve">The Greater Chaco Landscape: Ancestors, Scholarship, and Advocacy</w:t>
      </w:r>
      <w:r>
        <w:t xml:space="preserve"> </w:t>
      </w:r>
      <w:r>
        <w:t xml:space="preserve">(Van Dyke and Heitman 2021). Each generation of scholars has offered new</w:t>
      </w:r>
      <w:r>
        <w:t xml:space="preserve"> </w:t>
      </w:r>
      <w:r>
        <w:t xml:space="preserve">“perspectives,”</w:t>
      </w:r>
      <w:r>
        <w:t xml:space="preserve"> </w:t>
      </w:r>
      <w:r>
        <w:t xml:space="preserve">“approaches,”</w:t>
      </w:r>
      <w:r>
        <w:t xml:space="preserve"> </w:t>
      </w:r>
      <w:r>
        <w:t xml:space="preserve">and</w:t>
      </w:r>
      <w:r>
        <w:t xml:space="preserve"> </w:t>
      </w:r>
      <w:r>
        <w:t xml:space="preserve">“light”</w:t>
      </w:r>
      <w:r>
        <w:t xml:space="preserve"> </w:t>
      </w:r>
      <w:r>
        <w:t xml:space="preserve">on Chaco, yet the core interpretive questions, whether Chaco was hierarchical or egalitarian, whether outlier communities were integrated or autonomous, whether the driving force was ecological, political, or ritual, remain unresolved after five decades and at least a dozen major syntheses. Political hierarchy, ritual pilgrimage, ecological adaptation, labor recruitment, and dual-system models (Vivian 1990) have followed one another without any framework being formally refuted, superseded by a more precise alternative, or integrated into a unified account. Vivian’s influential proposal of parallel sociopolitical systems within the canyon, one organized around great houses and another around small-house communities, is directly relevant to the quality stratification that a signaling model must address: the question is whether great houses and small-house communities represent fundamentally different organizational principles or quality-differentiated participants in the same signaling system. This is not a failure of effort or data; it reflects what Perreault (2019) diagnoses as underdetermination, in which verbal narratives were never formalized to the point where they generate distinguishable predictions that the archaeological record could adjudicate.</w:t>
      </w:r>
    </w:p>
    <w:p>
      <w:pPr>
        <w:pStyle w:val="BodyText"/>
      </w:pPr>
      <w:r>
        <w:t xml:space="preserve">The philosophy of science offers a clear diagnosis. Lakatos (1970) distinguishes between progressive and degenerating research programmes: a programme is progressive when successive theories predict novel facts that are subsequently confirmed, and degenerating when new formulations merely accommodate known observations without predicting anything new. By this criterion, the interpretive frameworks applied to Chaco have been largely degenerating: each reinterprets the same evidence, great houses, exotic goods, environmental marginality, without specifying what novel observations would confirm or refute it. This diagnosis applies to the succession of narrative frameworks, not to Chaco empirical research as a whole. The empirical work on Chaco has been genuinely productive: dendrochronological dating (Guiterman et al. 2015), archaeogenomics (Kennett et al. 2017), network analysis (Mills et al. 2013), and paleoclimate reconstruction (Polyak et al. 2022) have all produced novel findings that reshaped understanding. The problem is that the interpretive frameworks consuming these findings have not been formalized to the point where the findings could adjudicate among them.</w:t>
      </w:r>
    </w:p>
    <w:p>
      <w:pPr>
        <w:pStyle w:val="BodyText"/>
      </w:pPr>
      <w:r>
        <w:t xml:space="preserve">Kitcher (1981) argues that scientific understanding advances through unification: explaining diverse phenomena through a small number of formal argument patterns rather than through separate ad hoc accounts for each observation. A framework that can derive monument construction, exotic goods acquisition, conflict patterns, and network dynamics from a single set of equilibrium conditions represents a gain in unification over four separate narrative accounts of each phenomenon. Mayo (2018) provides the evidential criterion: data provide evidence for a claim only when the claim has been subjected to a test that would probably have found it flawed if it were false. Narrative frameworks that can accommodate any pattern of evidence have not been severely tested, regardless of how plausible they appear. These two criteria, Lakatos’s progressiveness and Mayo’s severity, serve different functions. Progressiveness evaluates the trajectory of a research programme across predictions: does it generate novel, testable claims? Severity evaluates individual predictions: has a specific claim survived a test that could have falsified it? A programme can be progressive (generating novel predictions) while individual predictions within it fail severe tests, provided the failures are reported honestly and the programme specifies how to resolve them. We apply both criteria throughout the evidence evaluation (Section 5), noting explicitly where predictions have and have not been severely tested.</w:t>
      </w:r>
    </w:p>
    <w:p>
      <w:pPr>
        <w:pStyle w:val="BodyText"/>
      </w:pPr>
      <w:r>
        <w:t xml:space="preserve">The problem is not that Chaco Canyon lacks data. The archaeological record of Chaco is extraordinarily rich: 240,000 dendrochronologically dated timbers (Guiterman et al. 2015), multi-millennial paleoclimate proxies at annual resolution (Cook et al. 2004; Polyak et al. 2022), archaeogenomic identification of specific lineages (Kennett et al. 2017), regional ceramic similarity networks reconstructed from 4.3 million sherds (Mills et al. 2013), and landscape-scale visibility and acoustic analyses (Dungan et al. 2018; Van Dyke et al. 2024). The problem is that disparate interpretive approaches have not been formalized sufficiently to be tested against this evidence in ways that could cumulatively advance understanding. Building cumulative knowledge requires describing the world in terms that generate falsifiable claims, specifying the conditions under which those claims should hold, and identifying the observations that would distinguish among competing accounts. That is the task this paper undertakes.</w:t>
      </w:r>
    </w:p>
    <w:bookmarkEnd w:id="12"/>
    <w:bookmarkStart w:id="13" w:name="Xcd22f08d66c7393f79c814c7800649f8ab4f5cf"/>
    <w:p>
      <w:pPr>
        <w:pStyle w:val="Heading2"/>
      </w:pPr>
      <w:r>
        <w:t xml:space="preserve">1.3 Prior Applications of Costly Signaling Theory to Chaco</w:t>
      </w:r>
    </w:p>
    <w:p>
      <w:pPr>
        <w:pStyle w:val="FirstParagraph"/>
      </w:pPr>
      <w:r>
        <w:t xml:space="preserve">Costly signaling theory (CST) offers a framework that connects environmental uncertainty to costly investment through formal equilibrium conditions, but its application to Chaco Canyon has remained informal.</w:t>
      </w:r>
    </w:p>
    <w:p>
      <w:pPr>
        <w:pStyle w:val="BodyText"/>
      </w:pPr>
      <w:r>
        <w:t xml:space="preserve">Kantner and Vaughn (2012) published the only explicit CST application to Chaco Canyon in the archaeological literature. Their model identifies two signaling channels operating simultaneously: pilgrimage as a costly signal of commitment by participants, and the construction and maintenance of pilgrimage centers as a costly signal of leader status and organizational capacity. Pilgrims incur travel costs that honestly advertise their commitment to the regional network; hosts incur construction and provisioning costs that advertise their capacity to organize and sustain large gatherings. This dual-signal framework anticipates the multi-scale structure that formal models require, recognizing that signaling operates at both individual and group levels within the Chaco system. However, the analysis is entirely verbal. Kantner and Vaughn do not specify equilibrium conditions, do not model the relationship between environmental parameters and signaling intensity, and do not derive quantitative predictions that could be tested against independent data. The framework identifies the right kind of mechanism but does not formalize it.</w:t>
      </w:r>
    </w:p>
    <w:p>
      <w:pPr>
        <w:pStyle w:val="BodyText"/>
      </w:pPr>
      <w:r>
        <w:t xml:space="preserve">Safi (2015) applied costly signaling theory to outlier great houses in the southern Cibola region in a doctoral dissertation that represents the most systematic empirical evaluation of CST predictions at Chaco-affiliated sites. Safi developed a two-audience framework in which great house construction signals to two distinct audiences simultaneously: an internal audience of potential community members whom the signal is designed to attract, and an external audience of rival groups whom the signal is designed to deter. From this framework, Safi derived 17 specific data expectations concerning the placement, visibility, size, and associated assemblages of outlier great houses and evaluated each against archaeological evidence from the study area. Eleven of the 17 expectations were supported, a substantial rate of confirmation for an archaeological application. Safi’s work demonstrates that CST generates empirically productive expectations for Chaco-affiliated architecture. The primary limitation is that the analysis remains entirely verbal and qualitative. Safi specifies no formal model, derives no equilibrium conditions, and explicitly rejects environmental uncertainty as a driver of construction decisions, a position that formal models of condition-dependent signaling call into question.</w:t>
      </w:r>
    </w:p>
    <w:p>
      <w:pPr>
        <w:pStyle w:val="BodyText"/>
      </w:pPr>
      <w:r>
        <w:t xml:space="preserve">Quinn (2019) provides a comprehensive review of costly signaling theory applications across archaeology, evaluating the strengths and limitations of the framework as it has been deployed. Quinn identifies a persistent gap: most archaeological applications of CST are qualitative, lack equilibrium analysis, and do not specify the conditions under which signaling should be adaptive versus maladaptive. The review calls explicitly for</w:t>
      </w:r>
      <w:r>
        <w:t xml:space="preserve"> </w:t>
      </w:r>
      <w:r>
        <w:t xml:space="preserve">“a more rigorous analytical framework”</w:t>
      </w:r>
      <w:r>
        <w:t xml:space="preserve"> </w:t>
      </w:r>
      <w:r>
        <w:t xml:space="preserve">that would move beyond verbal plausibility arguments to formal models capable of generating testable predictions. Quinn’s critique applies directly to the Chaco case, where existing CST applications have identified signaling dynamics without formalizing them.</w:t>
      </w:r>
    </w:p>
    <w:p>
      <w:pPr>
        <w:pStyle w:val="BodyText"/>
      </w:pPr>
      <w:r>
        <w:t xml:space="preserve">The state of the literature, then, is one of recognized potential and acknowledged limitation. Multiple scholars have identified costly signaling as a productive framework for understanding Chaco Canyon. The dual-signal and two-audience structures proposed by Kantner and Vaughn (2012) and Safi (2015) correctly anticipate the multi-scale character of the system. Quinn (2019) has clearly articulated what is missing: formal models that derive signaling behavior from specified conditions and generate quantitative, falsifiable predictions. No published work has yet filled this gap for Chaco Canyon.</w:t>
      </w:r>
    </w:p>
    <w:bookmarkEnd w:id="13"/>
    <w:bookmarkStart w:id="45" w:name="this-paper"/>
    <w:p>
      <w:pPr>
        <w:pStyle w:val="Heading2"/>
      </w:pPr>
      <w:r>
        <w:t xml:space="preserve">1.4 This Paper</w:t>
      </w:r>
    </w:p>
    <w:p>
      <w:pPr>
        <w:pStyle w:val="FirstParagraph"/>
      </w:pPr>
      <w:r>
        <w:t xml:space="preserve">This paper constitutes the first stage of a research programme that applies formal signaling theory to the Chaco Canyon archaeological record. The goal is not to tell another Chaco story but to establish a theoretical framework that generates falsifiable predictions, specifies the conditions under which those predictions hold, and identifies the empirical tests that would distinguish among competing accounts. In Lakatos’s (1970) terms, we aim to demonstrate that costly signaling theory applied to Chaco is a progressive programme: one that predicts novel facts beyond what motivated its construction, rather than merely accommodating evidence already known.</w:t>
      </w:r>
    </w:p>
    <w:p>
      <w:pPr>
        <w:pStyle w:val="BodyText"/>
      </w:pPr>
      <w:r>
        <w:t xml:space="preserve">We develop a three-layer signaling model derived from first principles, using the Spence condition for condition-dependent signaling at the individual level, sequential assessment theory at the intergroup level, and cooperation network dynamics linking signaling to environmental uncertainty. Rather than assuming that signaling is adaptive and asking what it communicates, the model specifies the conditions under which costly signaling constitutes an evolutionarily stable strategy and the conditions under which it does not. The formal derivations, proofs of equilibrium uniqueness, and sensitivity analyses are presented in Appendix A; here we focus on the core equations and their archaeological interpretation.</w:t>
      </w:r>
    </w:p>
    <w:p>
      <w:pPr>
        <w:pStyle w:val="BodyText"/>
      </w:pPr>
      <w:r>
        <w:t xml:space="preserve">The model operates at three nested layers. The first layer establishes the individual signaling equilibrium: the conditions under which agents of different quality levels find it advantageous to produce costly signals rather than retain resources for direct consumption. The second layer models intergroup assessment, in which corporate groups evaluate one another’s capacity through observable monumental investment, reducing conflict through mutual deterrence. The third layer captures cooperation networks with environmental feedback, linking signaling intensity to climatic variability through a lambda-sigma dynamic in which environmental uncertainty (sigma) drives the returns to signaling (lambda).</w:t>
      </w:r>
    </w:p>
    <w:p>
      <w:pPr>
        <w:pStyle w:val="BodyText"/>
      </w:pPr>
      <w:r>
        <w:t xml:space="preserve">We parameterize the model with Chaco-specific empirical data drawn from independent sources: dendrochronological construction dates from the 240,000-timber dataset (Guiterman et al. 2015), Palmer Modified Drought Index (PMDI) reconstructions from the Living Blended Drought Atlas (Cook et al. 2004; Gille et al. 2017), burial assemblage data from Pueblo Bonito, ceramic and network analyses (Mills et al. 2013), and visibility studies of great house placement. From the parameterized model, we derive eight testable predictions concerning the timing of construction, the relationship between environmental stress and investment, the spatial distribution of signaling architecture, patterns of inter-community violence, and the conditions of system collapse. We evaluate each prediction against independent archaeological and paleoclimatic evidence, classifying each as discriminating (predicted by the signaling model but not by alternatives) or convergent (consistent with multiple frameworks).</w:t>
      </w:r>
    </w:p>
    <w:p>
      <w:pPr>
        <w:pStyle w:val="BodyText"/>
      </w:pPr>
      <w:r>
        <w:t xml:space="preserve">This analysis addresses the gap identified by Quinn (2019) by providing a formal CST model for Chaco Canyon. The model explains why investment concentrated in a marginal environment (environmental uncertainty makes signaling adaptive by increasing the fitness differential between high-quality and low-quality signalers), why construction intensified under moderate stress (the lambda-sigma feedback amplifies returns to signaling as variability increases), why inter-community violence was low during the Chaco florescence (mutual assessment through monumental signals reduces the frequency of costly conflict), and why the system collapsed rapidly after 1130 CE (when environmental stress exceeded the buffering capacity of the signaling system, the separating equilibrium broke down and the cooperative network unraveled). The model does not merely accommodate these patterns; it derives them from independently specified conditions.</w:t>
      </w:r>
    </w:p>
    <w:p>
      <w:pPr>
        <w:pStyle w:val="BodyText"/>
      </w:pPr>
      <w:r>
        <w:t xml:space="preserve">We are explicit about what this stage of the research programme accomplishes and what it does not. The present paper formalizes the theoretical framework, derives qualitative predictions from equilibrium conditions, and evaluates those predictions against the empirical record. It does not yet estimate model parameters from data through formal statistical procedures; that is the next stage, and we identify the specific analyses required (Section 6.7).</w:t>
      </w:r>
    </w:p>
    <w:p>
      <w:pPr>
        <w:pStyle w:val="BodyText"/>
      </w:pPr>
      <w:r>
        <w:t xml:space="preserve">The formalization serves two functions beyond prediction. First, the mathematical model is a necessary precondition for building an agent-based simulation that can evaluate the model’s dynamic sufficiency (Lewontin 1974): whether the specified state variables and transformation rules are sufficient to generate the temporal dynamics observed in the archaeological record, including construction trajectories, network evolution, and collapse timing. A model is dynamically sufficient when, given the state variables at one time, it can predict the state variables at the next time step. Without formal equations specifying the relationships among quality, investment, environmental uncertainty, and network structure, an agent-based model would be an exercise in ad hoc programming rather than a test of theoretical claims. Second, the formalization identifies the specific empirical quantities that must be measured, what Lewontin (1974) termed the problem of constructing a state space that is both dynamically sufficient and empirically accessible. The quality parameter</w:t>
      </w:r>
      <w:r>
        <w:t xml:space="preserve"> </w:t>
      </w:r>
      <w:r>
        <w:rPr>
          <w:i/>
          <w:iCs/>
        </w:rPr>
        <w:t xml:space="preserve">q</w:t>
      </w:r>
      <w:r>
        <w:t xml:space="preserve">, the environmental uncertainty parameter sigma, the network buffering coefficient gamma: each must be converted from a theoretical construct into something measurable from the archaeological record. This is how science operates: theoretical sufficiency (do the equations generate the right dynamics?) and empirical sufficiency (can the parameters be measured from available evidence?) are evaluated iteratively, each constraining the other.</w:t>
      </w:r>
    </w:p>
    <w:p>
      <w:pPr>
        <w:pStyle w:val="BodyText"/>
      </w:pPr>
      <w:r>
        <w:t xml:space="preserve">This iterative process stands in contrast to the discipline’s prevailing mode of producing narrative accounts that shift with social values and theoretical fashion, generating a cycle of</w:t>
      </w:r>
      <w:r>
        <w:t xml:space="preserve"> </w:t>
      </w:r>
      <w:r>
        <w:t xml:space="preserve">“perspectives”</w:t>
      </w:r>
      <w:r>
        <w:t xml:space="preserve"> </w:t>
      </w:r>
      <w:r>
        <w:t xml:space="preserve">that neither builds cumulatively on prior work nor specifies the conditions under which the new perspective could be shown wrong. Formalizing the model is a necessary precondition for quantitative testing: one cannot estimate parameters for equations that have not been written, and one cannot conduct severe tests (Mayo 2018) of predictions that have not been derived. The contribution of this paper is to establish the formal structure that makes such testing possible, transforming the productive but informal CST insights of Kantner and Vaughn (2012), Safi (2015), and others into a framework capable of cumulative empirical evaluation.## 2. Theoretical Framework</w:t>
      </w:r>
    </w:p>
    <w:p>
      <w:pPr>
        <w:pStyle w:val="BodyText"/>
      </w:pPr>
      <w:r>
        <w:t xml:space="preserve">This section presents the three-layer costly signaling model applied to the Chaco Canyon archaeological record (850-1150 CE). Full derivations, proofs of equilibrium uniqueness, and sensitivity analyses appear in Appendix A; here we present the core equations and their Chaco-specific interpretations.</w:t>
      </w:r>
    </w:p>
    <w:bookmarkStart w:id="14" w:name="three-layer-model-overview"/>
    <w:p>
      <w:pPr>
        <w:pStyle w:val="Heading3"/>
      </w:pPr>
      <w:r>
        <w:t xml:space="preserve">2.1 Three-Layer Model Overview</w:t>
      </w:r>
    </w:p>
    <w:p>
      <w:pPr>
        <w:pStyle w:val="FirstParagraph"/>
      </w:pPr>
      <w:r>
        <w:t xml:space="preserve">The model comprises three nested layers. Layer 1 defines the individual signaling equilibrium, specifying when and how much each agent invests in monument construction or exotic goods acquisition as a function of its productive quality. Layer 2 extends this to intergroup assessment, showing how accumulated monument investment reduces the probability of costly conflicts by providing reliable information about group capacity. Layer 3 embeds signaling within cooperation networks, demonstrating that monument builders gain exchange partners who provide crisis buffering during environmental shortfalls. Together, the three layers generate a feedback loop: environmental uncertainty increases the value of cooperation networks, which increases the fitness returns to monument signaling, which drives greater investment, which builds denser networks.</w:t>
      </w:r>
    </w:p>
    <w:p>
      <w:pPr>
        <w:pStyle w:val="BodyText"/>
      </w:pPr>
      <w:r>
        <w:t xml:space="preserve">A critical theoretical point frames the entire model. The mechanism that ensures signal honesty is condition-dependent signaling, not the so-called handicap principle. Comprehensive reviews of the signaling theory literature have shown that the original handicap hypothesis, which holds that signals are reliable simply because they are costly, lacks theoretical support (Penn and Szamado 2020). What maintains signal honesty is the Spence condition: the requirement that marginal signaling costs vary inversely with signaler quality, so that high-quality agents face lower marginal costs than low-quality agents for the same level of investment. This condition, first formalized in Spence’s (1973) job-market model and independently derived in biological signaling theory (Grafen 1990), is the foundation of Layer 1. The Spence condition resolves the free-rider problem that has bedeviled collective action accounts of monument construction: participation in signaling is individually rational for every agent above minimum quality, not an altruistic sacrifice requiring group-selection explanations. Appendix A provides the formal proof; here we present the key equations and their archaeological interpretation.</w:t>
      </w:r>
    </w:p>
    <w:bookmarkEnd w:id="14"/>
    <w:bookmarkStart w:id="15" w:name="layer-1-individual-signaling-at-chaco"/>
    <w:p>
      <w:pPr>
        <w:pStyle w:val="Heading3"/>
      </w:pPr>
      <w:r>
        <w:t xml:space="preserve">2.2 Layer 1: Individual Signaling at Chaco</w:t>
      </w:r>
    </w:p>
    <w:p>
      <w:pPr>
        <w:pStyle w:val="FirstParagraph"/>
      </w:pPr>
      <w:r>
        <w:t xml:space="preserve">The cost of signaling investment</w:t>
      </w:r>
      <w:r>
        <w:t xml:space="preserve"> </w:t>
      </w:r>
      <w:r>
        <w:rPr>
          <w:i/>
          <w:iCs/>
        </w:rPr>
        <w:t xml:space="preserve">x</w:t>
      </w:r>
      <w:r>
        <w:t xml:space="preserve"> </w:t>
      </w:r>
      <w:r>
        <w:t xml:space="preserve">for an agent of quality</w:t>
      </w:r>
      <w:r>
        <w:t xml:space="preserve"> </w:t>
      </w:r>
      <w:r>
        <w:rPr>
          <w:i/>
          <w:iCs/>
        </w:rPr>
        <w:t xml:space="preserve">q</w:t>
      </w:r>
      <w:r>
        <w:t xml:space="preserve"> </w:t>
      </w:r>
      <w:r>
        <w:t xml:space="preserve">follows a Spence cost function:</w:t>
      </w:r>
    </w:p>
    <w:p>
      <w:pPr>
        <w:pStyle w:val="BodyText"/>
      </w:pPr>
      <m:oMathPara>
        <m:oMathParaPr>
          <m:jc m:val="center"/>
        </m:oMathParaPr>
        <m:oMath>
          <m:r>
            <m:t>c</m:t>
          </m:r>
          <m:r>
            <m:rPr>
              <m:sty m:val="p"/>
            </m:rPr>
            <m:t>(</m:t>
          </m:r>
          <m:sSub>
            <m:e>
              <m:r>
                <m:t>x</m:t>
              </m:r>
            </m:e>
            <m:sub>
              <m:r>
                <m:t>i</m:t>
              </m:r>
            </m:sub>
          </m:sSub>
          <m:r>
            <m:rPr>
              <m:sty m:val="p"/>
            </m:rPr>
            <m:t>,</m:t>
          </m:r>
          <m:sSub>
            <m:e>
              <m:r>
                <m:t>q</m:t>
              </m:r>
            </m:e>
            <m:sub>
              <m:r>
                <m:t>i</m:t>
              </m:r>
            </m:sub>
          </m:sSub>
          <m:r>
            <m:rPr>
              <m:sty m:val="p"/>
            </m:rPr>
            <m:t>)</m:t>
          </m:r>
          <m:r>
            <m:rPr>
              <m:sty m:val="p"/>
            </m:rPr>
            <m:t>=</m:t>
          </m:r>
          <m:f>
            <m:fPr>
              <m:type m:val="bar"/>
            </m:fPr>
            <m:num>
              <m:sSubSup>
                <m:e>
                  <m:r>
                    <m:t>x</m:t>
                  </m:r>
                </m:e>
                <m:sub>
                  <m:r>
                    <m:t>i</m:t>
                  </m:r>
                </m:sub>
                <m:sup>
                  <m:r>
                    <m:t>2</m:t>
                  </m:r>
                </m:sup>
              </m:sSubSup>
            </m:num>
            <m:den>
              <m:r>
                <m:t>2</m:t>
              </m:r>
              <m:sSub>
                <m:e>
                  <m:r>
                    <m:t>q</m:t>
                  </m:r>
                </m:e>
                <m:sub>
                  <m:r>
                    <m:t>i</m:t>
                  </m:r>
                </m:sub>
              </m:sSub>
            </m:den>
          </m:f>
        </m:oMath>
      </m:oMathPara>
    </w:p>
    <w:p>
      <w:pPr>
        <w:pStyle w:val="FirstParagraph"/>
      </w:pPr>
      <w:r>
        <w:t xml:space="preserve">In plain language: the cost of investment increases quadratically with the amount invested, and dividing by quality means that higher-quality agents pay less per unit of investment. The critical property is that the cross-partial derivative is negative:</w:t>
      </w:r>
      <w:r>
        <w:t xml:space="preserve"> </w:t>
      </w:r>
      <m:oMath>
        <m:sSup>
          <m:e>
            <m:r>
              <m:rPr>
                <m:sty m:val="p"/>
              </m:rPr>
              <m:t>∂</m:t>
            </m:r>
          </m:e>
          <m:sup>
            <m:r>
              <m:t>2</m:t>
            </m:r>
          </m:sup>
        </m:sSup>
        <m:r>
          <m:t>c</m:t>
        </m:r>
        <m:r>
          <m:rPr>
            <m:sty m:val="p"/>
          </m:rPr>
          <m:t>/</m:t>
        </m:r>
        <m:r>
          <m:rPr>
            <m:sty m:val="p"/>
          </m:rPr>
          <m:t>∂</m:t>
        </m:r>
        <m:r>
          <m:t>x</m:t>
        </m:r>
        <m:r>
          <m:rPr>
            <m:sty m:val="p"/>
          </m:rPr>
          <m:t>∂</m:t>
        </m:r>
        <m:r>
          <m:t>q</m:t>
        </m:r>
        <m:r>
          <m:rPr>
            <m:sty m:val="p"/>
          </m:rPr>
          <m:t>&lt;</m:t>
        </m:r>
        <m:r>
          <m:t>0</m:t>
        </m:r>
      </m:oMath>
      <w:r>
        <w:t xml:space="preserve">. This is the Spence condition. It means that the marginal cost of an additional unit of signaling investment decreases as quality increases. A lineage with greater productive capacity (higher</w:t>
      </w:r>
      <w:r>
        <w:t xml:space="preserve"> </w:t>
      </w:r>
      <w:r>
        <w:rPr>
          <w:i/>
          <w:iCs/>
        </w:rPr>
        <w:t xml:space="preserve">q</w:t>
      </w:r>
      <w:r>
        <w:t xml:space="preserve">) finds it cheaper, at the margin, to add another room to a great house or to sponsor another construction episode than a lineage with lower capacity. This differential cost structure, not the absolute magnitude of the investment, is what makes the signal honest.</w:t>
      </w:r>
    </w:p>
    <w:p>
      <w:pPr>
        <w:pStyle w:val="BodyText"/>
      </w:pPr>
      <w:r>
        <w:t xml:space="preserve">At the signaling equilibrium, each quality type invests at a unique level:</w:t>
      </w:r>
    </w:p>
    <w:p>
      <w:pPr>
        <w:pStyle w:val="BodyText"/>
      </w:pPr>
      <m:oMathPara>
        <m:oMathParaPr>
          <m:jc m:val="center"/>
        </m:oMathParaPr>
        <m:oMath>
          <m:sSup>
            <m:e>
              <m:r>
                <m:t>x</m:t>
              </m:r>
            </m:e>
            <m:sup>
              <m:r>
                <m:rPr>
                  <m:sty m:val="p"/>
                </m:rPr>
                <m:t>*</m:t>
              </m:r>
            </m:sup>
          </m:sSup>
          <m:r>
            <m:rPr>
              <m:sty m:val="p"/>
            </m:rPr>
            <m:t>(</m:t>
          </m:r>
          <m:r>
            <m:t>q</m:t>
          </m:r>
          <m:r>
            <m:rPr>
              <m:sty m:val="p"/>
            </m:rPr>
            <m:t>)</m:t>
          </m:r>
          <m:r>
            <m:rPr>
              <m:sty m:val="p"/>
            </m:rPr>
            <m:t>=</m:t>
          </m:r>
          <m:rad>
            <m:radPr>
              <m:degHide m:val="on"/>
            </m:radPr>
            <m:deg/>
            <m:e>
              <m:r>
                <m:t>λ</m:t>
              </m:r>
              <m:r>
                <m:rPr>
                  <m:sty m:val="p"/>
                </m:rPr>
                <m:t>⋅</m:t>
              </m:r>
              <m:r>
                <m:rPr>
                  <m:sty m:val="p"/>
                </m:rPr>
                <m:t>(</m:t>
              </m:r>
              <m:sSup>
                <m:e>
                  <m:r>
                    <m:t>q</m:t>
                  </m:r>
                </m:e>
                <m:sup>
                  <m:r>
                    <m:t>2</m:t>
                  </m:r>
                </m:sup>
              </m:sSup>
              <m:r>
                <m:rPr>
                  <m:sty m:val="p"/>
                </m:rPr>
                <m:t>−</m:t>
              </m:r>
              <m:sSubSup>
                <m:e>
                  <m:r>
                    <m:t>q</m:t>
                  </m:r>
                </m:e>
                <m:sub>
                  <m:r>
                    <m:rPr>
                      <m:sty m:val="p"/>
                    </m:rPr>
                    <m:t>min</m:t>
                  </m:r>
                </m:sub>
                <m:sup>
                  <m:r>
                    <m:t>2</m:t>
                  </m:r>
                </m:sup>
              </m:sSubSup>
              <m:r>
                <m:rPr>
                  <m:sty m:val="p"/>
                </m:rPr>
                <m:t>)</m:t>
              </m:r>
            </m:e>
          </m:rad>
        </m:oMath>
      </m:oMathPara>
    </w:p>
    <w:p>
      <w:pPr>
        <w:pStyle w:val="FirstParagraph"/>
      </w:pPr>
      <w:r>
        <w:t xml:space="preserve">In words: equilibrium investment rises with quality, and the minimum-quality type invests zero. The parameter</w:t>
      </w:r>
      <w:r>
        <w:t xml:space="preserve"> </w:t>
      </w:r>
      <m:oMath>
        <m:r>
          <m:t>λ</m:t>
        </m:r>
      </m:oMath>
      <w:r>
        <w:t xml:space="preserve"> </w:t>
      </w:r>
      <w:r>
        <w:t xml:space="preserve">represents the fitness return to signaling, which in Layer 3 becomes endogenous to environmental conditions. Every quality type above the minimum selects a distinct investment level, producing a monotonic mapping from quality to signal that receivers can invert to infer quality from observed investment. This separating equilibrium is unique under the Spence condition (Appendix A, Proposition 1).</w:t>
      </w:r>
    </w:p>
    <w:p>
      <w:pPr>
        <w:pStyle w:val="BodyText"/>
      </w:pPr>
      <w:r>
        <w:t xml:space="preserve">The fitness gain from participating in the signaling equilibrium relative to not signaling (where a non-signaler is perceived as</w:t>
      </w:r>
      <w:r>
        <w:t xml:space="preserve"> </w:t>
      </w:r>
      <m:oMath>
        <m:sSub>
          <m:e>
            <m:r>
              <m:t>q</m:t>
            </m:r>
          </m:e>
          <m:sub>
            <m:r>
              <m:rPr>
                <m:sty m:val="p"/>
              </m:rPr>
              <m:t>min</m:t>
            </m:r>
          </m:sub>
        </m:sSub>
      </m:oMath>
      <w:r>
        <w:t xml:space="preserve"> </w:t>
      </w:r>
      <w:r>
        <w:t xml:space="preserve">and receives payoff</w:t>
      </w:r>
      <w:r>
        <w:t xml:space="preserve"> </w:t>
      </w:r>
      <m:oMath>
        <m:r>
          <m:t>λ</m:t>
        </m:r>
        <m:sSub>
          <m:e>
            <m:r>
              <m:t>q</m:t>
            </m:r>
          </m:e>
          <m:sub>
            <m:r>
              <m:rPr>
                <m:sty m:val="p"/>
              </m:rPr>
              <m:t>min</m:t>
            </m:r>
          </m:sub>
        </m:sSub>
      </m:oMath>
      <w:r>
        <w:t xml:space="preserve">) is:</w:t>
      </w:r>
    </w:p>
    <w:p>
      <w:pPr>
        <w:pStyle w:val="BodyText"/>
      </w:pPr>
      <m:oMathPara>
        <m:oMathParaPr>
          <m:jc m:val="center"/>
        </m:oMathParaPr>
        <m:oMath>
          <m:r>
            <m:rPr>
              <m:sty m:val="p"/>
            </m:rPr>
            <m:t>Δ</m:t>
          </m:r>
          <m:r>
            <m:t>w</m:t>
          </m:r>
          <m:r>
            <m:rPr>
              <m:sty m:val="p"/>
            </m:rPr>
            <m:t>(</m:t>
          </m:r>
          <m:r>
            <m:t>q</m:t>
          </m:r>
          <m:r>
            <m:rPr>
              <m:sty m:val="p"/>
            </m:rPr>
            <m:t>)</m:t>
          </m:r>
          <m:r>
            <m:rPr>
              <m:sty m:val="p"/>
            </m:rPr>
            <m:t>=</m:t>
          </m:r>
          <m:f>
            <m:fPr>
              <m:type m:val="bar"/>
            </m:fPr>
            <m:num>
              <m:r>
                <m:t>λ</m:t>
              </m:r>
              <m:r>
                <m:rPr>
                  <m:sty m:val="p"/>
                </m:rPr>
                <m:t>(</m:t>
              </m:r>
              <m:r>
                <m:t>q</m:t>
              </m:r>
              <m:r>
                <m:rPr>
                  <m:sty m:val="p"/>
                </m:rPr>
                <m:t>−</m:t>
              </m:r>
              <m:sSub>
                <m:e>
                  <m:r>
                    <m:t>q</m:t>
                  </m:r>
                </m:e>
                <m:sub>
                  <m:r>
                    <m:rPr>
                      <m:sty m:val="p"/>
                    </m:rPr>
                    <m:t>min</m:t>
                  </m:r>
                </m:sub>
              </m:sSub>
              <m:sSup>
                <m:e>
                  <m:r>
                    <m:rPr>
                      <m:sty m:val="p"/>
                    </m:rPr>
                    <m:t>)</m:t>
                  </m:r>
                </m:e>
                <m:sup>
                  <m:r>
                    <m:t>2</m:t>
                  </m:r>
                </m:sup>
              </m:sSup>
            </m:num>
            <m:den>
              <m:r>
                <m:t>2</m:t>
              </m:r>
              <m:r>
                <m:t>q</m:t>
              </m:r>
            </m:den>
          </m:f>
          <m:r>
            <m:rPr>
              <m:sty m:val="p"/>
            </m:rPr>
            <m:t>&gt;</m:t>
          </m:r>
          <m:r>
            <m:t>0</m:t>
          </m:r>
          <m:r>
            <m:t> </m:t>
          </m:r>
          <m:r>
            <m:rPr>
              <m:nor/>
              <m:sty m:val="p"/>
            </m:rPr>
            <m:t>for all </m:t>
          </m:r>
          <m:r>
            <m:t>q</m:t>
          </m:r>
          <m:r>
            <m:rPr>
              <m:sty m:val="p"/>
            </m:rPr>
            <m:t>&gt;</m:t>
          </m:r>
          <m:sSub>
            <m:e>
              <m:r>
                <m:t>q</m:t>
              </m:r>
            </m:e>
            <m:sub>
              <m:r>
                <m:rPr>
                  <m:sty m:val="p"/>
                </m:rPr>
                <m:t>min</m:t>
              </m:r>
            </m:sub>
          </m:sSub>
        </m:oMath>
      </m:oMathPara>
    </w:p>
    <w:p>
      <w:pPr>
        <w:pStyle w:val="FirstParagraph"/>
      </w:pPr>
      <w:r>
        <w:t xml:space="preserve">This result follows from the difference between the signaling payoff</w:t>
      </w:r>
      <w:r>
        <w:t xml:space="preserve"> </w:t>
      </w:r>
      <m:oMath>
        <m:r>
          <m:t>λ</m:t>
        </m:r>
        <m:r>
          <m:t>q</m:t>
        </m:r>
        <m:r>
          <m:rPr>
            <m:sty m:val="p"/>
          </m:rPr>
          <m:t>−</m:t>
        </m:r>
        <m:sSup>
          <m:e>
            <m:r>
              <m:t>x</m:t>
            </m:r>
          </m:e>
          <m:sup>
            <m:r>
              <m:rPr>
                <m:sty m:val="p"/>
              </m:rPr>
              <m:t>*</m:t>
            </m:r>
            <m:r>
              <m:t>2</m:t>
            </m:r>
          </m:sup>
        </m:sSup>
        <m:r>
          <m:rPr>
            <m:sty m:val="p"/>
          </m:rPr>
          <m:t>/</m:t>
        </m:r>
        <m:r>
          <m:rPr>
            <m:sty m:val="p"/>
          </m:rPr>
          <m:t>(</m:t>
        </m:r>
        <m:r>
          <m:t>2</m:t>
        </m:r>
        <m:r>
          <m:t>q</m:t>
        </m:r>
        <m:r>
          <m:rPr>
            <m:sty m:val="p"/>
          </m:rPr>
          <m:t>)</m:t>
        </m:r>
      </m:oMath>
      <w:r>
        <w:t xml:space="preserve"> </w:t>
      </w:r>
      <w:r>
        <w:t xml:space="preserve">and the non-signaling payoff</w:t>
      </w:r>
      <w:r>
        <w:t xml:space="preserve"> </w:t>
      </w:r>
      <m:oMath>
        <m:r>
          <m:t>λ</m:t>
        </m:r>
        <m:sSub>
          <m:e>
            <m:r>
              <m:t>q</m:t>
            </m:r>
          </m:e>
          <m:sub>
            <m:r>
              <m:rPr>
                <m:sty m:val="p"/>
              </m:rPr>
              <m:t>min</m:t>
            </m:r>
          </m:sub>
        </m:sSub>
      </m:oMath>
      <w:r>
        <w:t xml:space="preserve"> </w:t>
      </w:r>
      <w:r>
        <w:t xml:space="preserve">(see Appendix A.1 for the full derivation). The inequality is the key result for resolving the free-rider problem. Every individual above minimum quality gains positive fitness from participating in the signaling system, with the gain increasing in</w:t>
      </w:r>
      <w:r>
        <w:t xml:space="preserve"> </w:t>
      </w:r>
      <m:oMath>
        <m:r>
          <m:t>q</m:t>
        </m:r>
      </m:oMath>
      <w:r>
        <w:t xml:space="preserve">. Monument construction is not altruism requiring group selection; it is individually rational behavior that emerges from the differential cost structure. Groups that invest in great houses are not sacrificing for the collective good. They are pursuing a strategy that yields net fitness gains given their quality type.</w:t>
      </w:r>
    </w:p>
    <w:p>
      <w:pPr>
        <w:pStyle w:val="BodyText"/>
      </w:pPr>
      <w:r>
        <w:t xml:space="preserve">At Chaco, the quality parameter</w:t>
      </w:r>
      <w:r>
        <w:t xml:space="preserve"> </w:t>
      </w:r>
      <w:r>
        <w:rPr>
          <w:i/>
          <w:iCs/>
        </w:rPr>
        <w:t xml:space="preserve">q</w:t>
      </w:r>
      <w:r>
        <w:t xml:space="preserve"> </w:t>
      </w:r>
      <w:r>
        <w:t xml:space="preserve">maps to lineage productive capacity: the combination of labor force, agricultural knowledge, stored surplus, and access to exchange networks that determines a corporate group’s ability to mobilize resources. A critical requirement for empirical testing is that</w:t>
      </w:r>
      <w:r>
        <w:t xml:space="preserve"> </w:t>
      </w:r>
      <w:r>
        <w:rPr>
          <w:i/>
          <w:iCs/>
        </w:rPr>
        <w:t xml:space="preserve">q</w:t>
      </w:r>
      <w:r>
        <w:t xml:space="preserve"> </w:t>
      </w:r>
      <w:r>
        <w:t xml:space="preserve">be operationalized independently of the signaling investment it is intended to predict. If quality is inferred solely from investment magnitude (room counts, exotic goods concentrations), then the prediction that higher-quality agents invest more becomes circular. Independent proxies for</w:t>
      </w:r>
      <w:r>
        <w:t xml:space="preserve"> </w:t>
      </w:r>
      <w:r>
        <w:rPr>
          <w:i/>
          <w:iCs/>
        </w:rPr>
        <w:t xml:space="preserve">q</w:t>
      </w:r>
      <w:r>
        <w:t xml:space="preserve"> </w:t>
      </w:r>
      <w:r>
        <w:t xml:space="preserve">include catchment-area agricultural productivity, estimated labor pool size from residential site survey, distance-weighted access to arable land and permanent water (Benson et al. 2019), and community population estimates from non-great-house residential room counts. The present analysis uses the graded construction investment across the Chaco system as preliminary evidence for the quality-investment mapping; the next stage of the research programme (Section 6.7) specifies the independent operationalization required for a severe test. The archaeogenomic evidence for a matrilineal dynasty at Pueblo Bonito, spanning approximately 330 years from the mid-ninth century through the early twelfth century (Kennett et al. 2017), identifies the highest-quality lineage in the system. The founding burial of this dynasty (Burial 14) contained over 11,200 turquoise pieces and 3,300 shell ornaments, rooms adjacent to the burial crypt held scarlet macaws and cylindrical vessels for cacao consumption, and the crypt was purpose-built within the initial construction phase of the largest great house in the canyon. This concentration of exotic goods at the point of origin of the dominant lineage is precisely what the Spence condition predicts: the highest-quality agent makes the largest signaling investment.</w:t>
      </w:r>
    </w:p>
    <w:p>
      <w:pPr>
        <w:pStyle w:val="BodyText"/>
      </w:pPr>
      <w:r>
        <w:t xml:space="preserve">Outlier great houses on the Chaco periphery represent mid-range quality types. Architectural energetics data from the southern Cibola region show that peripheral great houses ranged from 22 to 44 rooms (Safi 2015), requiring 55,000 to 90,000 person-hours of construction labor compared to 170,000 to 192,000 person-hours for canyon great houses. This graded investment, with each community building to a level commensurate with its labor capacity, maps onto the equilibrium investment function</w:t>
      </w:r>
      <w:r>
        <w:t xml:space="preserve"> </w:t>
      </w:r>
      <m:oMath>
        <m:sSup>
          <m:e>
            <m:r>
              <m:t>x</m:t>
            </m:r>
          </m:e>
          <m:sup>
            <m:r>
              <m:rPr>
                <m:sty m:val="p"/>
              </m:rPr>
              <m:t>*</m:t>
            </m:r>
          </m:sup>
        </m:sSup>
        <m:r>
          <m:rPr>
            <m:sty m:val="p"/>
          </m:rPr>
          <m:t>(</m:t>
        </m:r>
        <m:r>
          <m:t>q</m:t>
        </m:r>
        <m:r>
          <m:rPr>
            <m:sty m:val="p"/>
          </m:rPr>
          <m:t>)</m:t>
        </m:r>
      </m:oMath>
      <w:r>
        <w:t xml:space="preserve">, where greater quality produces greater but continuously varying signal magnitude rather than a binary distinction between builders and non-builders. Small house communities that invested zero in monumental construction represent the minimum-quality type</w:t>
      </w:r>
      <w:r>
        <w:t xml:space="preserve"> </w:t>
      </w:r>
      <m:oMath>
        <m:sSub>
          <m:e>
            <m:r>
              <m:t>q</m:t>
            </m:r>
          </m:e>
          <m:sub>
            <m:r>
              <m:rPr>
                <m:sty m:val="p"/>
              </m:rPr>
              <m:t>min</m:t>
            </m:r>
          </m:sub>
        </m:sSub>
      </m:oMath>
      <w:r>
        <w:t xml:space="preserve">, for which equilibrium investment is zero. Recent reanalysis of lapidary production at Pueblo Bonito reveals that turquoise manufacture was embedded within elite households, with production tools concentrated near the high-status burial cluster (Mattson 2025). This embedded production pattern is consistent with quality-dependent access to signaling media: elite lineages produced their own status goods rather than acquiring them through redistribution, indicating that the cost of signal production was directly tied to household productive capacity.</w:t>
      </w:r>
    </w:p>
    <w:bookmarkEnd w:id="15"/>
    <w:bookmarkStart w:id="16" w:name="layer-2-intergroup-assessment"/>
    <w:p>
      <w:pPr>
        <w:pStyle w:val="Heading3"/>
      </w:pPr>
      <w:r>
        <w:t xml:space="preserve">2.3 Layer 2: Intergroup Assessment</w:t>
      </w:r>
    </w:p>
    <w:p>
      <w:pPr>
        <w:pStyle w:val="FirstParagraph"/>
      </w:pPr>
      <w:r>
        <w:t xml:space="preserve">Monuments serve as pre-contest signals of group capacity, providing information that allows potential competitors to assess relative strength without costly physical confrontation. This mechanism follows directly from sequential assessment models of animal contest behavior, in which contestants acquire information about relative fighting ability through observation and retreat when assessed as inferior (Enquist and Leimar 1983). In the Chaco context, great houses broadcast information about the labor force, organizational capacity, and resource base of the constructing group.</w:t>
      </w:r>
    </w:p>
    <w:p>
      <w:pPr>
        <w:pStyle w:val="BodyText"/>
      </w:pPr>
      <w:r>
        <w:t xml:space="preserve">Assessment noise, the uncertainty a receiver faces when inferring the sender’s quality from the observed signal, decreases as total monument investment increases:</w:t>
      </w:r>
    </w:p>
    <w:p>
      <w:pPr>
        <w:pStyle w:val="BodyText"/>
      </w:pPr>
      <m:oMathPara>
        <m:oMathParaPr>
          <m:jc m:val="center"/>
        </m:oMathParaPr>
        <m:oMath>
          <m:sSub>
            <m:e>
              <m:r>
                <m:t>σ</m:t>
              </m:r>
            </m:e>
            <m:sub>
              <m:r>
                <m:rPr>
                  <m:nor/>
                  <m:sty m:val="p"/>
                </m:rPr>
                <m:t>eff</m:t>
              </m:r>
            </m:sub>
          </m:sSub>
          <m:r>
            <m:rPr>
              <m:sty m:val="p"/>
            </m:rPr>
            <m:t>=</m:t>
          </m:r>
          <m:f>
            <m:fPr>
              <m:type m:val="bar"/>
            </m:fPr>
            <m:num>
              <m:sSub>
                <m:e>
                  <m:r>
                    <m:t>σ</m:t>
                  </m:r>
                </m:e>
                <m:sub>
                  <m:r>
                    <m:t>0</m:t>
                  </m:r>
                </m:sub>
              </m:sSub>
            </m:num>
            <m:den>
              <m:rad>
                <m:radPr>
                  <m:degHide m:val="on"/>
                </m:radPr>
                <m:deg/>
                <m:e>
                  <m:r>
                    <m:t>1</m:t>
                  </m:r>
                  <m:r>
                    <m:rPr>
                      <m:sty m:val="p"/>
                    </m:rPr>
                    <m:t>+</m:t>
                  </m:r>
                  <m:r>
                    <m:t>κ</m:t>
                  </m:r>
                  <m:r>
                    <m:rPr>
                      <m:sty m:val="p"/>
                    </m:rPr>
                    <m:t>(</m:t>
                  </m:r>
                  <m:sSub>
                    <m:e>
                      <m:r>
                        <m:t>M</m:t>
                      </m:r>
                    </m:e>
                    <m:sub>
                      <m:r>
                        <m:t>g</m:t>
                      </m:r>
                    </m:sub>
                  </m:sSub>
                  <m:r>
                    <m:rPr>
                      <m:sty m:val="p"/>
                    </m:rPr>
                    <m:t>+</m:t>
                  </m:r>
                  <m:sSub>
                    <m:e>
                      <m:r>
                        <m:t>M</m:t>
                      </m:r>
                    </m:e>
                    <m:sub>
                      <m:r>
                        <m:t>h</m:t>
                      </m:r>
                    </m:sub>
                  </m:sSub>
                  <m:r>
                    <m:rPr>
                      <m:sty m:val="p"/>
                    </m:rPr>
                    <m:t>)</m:t>
                  </m:r>
                </m:e>
              </m:rad>
            </m:den>
          </m:f>
        </m:oMath>
      </m:oMathPara>
    </w:p>
    <w:p>
      <w:pPr>
        <w:pStyle w:val="FirstParagraph"/>
      </w:pPr>
      <w:r>
        <w:t xml:space="preserve">The functional form follows from the logic of sequential assessment (Enquist and Leimar 1983). In that framework, contestants sample information about their opponent’s fighting ability, and each sample reduces uncertainty about relative strength. The precision of the estimate improves with the square root of the number of independent samples, following standard statistical averaging. Monument investment provides the analogue of repeated sampling: each unit of visible construction, each construction episode, each architectural feature is an independent piece of evidence about the group’s organizational capacity. A great house that was built in multiple documented phases over decades provides more assessment information than one built in a single episode, and a larger structure provides more observable features than a smaller one. The total monument stock</w:t>
      </w:r>
      <w:r>
        <w:t xml:space="preserve"> </w:t>
      </w:r>
      <m:oMath>
        <m:sSub>
          <m:e>
            <m:r>
              <m:t>M</m:t>
            </m:r>
          </m:e>
          <m:sub>
            <m:r>
              <m:t>g</m:t>
            </m:r>
          </m:sub>
        </m:sSub>
        <m:r>
          <m:rPr>
            <m:sty m:val="p"/>
          </m:rPr>
          <m:t>+</m:t>
        </m:r>
        <m:sSub>
          <m:e>
            <m:r>
              <m:t>M</m:t>
            </m:r>
          </m:e>
          <m:sub>
            <m:r>
              <m:t>h</m:t>
            </m:r>
          </m:sub>
        </m:sSub>
      </m:oMath>
      <w:r>
        <w:t xml:space="preserve"> </w:t>
      </w:r>
      <w:r>
        <w:t xml:space="preserve">of both groups indexes the total amount of assessment information available to a potential aggressor evaluating relative strength. The parameter</w:t>
      </w:r>
      <w:r>
        <w:t xml:space="preserve"> </w:t>
      </w:r>
      <m:oMath>
        <m:sSub>
          <m:e>
            <m:r>
              <m:t>σ</m:t>
            </m:r>
          </m:e>
          <m:sub>
            <m:r>
              <m:t>0</m:t>
            </m:r>
          </m:sub>
        </m:sSub>
      </m:oMath>
      <w:r>
        <w:t xml:space="preserve"> </w:t>
      </w:r>
      <w:r>
        <w:t xml:space="preserve">represents baseline assessment noise in the absence of monument signals, and</w:t>
      </w:r>
      <w:r>
        <w:t xml:space="preserve"> </w:t>
      </w:r>
      <m:oMath>
        <m:r>
          <m:t>κ</m:t>
        </m:r>
      </m:oMath>
      <w:r>
        <w:t xml:space="preserve"> </w:t>
      </w:r>
      <w:r>
        <w:t xml:space="preserve">scales the informational contribution of each unit of monument stock. When both groups have large monument stocks, receivers can distinguish between them more accurately, which reduces the probability that an inferior group mistakenly initiates a conflict it cannot win. Conflict probability therefore decreases with both the asymmetry between groups and the absolute magnitude of investment. The qualitative prediction, that conflict probability decreases with monument investment, is robust to alternative functional forms (logarithmic, power-law) provided noise decreases monotonically with total observable investment.</w:t>
      </w:r>
    </w:p>
    <w:p>
      <w:pPr>
        <w:pStyle w:val="BodyText"/>
      </w:pPr>
      <w:r>
        <w:t xml:space="preserve">The archaeological evidence supports each component of this mechanism. Great houses were systematically placed in high-visibility locations across the Chaco landscape. A total viewshed analysis of 269 great houses found significant deviation from the background visibility distribution (Kolmogorov-Smirnov D = 0.24, p &lt; 0.001), with approximately half of all great houses falling in the highest visibility deciles (Dungan et al. 2018). Great kivas, by contrast, showed no comparable preference for visible locations, confirming that the visibility-seeking behavior was specific to the architectural form functioning as an intergroup signal rather than a general feature of monumental construction. The visibility pattern was consistent across the entire Chaco landscape and persisted through all construction periods, indicating a system-wide signaling logic rather than a local phenomenon.</w:t>
      </w:r>
    </w:p>
    <w:p>
      <w:pPr>
        <w:pStyle w:val="BodyText"/>
      </w:pPr>
      <w:r>
        <w:t xml:space="preserve">Acoustic signaling from great houses reinforces the visibility evidence. Soundshed modeling demonstrates that conch trumpet blasts from great houses consistently mapped onto the distribution of surrounding habitation sites across five independently tested communities, a pattern highly unlikely to arise by chance (p &lt; 0.001 across communities; Van Dyke et al. 2024). The conch shells themselves were procured from the Pacific coast approximately 1,000 km distant, placing them in the same category as other costly exotica. Their use as broadcasting instruments from great house rooftops extends the signaling function from visual to acoustic channels.</w:t>
      </w:r>
    </w:p>
    <w:p>
      <w:pPr>
        <w:pStyle w:val="BodyText"/>
      </w:pPr>
      <w:r>
        <w:t xml:space="preserve">The conflict-reduction prediction finds support in the temporal distribution of violence. During the Chaco florescence, evidence for inter-group violence was markedly low, a pattern characterized as</w:t>
      </w:r>
      <w:r>
        <w:t xml:space="preserve"> </w:t>
      </w:r>
      <w:r>
        <w:t xml:space="preserve">“Pax Chaco”</w:t>
      </w:r>
      <w:r>
        <w:t xml:space="preserve"> </w:t>
      </w:r>
      <w:r>
        <w:t xml:space="preserve">(Kantner and Vaughn 2012). Violence was present in the pre-Chaco period and increased substantially after the system’s collapse in the twelfth century, with Mesa Verde era sites showing elevated evidence of burning, defensive architecture, and skeletal trauma. This temporal pattern, low violence during active signaling, high violence before and after, is the expected signature of a functioning assessment system that reduces conflict through information provision rather than through coercive enforcement of peace.</w:t>
      </w:r>
    </w:p>
    <w:bookmarkEnd w:id="16"/>
    <w:bookmarkStart w:id="17" w:name="Xdcb39c3e478bd2806015e4141fd237a2bae54cc"/>
    <w:p>
      <w:pPr>
        <w:pStyle w:val="Heading3"/>
      </w:pPr>
      <w:r>
        <w:t xml:space="preserve">2.4 Layer 3: Cooperation Networks and the Lambda-Sigma Feedback</w:t>
      </w:r>
    </w:p>
    <w:p>
      <w:pPr>
        <w:pStyle w:val="FirstParagraph"/>
      </w:pPr>
      <w:r>
        <w:t xml:space="preserve">The third layer connects monument signaling to crisis survival through cooperation networks. The survival function for a group facing an environmental shortfall of severity</w:t>
      </w:r>
      <w:r>
        <w:t xml:space="preserve"> </w:t>
      </w:r>
      <m:oMath>
        <m:r>
          <m:t>σ</m:t>
        </m:r>
      </m:oMath>
      <w:r>
        <w:t xml:space="preserve"> </w:t>
      </w:r>
      <w:r>
        <w:t xml:space="preserve">with</w:t>
      </w:r>
      <w:r>
        <w:t xml:space="preserve"> </w:t>
      </w:r>
      <w:r>
        <w:rPr>
          <w:i/>
          <w:iCs/>
        </w:rPr>
        <w:t xml:space="preserve">k</w:t>
      </w:r>
      <w:r>
        <w:t xml:space="preserve"> </w:t>
      </w:r>
      <w:r>
        <w:t xml:space="preserve">exchange partners is:</w:t>
      </w:r>
    </w:p>
    <w:p>
      <w:pPr>
        <w:pStyle w:val="BodyText"/>
      </w:pPr>
      <m:oMathPara>
        <m:oMathParaPr>
          <m:jc m:val="center"/>
        </m:oMathParaPr>
        <m:oMath>
          <m:r>
            <m:t>S</m:t>
          </m:r>
          <m:r>
            <m:rPr>
              <m:sty m:val="p"/>
            </m:rPr>
            <m:t>(</m:t>
          </m:r>
          <m:r>
            <m:t>σ</m:t>
          </m:r>
          <m:r>
            <m:rPr>
              <m:sty m:val="p"/>
            </m:rPr>
            <m:t>,</m:t>
          </m:r>
          <m:r>
            <m:t>k</m:t>
          </m:r>
          <m:r>
            <m:rPr>
              <m:sty m:val="p"/>
            </m:rPr>
            <m:t>)</m:t>
          </m:r>
          <m:r>
            <m:rPr>
              <m:sty m:val="p"/>
            </m:rPr>
            <m:t>=</m:t>
          </m:r>
          <m:r>
            <m:rPr>
              <m:sty m:val="p"/>
            </m:rPr>
            <m:t>exp</m:t>
          </m:r>
          <m:d>
            <m:dPr>
              <m:begChr m:val="("/>
              <m:sepChr m:val=""/>
              <m:endChr m:val=")"/>
              <m:grow/>
            </m:dPr>
            <m:e>
              <m:r>
                <m:rPr>
                  <m:sty m:val="p"/>
                </m:rPr>
                <m:t>−</m:t>
              </m:r>
              <m:f>
                <m:fPr>
                  <m:type m:val="bar"/>
                </m:fPr>
                <m:num>
                  <m:r>
                    <m:t>σ</m:t>
                  </m:r>
                </m:num>
                <m:den>
                  <m:r>
                    <m:t>1</m:t>
                  </m:r>
                  <m:r>
                    <m:rPr>
                      <m:sty m:val="p"/>
                    </m:rPr>
                    <m:t>+</m:t>
                  </m:r>
                  <m:r>
                    <m:t>γ</m:t>
                  </m:r>
                  <m:r>
                    <m:t>k</m:t>
                  </m:r>
                </m:den>
              </m:f>
            </m:e>
          </m:d>
        </m:oMath>
      </m:oMathPara>
    </w:p>
    <w:p>
      <w:pPr>
        <w:pStyle w:val="FirstParagraph"/>
      </w:pPr>
      <w:r>
        <w:t xml:space="preserve">In words: survival probability during a crisis increases with the number of exchange partners. The parameter</w:t>
      </w:r>
      <w:r>
        <w:t xml:space="preserve"> </w:t>
      </w:r>
      <m:oMath>
        <m:r>
          <m:t>γ</m:t>
        </m:r>
      </m:oMath>
      <w:r>
        <w:t xml:space="preserve"> </w:t>
      </w:r>
      <w:r>
        <w:t xml:space="preserve">scales the buffering value of each additional partner. When a group has no exchange partners (</w:t>
      </w:r>
      <w:r>
        <w:rPr>
          <w:i/>
          <w:iCs/>
        </w:rPr>
        <w:t xml:space="preserve">k</w:t>
      </w:r>
      <w:r>
        <w:t xml:space="preserve"> </w:t>
      </w:r>
      <w:r>
        <w:t xml:space="preserve">= 0), survival is determined entirely by the severity of the shortfall. Each additional partner reduces the effective impact of the crisis by providing access to resources from areas that may not be simultaneously affected. The exponential form ensures that survival probability remains in the interval (0, 1] for all non-negative</w:t>
      </w:r>
      <w:r>
        <w:t xml:space="preserve"> </w:t>
      </w:r>
      <m:oMath>
        <m:r>
          <m:t>σ</m:t>
        </m:r>
      </m:oMath>
      <w:r>
        <w:t xml:space="preserve"> </w:t>
      </w:r>
      <w:r>
        <w:t xml:space="preserve">and</w:t>
      </w:r>
      <w:r>
        <w:t xml:space="preserve"> </w:t>
      </w:r>
      <m:oMath>
        <m:r>
          <m:t>k</m:t>
        </m:r>
      </m:oMath>
      <w:r>
        <w:t xml:space="preserve">, and introduces diminishing marginal returns to additional partners, consistent with the standard logic of risk pooling in which the first few exchange partners provide substantially more insurance than subsequent additions. Appendix A (Section A.3) demonstrates that the model’s qualitative predictions, specifically the positive feedback between uncertainty and signaling returns, are robust to the choice between exponential and linear survival functions; the exponential form is preferred on theoretical grounds because it avoids boundary violations and better captures the diminishing-returns structure of risk buffering.</w:t>
      </w:r>
    </w:p>
    <w:p>
      <w:pPr>
        <w:pStyle w:val="BodyText"/>
      </w:pPr>
      <w:r>
        <w:t xml:space="preserve">Monument builders acquire more exchange partners because their investment signals cooperative reliability. The formal basis for this connection was established by Gintis, Smith, and Bowles (2001), who demonstrated that cooperation among unrelated individuals can evolve through honest signaling even in the absence of repeated or assortative interactions. In their model, cooperation constitutes an honest signal of quality because cooperative responses from partners offset signaling costs; the equilibrium exists when the benefits of signaling exceed the expected cost for high-quality types but not for low-quality types (Gintis et al. 2001, p. 8). Critically, the model exhibits bistability: both signaling and non-signaling equilibria are stable, but a small number of signalers can invade a non-signaling population more easily than the reverse, predicting that signaling systems, once established, are robust (Gintis et al. 2001, pp. 12-13). The GSB model was developed for individual-level interactions among unrelated agents. At Chaco, the relevant exchange relationships operated between corporate groups, some of which were connected through kinship (Kennett et al. 2017). The extension from individual to group-level signaling is justified when the signaling agent is the corporate group rather than the individual, which the archaeological evidence supports: great house construction was a collective enterprise whose costs and benefits accrued to the community, not to any single person. Kin-based relationships within and between groups would, if anything, strengthen the signaling mechanism by providing additional channels for partner assessment and reducing the information asymmetry that signaling addresses. A group that has invested heavily in monument construction, bearing costs that are individually rational only for high-quality types, credibly demonstrates both its productive capacity and its commitment to the local social system. This information reduces the risk that potential exchange partners face when entering cooperative relationships with the signaler, lowering the threshold for partnership formation.</w:t>
      </w:r>
    </w:p>
    <w:p>
      <w:pPr>
        <w:pStyle w:val="BodyText"/>
      </w:pPr>
      <w:r>
        <w:t xml:space="preserve">The critical feedback mechanism is that the fitness return to signaling,</w:t>
      </w:r>
      <w:r>
        <w:t xml:space="preserve"> </w:t>
      </w:r>
      <m:oMath>
        <m:r>
          <m:t>λ</m:t>
        </m:r>
      </m:oMath>
      <w:r>
        <w:t xml:space="preserve">, is itself a function of environmental uncertainty:</w:t>
      </w:r>
    </w:p>
    <w:p>
      <w:pPr>
        <w:pStyle w:val="BodyText"/>
      </w:pPr>
      <m:oMathPara>
        <m:oMathParaPr>
          <m:jc m:val="center"/>
        </m:oMathParaPr>
        <m:oMath>
          <m:r>
            <m:t>λ</m:t>
          </m:r>
          <m:r>
            <m:rPr>
              <m:sty m:val="p"/>
            </m:rPr>
            <m:t>(</m:t>
          </m:r>
          <m:r>
            <m:t>σ</m:t>
          </m:r>
          <m:r>
            <m:rPr>
              <m:sty m:val="p"/>
            </m:rPr>
            <m:t>)</m:t>
          </m:r>
          <m:r>
            <m:rPr>
              <m:sty m:val="p"/>
            </m:rPr>
            <m:t>=</m:t>
          </m:r>
          <m:sSub>
            <m:e>
              <m:r>
                <m:t>λ</m:t>
              </m:r>
            </m:e>
            <m:sub>
              <m:r>
                <m:t>0</m:t>
              </m:r>
            </m:sub>
          </m:sSub>
          <m:r>
            <m:rPr>
              <m:sty m:val="p"/>
            </m:rPr>
            <m:t>+</m:t>
          </m:r>
          <m:sSub>
            <m:e>
              <m:r>
                <m:t>λ</m:t>
              </m:r>
            </m:e>
            <m:sub>
              <m:r>
                <m:t>1</m:t>
              </m:r>
            </m:sub>
          </m:sSub>
          <m:r>
            <m:rPr>
              <m:sty m:val="p"/>
            </m:rPr>
            <m:t>⋅</m:t>
          </m:r>
          <m:r>
            <m:t>σ</m:t>
          </m:r>
        </m:oMath>
      </m:oMathPara>
    </w:p>
    <w:p>
      <w:pPr>
        <w:pStyle w:val="FirstParagraph"/>
      </w:pPr>
      <w:r>
        <w:t xml:space="preserve">In words: as environmental uncertainty increases, the fitness value of cooperation networks rises, which increases the returns to monument signaling, which drives greater investment, which builds denser networks. The linear form is the simplest specification consistent with the qualitative prediction that signaling returns increase with uncertainty. Whether the true relationship is linear, concave (diminishing returns at high uncertainty), or exhibits threshold effects is an empirical question that cannot be resolved at this stage of the research programme. Appendix A (Section A.5) demonstrates that the model’s core qualitative predictions, specifically that signaling intensifies with moderate uncertainty and that the system collapses under extreme sustained stress, are robust across a family of monotonically increasing lambda-sigma functions, including concave specifications of the form</w:t>
      </w:r>
      <w:r>
        <w:t xml:space="preserve"> </w:t>
      </w:r>
      <m:oMath>
        <m:r>
          <m:t>λ</m:t>
        </m:r>
        <m:r>
          <m:rPr>
            <m:sty m:val="p"/>
          </m:rPr>
          <m:t>(</m:t>
        </m:r>
        <m:r>
          <m:t>σ</m:t>
        </m:r>
        <m:r>
          <m:rPr>
            <m:sty m:val="p"/>
          </m:rPr>
          <m:t>)</m:t>
        </m:r>
        <m:r>
          <m:rPr>
            <m:sty m:val="p"/>
          </m:rPr>
          <m:t>=</m:t>
        </m:r>
        <m:sSub>
          <m:e>
            <m:r>
              <m:t>λ</m:t>
            </m:r>
          </m:e>
          <m:sub>
            <m:r>
              <m:t>0</m:t>
            </m:r>
          </m:sub>
        </m:sSub>
        <m:r>
          <m:rPr>
            <m:sty m:val="p"/>
          </m:rPr>
          <m:t>+</m:t>
        </m:r>
        <m:sSub>
          <m:e>
            <m:r>
              <m:t>λ</m:t>
            </m:r>
          </m:e>
          <m:sub>
            <m:r>
              <m:t>1</m:t>
            </m:r>
          </m:sub>
        </m:sSub>
        <m:r>
          <m:rPr>
            <m:sty m:val="p"/>
          </m:rPr>
          <m:t>⋅</m:t>
        </m:r>
        <m:sSup>
          <m:e>
            <m:r>
              <m:t>σ</m:t>
            </m:r>
          </m:e>
          <m:sup>
            <m:r>
              <m:t>α</m:t>
            </m:r>
          </m:sup>
        </m:sSup>
      </m:oMath>
      <w:r>
        <w:t xml:space="preserve"> </w:t>
      </w:r>
      <w:r>
        <w:t xml:space="preserve">with</w:t>
      </w:r>
      <w:r>
        <w:t xml:space="preserve"> </w:t>
      </w:r>
      <m:oMath>
        <m:r>
          <m:t>0</m:t>
        </m:r>
        <m:r>
          <m:rPr>
            <m:sty m:val="p"/>
          </m:rPr>
          <m:t>&lt;</m:t>
        </m:r>
        <m:r>
          <m:t>α</m:t>
        </m:r>
        <m:r>
          <m:rPr>
            <m:sty m:val="p"/>
          </m:rPr>
          <m:t>≤</m:t>
        </m:r>
        <m:r>
          <m:t>1</m:t>
        </m:r>
      </m:oMath>
      <w:r>
        <w:t xml:space="preserve">. A concave form would predict that signaling plateaus under extreme uncertainty rather than increasing without bound, which may better capture the Late Bonito decline in construction that preceded the megadrought. Distinguishing among functional forms requires the annual-resolution PMDI-construction correlation analysis identified in Section 6.6.</w:t>
      </w:r>
    </w:p>
    <w:p>
      <w:pPr>
        <w:pStyle w:val="BodyText"/>
      </w:pPr>
      <w:r>
        <w:t xml:space="preserve">This endogenous feedback is the mechanism that makes the model responsive to environmental conditions without requiring agents to consciously calibrate their behavior to climate forecasts. Under stable conditions (low</w:t>
      </w:r>
      <w:r>
        <w:t xml:space="preserve"> </w:t>
      </w:r>
      <m:oMath>
        <m:r>
          <m:t>σ</m:t>
        </m:r>
      </m:oMath>
      <w:r>
        <w:t xml:space="preserve">),</w:t>
      </w:r>
      <w:r>
        <w:t xml:space="preserve"> </w:t>
      </w:r>
      <m:oMath>
        <m:r>
          <m:t>λ</m:t>
        </m:r>
      </m:oMath>
      <w:r>
        <w:t xml:space="preserve"> </w:t>
      </w:r>
      <w:r>
        <w:t xml:space="preserve">is low and signaling investment is modest. Under high uncertainty,</w:t>
      </w:r>
      <w:r>
        <w:t xml:space="preserve"> </w:t>
      </w:r>
      <m:oMath>
        <m:r>
          <m:t>λ</m:t>
        </m:r>
      </m:oMath>
      <w:r>
        <w:t xml:space="preserve"> </w:t>
      </w:r>
      <w:r>
        <w:t xml:space="preserve">rises and signaling intensifies. The feedback can produce rapid transitions in signaling intensity when environmental conditions cross threshold values, consistent with the observed pattern at Chaco where construction escalated dramatically during the early eleventh century and collapsed within a generation during the mid-twelfth century megadrought.</w:t>
      </w:r>
    </w:p>
    <w:p>
      <w:pPr>
        <w:pStyle w:val="BodyText"/>
      </w:pPr>
      <w:r>
        <w:t xml:space="preserve">The exchange network predictions map onto ceramic similarity networks reconstructed from over 4.3 million decorated sherds across more than 700 archaeological sites in the Southwest (Mills et al. 2013). Peak network connectivity during AD 1050-1100 coincided with peak monument construction, as the model predicts (Mills et al. 2018). During this interval, the Chaco World reached its maximum spatial extent, with the Great North Road and associated sites achieving high centrality for the first time. The temporal coincidence of maximum construction investment and maximum network connectivity is precisely the relationship the lambda-sigma feedback predicts.</w:t>
      </w:r>
    </w:p>
    <w:p>
      <w:pPr>
        <w:pStyle w:val="BodyText"/>
      </w:pPr>
      <w:r>
        <w:t xml:space="preserve">Analysis of the spatial structure of these exchange networks provides direct evidence for cross-environmental risk buffering. Ceramic similarity between sites decayed nonlinearly with distance, but ties between sites in differing climate regimes, specifically sites experiencing different drought patterns driven by distinct oceanic and continental moisture sources, were stronger than distance alone would predict (Gauthier 2021). A spatial interaction model incorporating climate regime dissimilarity explained 42.5% of the variance in ceramic similarity, compared to 37.8% for a distance-only model, a modest but statistically significant improvement concentrated in the post-AD 1300 period. Sites connected across different drought regimes gain insurance against locally correlated shortfalls, because a drought driven by Pacific circulation anomalies may leave areas governed by Gulf of Mexico moisture patterns unaffected, and vice versa. This is exactly the buffering mechanism the survival function</w:t>
      </w:r>
      <w:r>
        <w:t xml:space="preserve"> </w:t>
      </w:r>
      <m:oMath>
        <m:r>
          <m:t>S</m:t>
        </m:r>
        <m:r>
          <m:rPr>
            <m:sty m:val="p"/>
          </m:rPr>
          <m:t>(</m:t>
        </m:r>
        <m:r>
          <m:t>σ</m:t>
        </m:r>
        <m:r>
          <m:rPr>
            <m:sty m:val="p"/>
          </m:rPr>
          <m:t>,</m:t>
        </m:r>
        <m:r>
          <m:t>k</m:t>
        </m:r>
        <m:r>
          <m:rPr>
            <m:sty m:val="p"/>
          </m:rPr>
          <m:t>)</m:t>
        </m:r>
      </m:oMath>
      <w:r>
        <w:t xml:space="preserve"> </w:t>
      </w:r>
      <w:r>
        <w:t xml:space="preserve">captures: exchange partners in different climate regimes are more valuable per partner than those experiencing correlated droughts. A more refined version of the survival function would discount the buffering value of partners whose environmental shocks are spatially correlated with the focal group. The present formulation treats each partner as providing independent buffering, which overstates the insurance value of nearby partners experiencing correlated conditions. This simplification is partially justified by the evidence that the Chaco network spanned multiple climate regimes (Gauthier 2021), but a full treatment would weight partners by the inverse of their drought correlation with the focal site.</w:t>
      </w:r>
    </w:p>
    <w:p>
      <w:pPr>
        <w:pStyle w:val="BodyText"/>
      </w:pPr>
      <w:r>
        <w:t xml:space="preserve">The theoretical framework for why spatial heterogeneity of environmental perturbations makes exchange-based buffering valuable is well established. Any source of environmental variability exhibits characteristic temporal, spatial, and intensity structures, and the form of an effective buffering response can be predicted from these structures (Halstead and O’Shea 1989). When spatial variability is high, meaning that different areas experience shortfalls at different times, exchange becomes a viable strategy because surplus in one area can offset deficit in another. The Chaco region sits at the intersection of multiple climate regimes, creating the spatial heterogeneity that makes exchange-based buffering rational and cooperation networks valuable.</w:t>
      </w:r>
    </w:p>
    <w:bookmarkEnd w:id="17"/>
    <w:bookmarkStart w:id="18" w:name="signal-depreciation"/>
    <w:p>
      <w:pPr>
        <w:pStyle w:val="Heading3"/>
      </w:pPr>
      <w:r>
        <w:t xml:space="preserve">2.5 Signal Depreciation</w:t>
      </w:r>
    </w:p>
    <w:p>
      <w:pPr>
        <w:pStyle w:val="FirstParagraph"/>
      </w:pPr>
      <w:r>
        <w:t xml:space="preserve">Monument stock is not permanent. Even if the physical structure endures, the informational content of a signal depreciates over time without current investment to refresh it. Monument stock evolves according to:</w:t>
      </w:r>
    </w:p>
    <w:p>
      <w:pPr>
        <w:pStyle w:val="BodyText"/>
      </w:pPr>
      <m:oMathPara>
        <m:oMathParaPr>
          <m:jc m:val="center"/>
        </m:oMathParaPr>
        <m:oMath>
          <m:sSub>
            <m:e>
              <m:r>
                <m:t>M</m:t>
              </m:r>
            </m:e>
            <m:sub>
              <m:r>
                <m:t>g</m:t>
              </m:r>
            </m:sub>
          </m:sSub>
          <m:r>
            <m:rPr>
              <m:sty m:val="p"/>
            </m:rPr>
            <m:t>(</m:t>
          </m:r>
          <m:r>
            <m:t>t</m:t>
          </m:r>
          <m:r>
            <m:rPr>
              <m:sty m:val="p"/>
            </m:rPr>
            <m:t>+</m:t>
          </m:r>
          <m:r>
            <m:t>1</m:t>
          </m:r>
          <m:r>
            <m:rPr>
              <m:sty m:val="p"/>
            </m:rPr>
            <m:t>)</m:t>
          </m:r>
          <m:r>
            <m:rPr>
              <m:sty m:val="p"/>
            </m:rPr>
            <m:t>=</m:t>
          </m:r>
          <m:r>
            <m:rPr>
              <m:sty m:val="p"/>
            </m:rPr>
            <m:t>(</m:t>
          </m:r>
          <m:r>
            <m:t>1</m:t>
          </m:r>
          <m:r>
            <m:rPr>
              <m:sty m:val="p"/>
            </m:rPr>
            <m:t>−</m:t>
          </m:r>
          <m:r>
            <m:t>δ</m:t>
          </m:r>
          <m:r>
            <m:rPr>
              <m:sty m:val="p"/>
            </m:rPr>
            <m:t>)</m:t>
          </m:r>
          <m:r>
            <m:rPr>
              <m:sty m:val="p"/>
            </m:rPr>
            <m:t>⋅</m:t>
          </m:r>
          <m:sSub>
            <m:e>
              <m:r>
                <m:t>M</m:t>
              </m:r>
            </m:e>
            <m:sub>
              <m:r>
                <m:t>g</m:t>
              </m:r>
            </m:sub>
          </m:sSub>
          <m:r>
            <m:rPr>
              <m:sty m:val="p"/>
            </m:rPr>
            <m:t>(</m:t>
          </m:r>
          <m:r>
            <m:t>t</m:t>
          </m:r>
          <m:r>
            <m:rPr>
              <m:sty m:val="p"/>
            </m:rPr>
            <m:t>)</m:t>
          </m:r>
          <m:r>
            <m:rPr>
              <m:sty m:val="p"/>
            </m:rPr>
            <m:t>+</m:t>
          </m:r>
          <m:sSub>
            <m:e>
              <m:r>
                <m:t>I</m:t>
              </m:r>
            </m:e>
            <m:sub>
              <m:r>
                <m:t>g</m:t>
              </m:r>
            </m:sub>
          </m:sSub>
          <m:r>
            <m:rPr>
              <m:sty m:val="p"/>
            </m:rPr>
            <m:t>(</m:t>
          </m:r>
          <m:r>
            <m:t>t</m:t>
          </m:r>
          <m:r>
            <m:rPr>
              <m:sty m:val="p"/>
            </m:rPr>
            <m:t>)</m:t>
          </m:r>
        </m:oMath>
      </m:oMathPara>
    </w:p>
    <w:p>
      <w:pPr>
        <w:pStyle w:val="FirstParagraph"/>
      </w:pPr>
      <w:r>
        <w:t xml:space="preserve">In words: last period’s monument stock depreciates at rate</w:t>
      </w:r>
      <w:r>
        <w:t xml:space="preserve"> </w:t>
      </w:r>
      <m:oMath>
        <m:r>
          <m:t>δ</m:t>
        </m:r>
      </m:oMath>
      <w:r>
        <w:t xml:space="preserve">, and new investment</w:t>
      </w:r>
      <w:r>
        <w:t xml:space="preserve"> </w:t>
      </w:r>
      <m:oMath>
        <m:sSub>
          <m:e>
            <m:r>
              <m:t>I</m:t>
            </m:r>
          </m:e>
          <m:sub>
            <m:r>
              <m:t>g</m:t>
            </m:r>
          </m:sub>
        </m:sSub>
        <m:r>
          <m:rPr>
            <m:sty m:val="p"/>
          </m:rPr>
          <m:t>(</m:t>
        </m:r>
        <m:r>
          <m:t>t</m:t>
        </m:r>
        <m:r>
          <m:rPr>
            <m:sty m:val="p"/>
          </m:rPr>
          <m:t>)</m:t>
        </m:r>
      </m:oMath>
      <w:r>
        <w:t xml:space="preserve"> </w:t>
      </w:r>
      <w:r>
        <w:t xml:space="preserve">adds to the stock. The depreciation rate</w:t>
      </w:r>
      <w:r>
        <w:t xml:space="preserve"> </w:t>
      </w:r>
      <m:oMath>
        <m:r>
          <m:t>δ</m:t>
        </m:r>
      </m:oMath>
      <w:r>
        <w:t xml:space="preserve"> </w:t>
      </w:r>
      <w:r>
        <w:t xml:space="preserve">is informational, not physical: a great house that was built a century ago and has received no subsequent construction or renovation signals that the constructing group may no longer possess the capacity it once demonstrated. At steady state, maintaining a constant signal requires continuous investment:</w:t>
      </w:r>
      <w:r>
        <w:t xml:space="preserve"> </w:t>
      </w:r>
      <m:oMath>
        <m:sSubSup>
          <m:e>
            <m:r>
              <m:t>M</m:t>
            </m:r>
          </m:e>
          <m:sub>
            <m:r>
              <m:t>g</m:t>
            </m:r>
          </m:sub>
          <m:sup>
            <m:r>
              <m:rPr>
                <m:sty m:val="p"/>
              </m:rPr>
              <m:t>*</m:t>
            </m:r>
          </m:sup>
        </m:sSubSup>
        <m:r>
          <m:rPr>
            <m:sty m:val="p"/>
          </m:rPr>
          <m:t>=</m:t>
        </m:r>
        <m:sSub>
          <m:e>
            <m:r>
              <m:t>I</m:t>
            </m:r>
          </m:e>
          <m:sub>
            <m:r>
              <m:t>g</m:t>
            </m:r>
          </m:sub>
        </m:sSub>
        <m:r>
          <m:rPr>
            <m:sty m:val="p"/>
          </m:rPr>
          <m:t>/</m:t>
        </m:r>
        <m:r>
          <m:t>δ</m:t>
        </m:r>
      </m:oMath>
      <w:r>
        <w:t xml:space="preserve">.</w:t>
      </w:r>
    </w:p>
    <w:p>
      <w:pPr>
        <w:pStyle w:val="BodyText"/>
      </w:pPr>
      <w:r>
        <w:t xml:space="preserve">The archaeological record of Pueblo Bonito provides direct evidence for this dynamic. Construction history reveals a pattern of near-constant architectural change, with rooms collapsing, being rebuilt, renovated, repurposed, and expanded over a span exceeding 300 years (Crown and Wills 2018). The characterization of Pueblo Bonito as</w:t>
      </w:r>
      <w:r>
        <w:t xml:space="preserve"> </w:t>
      </w:r>
      <w:r>
        <w:t xml:space="preserve">“a never-ending project”</w:t>
      </w:r>
      <w:r>
        <w:t xml:space="preserve"> </w:t>
      </w:r>
      <w:r>
        <w:t xml:space="preserve">captures the signal depreciation prediction precisely. A construction hiatus of approximately 65 years (c. AD 975-1040) led to rooms being left unmaintained and collapsing, demonstrating the physical reality of depreciation when investment ceases. The subsequent resumption of construction in the AD 1040s required building on top of accumulated debris and collapsed structures, with approximately 264 to 274 new rooms constructed in 60 years, effectively doubling the building’s size to restore signal value after the hiatus.</w:t>
      </w:r>
    </w:p>
    <w:p>
      <w:pPr>
        <w:pStyle w:val="BodyText"/>
      </w:pPr>
      <w:r>
        <w:t xml:space="preserve">The Late Bonito phase (AD 1100-1140) provides further evidence. Six new great houses were erected in Chaco Canyon during this period, employing a standardized McElmo-style template that required roughly one-half to one-third the labor of Classic Bonito construction (Van Dyke 2004). These structures incorporated false parallel walls along their southern facades, unfaced secondary walls that turned the space between them into small cells with no structural or functional purpose. This</w:t>
      </w:r>
      <w:r>
        <w:t xml:space="preserve"> </w:t>
      </w:r>
      <w:r>
        <w:t xml:space="preserve">“illusory trick”</w:t>
      </w:r>
      <w:r>
        <w:t xml:space="preserve"> </w:t>
      </w:r>
      <w:r>
        <w:t xml:space="preserve">inflated the visual mass and apparent height of the structures at reduced cost, representing an attempt to maintain signal currency as the labor force and resource base available to builders declined. The signal depreciation framework interprets this as a predictable response: when the cost of maintaining full signal fidelity exceeds the signaler’s capacity, investment shifts toward lower-cost approximations that preserve some informational content at the expense of signal honesty. Schwarz (2023) identifies this dynamic as</w:t>
      </w:r>
      <w:r>
        <w:t xml:space="preserve"> </w:t>
      </w:r>
      <w:r>
        <w:t xml:space="preserve">“cost shifting”</w:t>
      </w:r>
      <w:r>
        <w:t xml:space="preserve"> </w:t>
      </w:r>
      <w:r>
        <w:t xml:space="preserve">in a comparative analysis of Maya signaling collapse, where Terminal Classic communities reduced signal production costs by building smaller temples rather than maintaining earlier monumental scales; the Late Bonito McElmo-style construction at Chaco represents a structurally parallel strategy.</w:t>
      </w:r>
    </w:p>
    <w:bookmarkEnd w:id="18"/>
    <w:bookmarkStart w:id="19" w:name="the-exotic-goods-channel"/>
    <w:p>
      <w:pPr>
        <w:pStyle w:val="Heading3"/>
      </w:pPr>
      <w:r>
        <w:t xml:space="preserve">2.6 The Exotic Goods Channel</w:t>
      </w:r>
    </w:p>
    <w:p>
      <w:pPr>
        <w:pStyle w:val="FirstParagraph"/>
      </w:pPr>
      <w:r>
        <w:t xml:space="preserve">Individual-level status competition within and across great houses operated through a second signaling channel: exotic goods, including turquoise, scarlet macaws, cacao, marine shell, and copper bells. This channel is analytically distinct from monument construction because it signals individual quality within the elite stratum rather than group capacity to external audiences.</w:t>
      </w:r>
    </w:p>
    <w:p>
      <w:pPr>
        <w:pStyle w:val="BodyText"/>
      </w:pPr>
      <w:r>
        <w:t xml:space="preserve">The chronological relationship between the two channels is informative. Radiocarbon dating of scarlet macaw remains from Pueblo Bonito demonstrates that macaw procurement began by approximately AD 900-975, some 50 to 150 years earlier than previously assumed and well before the peak of architectural expansion in the AD 1040-1110 period (Watson et al. 2015). Twelve of 14 dated macaws predate the construction apogee. All macaws were imported rather than locally bred; no breeding-age individuals, nestlings, or breeding infrastructure have been identified at Chaco, and the nearest wild populations were 1,800 km or more distant in lowland tropical Mexico. This chronological sequence, in which individual signaling through exotic goods established social hierarchies before group-level monument investment intensified, is consistent with a model in which Layer 1 equilibria emerge first and provide the social infrastructure upon which Layer 2 intergroup signaling is built.</w:t>
      </w:r>
    </w:p>
    <w:p>
      <w:pPr>
        <w:pStyle w:val="BodyText"/>
      </w:pPr>
      <w:r>
        <w:t xml:space="preserve">The channel selection analysis (Appendix A, Section A.4) explains why monument construction dominates the signaling system when multi-audience communication matters. The key distinction is between signal fidelity and signal impressiveness. Monument construction has high signal fidelity because labor capacity, the quality being signaled, cannot be faked through windfall acquisition. Constructing a 350-room, four-story masonry building requires sustained organizational capacity that has no shortcut. Feasting and exotic goods, by contrast, have lower signal fidelity because they can be partially subsidized by fortunate procurement events: a single successful trading expedition or an unusually productive turquoise vein, rather than systematic productive capacity. The load-bearing assumption is the ordering, that monument fidelity exceeds exotic goods fidelity, not the specific magnitudes. We do not assign numerical fidelity values because no empirical procedure currently exists for estimating them; the qualitative ordering is justified by the structural properties of the two channels (labor cannot be faked; procurement can be lucky). When the signal audience includes both potential exchange partners assessing long-term cooperative reliability and potential competitors assessing group strength, the higher-fidelity channel dominates because both audiences value accuracy over impressiveness. Exotic goods persist as a complementary channel for intra-elite competition, where the audience is smaller, more informed, and better positioned to evaluate the procurement history behind any individual display.## 3. Environmental Parameterization</w:t>
      </w:r>
    </w:p>
    <w:bookmarkEnd w:id="19"/>
    <w:bookmarkStart w:id="20" w:name="multi-millennial-context"/>
    <w:p>
      <w:pPr>
        <w:pStyle w:val="Heading3"/>
      </w:pPr>
      <w:r>
        <w:t xml:space="preserve">3.1 Multi-Millennial Context</w:t>
      </w:r>
    </w:p>
    <w:p>
      <w:pPr>
        <w:pStyle w:val="FirstParagraph"/>
      </w:pPr>
      <w:r>
        <w:t xml:space="preserve">The environmental uncertainty parameter sigma captures the cumulative exposure to environmental stress that a population experiences, integrating shortfall magnitude, duration, and frequency. In the analytical model, sigma enters the lambda-sigma feedback and the survival function as a single scalar. In the empirical evaluation, we operationalize sigma in three ways: as rolling PMDI standard deviation (for the annual-resolution correlation tests in Section 5.5), as period-level PMDI variance (for the descriptive period comparison), and as a composite measure for visualization in Figure 6. The analytical predictions concern the qualitative direction of the sigma-construction relationship, not a specific operationalization, so the P5 result (negative correlation between variance and construction) is robust to the choice of sigma measure. For Chaco Canyon, the relevant question is not whether drought occurred but how predictable agricultural outcomes were from year to year and decade to decade. The answer, drawing on multiple independent paleoclimate proxies, is that the Chaco florescence coincided with one of the most variable climatic intervals of the late Holocene.</w:t>
      </w:r>
    </w:p>
    <w:p>
      <w:pPr>
        <w:pStyle w:val="BodyText"/>
      </w:pPr>
      <w:r>
        <w:t xml:space="preserve">Polyak, Asmerom, and Lachniet (2022) present a 3,400-year speleothem record from Fort Stanton Cave in south-central New Mexico that provides a long-baseline context for Puebloan climate. The record reveals that the entire Pueblo period, from roughly AD 500 to 1300, was characterized by the driest and most variable conditions of the last three and a half millennia. Within this broader arid interval, the Pueblo II sub-period (approximately AD 900-1100), which corresponds to the Chaco florescence, includes an approximately 90-year growth hiatus in the speleothem record around AD 1050, indicating sustained aridity severe enough to halt cave mineral deposition. The Chaco system emerged and intensified not during a climatically favorable window but during a period of pronounced hydroclimate stress and unpredictability.</w:t>
      </w:r>
    </w:p>
    <w:p>
      <w:pPr>
        <w:pStyle w:val="BodyText"/>
      </w:pPr>
      <w:r>
        <w:t xml:space="preserve">ENSO-driven variability provides the higher-frequency component of environmental uncertainty at Chaco. Gillreath-Brown and Kohler (2024) demonstrate that El Nino-like conditions, which bring enhanced winter precipitation to the Colorado Plateau, dominated from roughly AD 1 to 1100. This</w:t>
      </w:r>
      <w:r>
        <w:t xml:space="preserve"> </w:t>
      </w:r>
      <w:r>
        <w:t xml:space="preserve">“El Nino Pueblo Period”</w:t>
      </w:r>
      <w:r>
        <w:t xml:space="preserve"> </w:t>
      </w:r>
      <w:r>
        <w:t xml:space="preserve">created a baseline of winter moisture that supported maize agriculture in marginal settings. La Nina conditions, by contrast, bring winter drought to the Southwest and correlate with agricultural failure. The ENSO regime began shifting toward La Nina dominance around AD 1100-1200, coinciding with the terminal decline of the Chaco system. The implication is that the Chaco florescence developed during a favorable baseline phase of ENSO, but one characterized by substantial interannual variability within that phase. Favorable average conditions did not mean predictable conditions.</w:t>
      </w:r>
    </w:p>
    <w:p>
      <w:pPr>
        <w:pStyle w:val="BodyText"/>
      </w:pPr>
      <w:r>
        <w:t xml:space="preserve">This distinction between average productivity and productivity variance is critical. The signaling model does not predict that construction should occur during periods of low average productivity. It predicts that construction should intensify when environmental uncertainty, the variance and unpredictability of productivity, increases. A population experiencing high average rainfall but with large year-to-year fluctuations faces greater uncertainty than one with lower but more stable precipitation.</w:t>
      </w:r>
    </w:p>
    <w:bookmarkEnd w:id="20"/>
    <w:bookmarkStart w:id="21" w:name="period-specific-sigma-values"/>
    <w:p>
      <w:pPr>
        <w:pStyle w:val="Heading3"/>
      </w:pPr>
      <w:r>
        <w:t xml:space="preserve">3.2 Period-Specific Sigma Values</w:t>
      </w:r>
    </w:p>
    <w:p>
      <w:pPr>
        <w:pStyle w:val="FirstParagraph"/>
      </w:pPr>
      <w:r>
        <w:t xml:space="preserve">Kantner and Vaughn (2012, Table 2) provide the most specific period-level precipitation statistics tied to Chaco cultural phases, derived from dendroclimatological reconstructions (Force et al. 2002; Grissino-Mayer 1996, 1997). The data reveal a clear pattern: the pilgrimage era (Classic Bonito, AD 1020-1130) had both higher mean precipitation and higher variability than the preceding Early Bonito period. Mean annual precipitation was 15.09 inches during Classic Bonito versus 14.31 inches during Early Bonito, but the standard deviation was 1.94 versus 1.59 and the autocorrelation statistic r1 was 0.275 versus 0.305. Lower autocorrelation means that conditions in one year are less predictive of conditions the following year, precisely the kind of temporal unpredictability that the model’s sigma parameter captures.</w:t>
      </w:r>
    </w:p>
    <w:p>
      <w:pPr>
        <w:pStyle w:val="BodyText"/>
      </w:pPr>
      <w:r>
        <w:t xml:space="preserve">These period-level statistics provide a coarse calibration of sigma across Chaco’s history. Pre-Chaco conditions (Pueblo I, AD 750-850) show high interannual variability (s = 1.51) but moderate mean precipitation (14.56 inches). The Early Bonito period (AD 850-1020) represents somewhat drier, more temporally predictable conditions. Classic Bonito (AD 1020-1130) brings wetter conditions on average but with the highest variability and lowest predictability, exactly the conditions under which the lambda-sigma feedback predicts intensified signaling investment. The Late Bonito/collapse period (AD 1130-1200) shows declining mean precipitation (14.30 inches) with continued high variability (s = 1.73) and further reduced predictability (r1 = 0.231). This temporal sequence maps onto the model’s phase space: sigma rises through the critical threshold during the early florescence, drives the positive feedback loop during Classic Bonito, and exceeds the system’s buffering capacity during the terminal megadrought.</w:t>
      </w:r>
    </w:p>
    <w:p>
      <w:pPr>
        <w:pStyle w:val="BodyText"/>
      </w:pPr>
      <w:r>
        <w:t xml:space="preserve">The environmental picture is further complicated by the finding that sigma at Chaco was partly endogenous. Lentz and colleagues (2021) document centuries of progressive deforestation in the canyon, with juniper pollen declining from 20% to 2% between 600 BC and AD 1100. This deforestation was anthropogenic rather than climate-driven: pinyon-juniper woodland survived prior severe droughts, persists today at comparable elevations within 100 km, and declined during the relatively mesic conditions of the Bonito phase. Over one million cubic meters of fuelwood were consumed during the 340-year Bonito phase, far exceeding construction timber demand as a driver of woodland loss. Wills and colleagues (2014) offer an alternative perspective, arguing that long-distance timber procurement was always part of the construction recipe and that the evidence for local deforestation has been overstated. Both positions agree, however, that substantial quantities of wood were procured from distances of 75 km or more, representing a significant and likely increasing cost over time.</w:t>
      </w:r>
    </w:p>
    <w:bookmarkEnd w:id="21"/>
    <w:bookmarkStart w:id="22" w:name="Xe37badc7a32fac6aa59f75bcbe93f9f384d53c9"/>
    <w:p>
      <w:pPr>
        <w:pStyle w:val="Heading3"/>
      </w:pPr>
      <w:r>
        <w:t xml:space="preserve">3.3 Construction-Agriculture Scheduling Conflict</w:t>
      </w:r>
    </w:p>
    <w:p>
      <w:pPr>
        <w:pStyle w:val="FirstParagraph"/>
      </w:pPr>
      <w:r>
        <w:t xml:space="preserve">Canal networks for water management were definitively dated to the Bonito Phase through optically stimulated luminescence dating, confirming that water infrastructure was integrated with the construction system (Scarborough et al. 2018). A distinctive feature of Chaco’s environmental parameterization is the temporal overlap between construction and agriculture. Wills, Przystupa, and Williams (2022) demonstrate that the construction window for Chaco great houses falls between July and September, coinciding precisely with the growing season for maize agriculture. This overlap exists because both activities depend on the same resource: summer monsoonal precipitation. Masonry walls at Chaco required mortar composed of 30 to 40 percent water by volume, sourced from unpredictable storm runoff. Construction could proceed only when storms delivered sufficient water for both mortar preparation and crop irrigation.</w:t>
      </w:r>
    </w:p>
    <w:p>
      <w:pPr>
        <w:pStyle w:val="BodyText"/>
      </w:pPr>
      <w:r>
        <w:t xml:space="preserve">This scheduling conflict means that any labor invested in construction during the growing season was labor not available for agricultural activities. The cost parameter C is therefore not merely a proportion of total annual productivity; it represents a direct trade-off during the season when both food production and signal production compete for the same labor and water inputs. This intensifies the signaling cost and makes the Spence condition more stringent: only groups with sufficient productive capacity to absorb the agricultural opportunity cost can afford to construct during the growing season.</w:t>
      </w:r>
    </w:p>
    <w:bookmarkEnd w:id="22"/>
    <w:bookmarkStart w:id="23" w:name="resolving-the-construction-timing-debate"/>
    <w:p>
      <w:pPr>
        <w:pStyle w:val="Heading3"/>
      </w:pPr>
      <w:r>
        <w:t xml:space="preserve">3.4 Resolving the Construction Timing Debate</w:t>
      </w:r>
    </w:p>
    <w:p>
      <w:pPr>
        <w:pStyle w:val="FirstParagraph"/>
      </w:pPr>
      <w:r>
        <w:t xml:space="preserve">Safi (2015) presents evidence that great house construction in the southern Cibola region occurred during productive periods rather than during environmental downturns, and she interprets this pattern as inconsistent with models that link construction to environmental stress. The formal model resolves this apparent contradiction.</w:t>
      </w:r>
    </w:p>
    <w:p>
      <w:pPr>
        <w:pStyle w:val="BodyText"/>
      </w:pPr>
      <w:r>
        <w:t xml:space="preserve">The lambda-sigma feedback predicts that environmental uncertainty increases the returns to signaling, but construction itself requires resources that are available only during productive periods. These two dynamics operate at different temporal scales. At the decadal to century scale, construction intensity should track sigma: periods of higher environmental uncertainty should see more total construction investment. At the annual to sub-decadal scale, individual construction episodes should cluster during productive years within those uncertain periods, because construction physically cannot proceed without water for mortar and labor freed from subsistence crisis management.</w:t>
      </w:r>
    </w:p>
    <w:p>
      <w:pPr>
        <w:pStyle w:val="BodyText"/>
      </w:pPr>
      <w:r>
        <w:t xml:space="preserve">The analogy to insurance is apt. Individuals purchase insurance during periods when they can afford premiums, not during the crises that insurance is designed to buffer. The decision to purchase insurance is motivated by the risk of future loss; the timing of purchase is constrained by current liquidity. Similarly, the decision to invest in monument construction is motivated by environmental uncertainty (high sigma increases the value of cooperation networks), but the timing of construction is constrained by current productivity (construction requires water, labor, and food surplus). Safi’s finding that construction occurs during productive periods is entirely consistent with a model in which the motivation for construction arises from uncertainty; the two observations address different temporal scales and different causal mechanisms.</w:t>
      </w:r>
      <w:r>
        <w:t xml:space="preserve"> </w:t>
      </w:r>
      <w:r>
        <w:t xml:space="preserve">## 4. Predictions</w:t>
      </w:r>
    </w:p>
    <w:p>
      <w:pPr>
        <w:pStyle w:val="BodyText"/>
      </w:pPr>
      <w:r>
        <w:t xml:space="preserve">The three-layer model, parameterized with Chaco-specific environmental and archaeological data, generates eight testable predictions. Each prediction specifies what the signaling model predicts, what alternative models (surplus-based, ritual-centered, political hierarchy) predict for the same observable, and the data required for evaluation. Predictions are organized by the model layer from which they derive.</w:t>
      </w:r>
    </w:p>
    <w:p>
      <w:pPr>
        <w:pStyle w:val="BodyText"/>
      </w:pPr>
      <w:r>
        <w:t xml:space="preserve">Following Mayo’s (2018) principle that evidence requires severe testing, we classify each prediction by its discriminating power relative to alternative frameworks. A prediction is</w:t>
      </w:r>
      <w:r>
        <w:t xml:space="preserve"> </w:t>
      </w:r>
      <w:r>
        <w:rPr>
          <w:b/>
          <w:bCs/>
        </w:rPr>
        <w:t xml:space="preserve">discriminating</w:t>
      </w:r>
      <w:r>
        <w:t xml:space="preserve"> </w:t>
      </w:r>
      <w:r>
        <w:t xml:space="preserve">if the signaling model predicts a pattern that alternative frameworks either do not predict or predict in the opposite direction. A prediction is</w:t>
      </w:r>
      <w:r>
        <w:t xml:space="preserve"> </w:t>
      </w:r>
      <w:r>
        <w:rPr>
          <w:b/>
          <w:bCs/>
        </w:rPr>
        <w:t xml:space="preserve">convergent</w:t>
      </w:r>
      <w:r>
        <w:t xml:space="preserve"> </w:t>
      </w:r>
      <w:r>
        <w:t xml:space="preserve">if the signaling model and one or more alternatives predict observationally similar patterns, even though the underlying mechanisms differ. Convergent predictions provide support for the signaling model only in conjunction with discriminating predictions; on their own, they cannot distinguish among frameworks. This classification is essential for honest evaluation of the model’s empirical leverage.</w:t>
      </w:r>
    </w:p>
    <w:bookmarkEnd w:id="23"/>
    <w:bookmarkStart w:id="24" w:name="layer-1-predictions-individual-signaling"/>
    <w:p>
      <w:pPr>
        <w:pStyle w:val="Heading3"/>
      </w:pPr>
      <w:r>
        <w:t xml:space="preserve">Layer 1 predictions: Individual signaling</w:t>
      </w:r>
    </w:p>
    <w:p>
      <w:pPr>
        <w:pStyle w:val="FirstParagraph"/>
      </w:pPr>
      <w:r>
        <w:rPr>
          <w:b/>
          <w:bCs/>
        </w:rPr>
        <w:t xml:space="preserve">Prediction 1: Quality-dependent investment</w:t>
      </w:r>
      <w:r>
        <w:t xml:space="preserve"> </w:t>
      </w:r>
      <w:r>
        <w:rPr>
          <w:i/>
          <w:iCs/>
        </w:rPr>
        <w:t xml:space="preserve">(convergent).</w:t>
      </w:r>
      <w:r>
        <w:t xml:space="preserve"> </w:t>
      </w:r>
      <w:r>
        <w:t xml:space="preserve">Great house construction investment should scale with proxies for lineage or community productive capacity. The Spence condition requires that marginal signaling costs decrease with quality; this generates a separating equilibrium in which higher-quality lineages invest more, lower-quality communities invest less, and the lowest-quality households invest nothing in monumental construction. Surplus models predict that investment scales with accumulated wealth, which is observationally similar but mechanistically distinct: the signaling model predicts investment even when current surplus is absent, provided the lineage has sufficient capacity to absorb the opportunity cost. Hierarchy models predict investment scaling with political authority rather than productive capacity.</w:t>
      </w:r>
    </w:p>
    <w:p>
      <w:pPr>
        <w:pStyle w:val="BodyText"/>
      </w:pPr>
      <w:r>
        <w:rPr>
          <w:b/>
          <w:bCs/>
        </w:rPr>
        <w:t xml:space="preserve">Prediction 2: Elite signaling through exotic goods</w:t>
      </w:r>
      <w:r>
        <w:t xml:space="preserve"> </w:t>
      </w:r>
      <w:r>
        <w:rPr>
          <w:i/>
          <w:iCs/>
        </w:rPr>
        <w:t xml:space="preserve">(convergent).</w:t>
      </w:r>
      <w:r>
        <w:t xml:space="preserve"> </w:t>
      </w:r>
      <w:r>
        <w:t xml:space="preserve">Exotic goods should concentrate disproportionately among the highest-quality lineages, and acquisition costs should be quality-dependent. The model predicts that exotic goods serve as individual-level signals complementary to group-level monument construction, with the costliest items (those requiring the most distant procurement or the rarest materials) concentrated at the highest-quality nodes in the system. Ritual models predict that exotic goods should be distributed according to ceremonial role rather than productive capacity. Redistribution models predict that exotic goods should flow through the system rather than accumulating at specific nodes.</w:t>
      </w:r>
    </w:p>
    <w:bookmarkEnd w:id="24"/>
    <w:bookmarkStart w:id="25" w:name="X4d16c4b97cb6809a1b3cf89afb4b2f99cdcf655"/>
    <w:p>
      <w:pPr>
        <w:pStyle w:val="Heading3"/>
      </w:pPr>
      <w:r>
        <w:t xml:space="preserve">Layer 2 predictions: Intergroup assessment</w:t>
      </w:r>
    </w:p>
    <w:p>
      <w:pPr>
        <w:pStyle w:val="FirstParagraph"/>
      </w:pPr>
      <w:r>
        <w:rPr>
          <w:b/>
          <w:bCs/>
        </w:rPr>
        <w:t xml:space="preserve">Prediction 3: Signal observability</w:t>
      </w:r>
      <w:r>
        <w:t xml:space="preserve"> </w:t>
      </w:r>
      <w:r>
        <w:rPr>
          <w:i/>
          <w:iCs/>
        </w:rPr>
        <w:t xml:space="preserve">(discriminating).</w:t>
      </w:r>
      <w:r>
        <w:t xml:space="preserve"> </w:t>
      </w:r>
      <w:r>
        <w:t xml:space="preserve">Great houses should be systematically placed in locations that maximize landscape-scale visibility, enabling the intergroup assessment function that Layer 2 specifies. If monuments function as assessment signals for mutual deterrence, their placement should reflect the need for the signal to be observed by neighboring groups. This prediction is specific to the signaling model; neither ritual models (which predict placement according to cosmological or astronomical criteria) nor surplus models (which predict placement according to agricultural productivity) generate the visibility prediction.</w:t>
      </w:r>
    </w:p>
    <w:p>
      <w:pPr>
        <w:pStyle w:val="BodyText"/>
      </w:pPr>
      <w:r>
        <w:rPr>
          <w:b/>
          <w:bCs/>
        </w:rPr>
        <w:t xml:space="preserve">Prediction 4: Conflict reduction during signaling (Pax Chaco)</w:t>
      </w:r>
      <w:r>
        <w:t xml:space="preserve"> </w:t>
      </w:r>
      <w:r>
        <w:rPr>
          <w:i/>
          <w:iCs/>
        </w:rPr>
        <w:t xml:space="preserve">(discriminating).</w:t>
      </w:r>
      <w:r>
        <w:t xml:space="preserve"> </w:t>
      </w:r>
      <w:r>
        <w:t xml:space="preserve">Inter-community violence should be lower during peak monument investment than during periods before or after active signaling. The mutual assessment mechanism predicts that when signaling is active and effective, groups can evaluate relative capacity without physical confrontation, reducing conflict rates. When signaling ceases, assessment becomes noisier and conflict rates should increase. Political hierarchy models predict low violence as a consequence of coercive control, which does not require monument investment specifically. Ritual models predict that peace results from shared religious identity rather than from any property of the monuments themselves.</w:t>
      </w:r>
    </w:p>
    <w:bookmarkEnd w:id="25"/>
    <w:bookmarkStart w:id="26" w:name="Xe0a4b4a662c121d67cd2ccaf151e7c18bc2abc1"/>
    <w:p>
      <w:pPr>
        <w:pStyle w:val="Heading3"/>
      </w:pPr>
      <w:r>
        <w:t xml:space="preserve">Layer 3 predictions: Cooperation networks and environmental feedback</w:t>
      </w:r>
    </w:p>
    <w:p>
      <w:pPr>
        <w:pStyle w:val="FirstParagraph"/>
      </w:pPr>
      <w:r>
        <w:rPr>
          <w:b/>
          <w:bCs/>
        </w:rPr>
        <w:t xml:space="preserve">Prediction 5: Construction intensifies under uncertainty</w:t>
      </w:r>
      <w:r>
        <w:t xml:space="preserve"> </w:t>
      </w:r>
      <w:r>
        <w:rPr>
          <w:i/>
          <w:iCs/>
        </w:rPr>
        <w:t xml:space="preserve">(discriminating).</w:t>
      </w:r>
      <w:r>
        <w:t xml:space="preserve"> </w:t>
      </w:r>
      <w:r>
        <w:t xml:space="preserve">Total construction investment should correlate with environmental uncertainty (sigma) at the decadal to century scale, not with surplus accumulation. The lambda-sigma feedback predicts that periods of higher environmental variability produce greater returns to monument signaling through the increased value of cooperation networks. This prediction is specific to the signaling model and directly contradicts surplus models, which predict construction during favorable conditions when surplus is available. The timing distinction in Section 3.4 applies: individual construction episodes occur during productive years, but the intensity of construction activity across decades tracks the uncertainty regime.</w:t>
      </w:r>
    </w:p>
    <w:p>
      <w:pPr>
        <w:pStyle w:val="BodyText"/>
      </w:pPr>
      <w:r>
        <w:rPr>
          <w:b/>
          <w:bCs/>
        </w:rPr>
        <w:t xml:space="preserve">Prediction 6: Network connectivity tracks signaling</w:t>
      </w:r>
      <w:r>
        <w:t xml:space="preserve"> </w:t>
      </w:r>
      <w:r>
        <w:rPr>
          <w:i/>
          <w:iCs/>
        </w:rPr>
        <w:t xml:space="preserve">(discriminating).</w:t>
      </w:r>
      <w:r>
        <w:t xml:space="preserve"> </w:t>
      </w:r>
      <w:r>
        <w:t xml:space="preserve">Social network connectivity, measured through material culture similarity, should co-evolve with monument construction. The model predicts that dense cooperation networks form when signaling is active (because monument investment attracts exchange partners) and fragment when signaling ceases. Network connectivity and construction should peak simultaneously, not sequentially. Neither surplus nor ritual models predict this specific temporal coupling between construction and network density.</w:t>
      </w:r>
    </w:p>
    <w:bookmarkEnd w:id="26"/>
    <w:bookmarkStart w:id="27" w:name="signal-depreciation-predictions"/>
    <w:p>
      <w:pPr>
        <w:pStyle w:val="Heading3"/>
      </w:pPr>
      <w:r>
        <w:t xml:space="preserve">Signal depreciation predictions</w:t>
      </w:r>
    </w:p>
    <w:p>
      <w:pPr>
        <w:pStyle w:val="FirstParagraph"/>
      </w:pPr>
      <w:r>
        <w:rPr>
          <w:b/>
          <w:bCs/>
        </w:rPr>
        <w:t xml:space="preserve">Prediction 7: Signal depreciation requires reinvestment</w:t>
      </w:r>
      <w:r>
        <w:t xml:space="preserve"> </w:t>
      </w:r>
      <w:r>
        <w:rPr>
          <w:i/>
          <w:iCs/>
        </w:rPr>
        <w:t xml:space="preserve">(partially discriminating).</w:t>
      </w:r>
      <w:r>
        <w:t xml:space="preserve"> </w:t>
      </w:r>
      <w:r>
        <w:t xml:space="preserve">Physical monument decay and informational depreciation should drive periodic construction renewals, with cessation of maintenance leading to signal collapse. The model predicts that monument-building societies exhibit repeated construction phases, renovations, and expansions rather than single construction events followed by passive use. When investment stops, the effective signal value decays at rate delta, eventually falling below the threshold at which it can support cooperation networks or deter competitors. This prediction is unique to the signaling model; no alternative Chaco framework predicts that construction cessation should lead to signal-value decay with measurable consequences for cooperation or conflict.</w:t>
      </w:r>
    </w:p>
    <w:bookmarkEnd w:id="27"/>
    <w:bookmarkStart w:id="28" w:name="system-level-prediction"/>
    <w:p>
      <w:pPr>
        <w:pStyle w:val="Heading3"/>
      </w:pPr>
      <w:r>
        <w:t xml:space="preserve">System-level prediction</w:t>
      </w:r>
    </w:p>
    <w:p>
      <w:pPr>
        <w:pStyle w:val="FirstParagraph"/>
      </w:pPr>
      <w:r>
        <w:rPr>
          <w:b/>
          <w:bCs/>
        </w:rPr>
        <w:t xml:space="preserve">Prediction 8: Collapse when sigma exceeds buffering capacity</w:t>
      </w:r>
      <w:r>
        <w:t xml:space="preserve"> </w:t>
      </w:r>
      <w:r>
        <w:rPr>
          <w:i/>
          <w:iCs/>
        </w:rPr>
        <w:t xml:space="preserve">(discriminating).</w:t>
      </w:r>
      <w:r>
        <w:t xml:space="preserve"> </w:t>
      </w:r>
      <w:r>
        <w:t xml:space="preserve">The system should collapse when sustained environmental stress exceeds the capacity of signaling-based cooperation networks to buffer shortfalls. The model specifies this collapse not as a simple threshold in drought severity but as a breakdown of the signaling equilibrium: when stress is so severe or prolonged that even high-quality signalers cannot afford continued investment, the separating equilibrium degrades, cooperation networks lose their informational basis, and the system unravels. The model further predicts that collapse should be preceded by attempts to maintain signal value at reduced cost (architectural inflation, signal</w:t>
      </w:r>
      <w:r>
        <w:t xml:space="preserve"> </w:t>
      </w:r>
      <w:r>
        <w:t xml:space="preserve">“cheating”</w:t>
      </w:r>
      <w:r>
        <w:t xml:space="preserve">), followed by rising conflict as the assessment mechanism fails, and ultimately by population dispersal or migration. Ecological models predict collapse from carrying capacity failure alone; the signaling model predicts a specific sequence of behavioral responses preceding the demographic outcome.</w:t>
      </w:r>
      <w:r>
        <w:t xml:space="preserve"> </w:t>
      </w:r>
      <w:r>
        <w:t xml:space="preserve">## 5. Evidence Evaluation</w:t>
      </w:r>
    </w:p>
    <w:p>
      <w:pPr>
        <w:pStyle w:val="BodyText"/>
      </w:pPr>
      <w:r>
        <w:t xml:space="preserve">The three-layer costly signaling model generates eight testable predictions about the Chaco system. Each prediction is derived from the formal model and evaluated against the archaeological, paleoclimatic, and bioarchaeological evidence. Predictions are assessed as Supported, Partially Supported, or Not Supported based on the weight and specificity of available data. As noted in Section 4, we distinguish between discriminating predictions (where the signaling model predicts patterns that alternatives do not) and convergent predictions (where multiple frameworks predict similar patterns). The model’s empirical leverage rests primarily on the discriminating predictions.</w:t>
      </w:r>
    </w:p>
    <w:bookmarkEnd w:id="28"/>
    <w:bookmarkStart w:id="29" w:name="X79e7dc161f597e407287e87227b2b8766ba5b7e"/>
    <w:p>
      <w:pPr>
        <w:pStyle w:val="Heading3"/>
      </w:pPr>
      <w:r>
        <w:t xml:space="preserve">5.1 Prediction 1: Quality-Dependent Investment</w:t>
      </w:r>
    </w:p>
    <w:p>
      <w:pPr>
        <w:pStyle w:val="FirstParagraph"/>
      </w:pPr>
      <w:r>
        <w:t xml:space="preserve">The Spence condition requires that signaling costs vary with signaler quality: higher-quality agents face lower marginal costs and therefore invest more in signal production. Applied to Chaco, this predicts that great house construction investment should scale with proxies for lineage or community productive capacity, producing observable variation in architectural elaboration across the system.</w:t>
      </w:r>
    </w:p>
    <w:p>
      <w:pPr>
        <w:pStyle w:val="BodyText"/>
      </w:pPr>
      <w:r>
        <w:t xml:space="preserve">The evidence strongly supports quality-dependent investment at multiple scales. At the individual level, the Room 33 burial crypt at Pueblo Bonito contained a matrilineal dynasty spanning approximately 330 years (ca. 800-1130 CE), identified through identical mitochondrial DNA genomes (B2y1 haplotype) across nine individuals, with nuclear DNA confirming mother-daughter and grandmother-grandson pairs (Kennett et al. 2017, pp. 3-5). The lineage founder (Burial 14) was interred with more than 11,200 turquoise pieces and more than 3,300 shell items, the richest burial in the North American Southwest (Kennett et al. 2017, p. 2). Reanalysis of Room 33 stratigraphy and AMS dating demonstrates that significant social differentiation began 150 to 200 years earlier than previously recognized: Burial 14 dates to a median of AD 873, and Burial 13 to AD 781 (Plog and Heitman 2010, p. 19623). More turquoise was recovered from this single small room, at least 25,000 pieces, than from all other prehistoric sites in the Southwest combined (Plog and Heitman 2010, p. 19622). This concentration of signaling capital within a single hereditary lineage satisfies the Spence condition: elite status was heritable and present from the earliest construction phases, creating stable type differentiation that sustained separating equilibria across generations.</w:t>
      </w:r>
    </w:p>
    <w:p>
      <w:pPr>
        <w:pStyle w:val="BodyText"/>
      </w:pPr>
      <w:r>
        <w:t xml:space="preserve">At the community level, architectural investment scales with community size and location within the regional system. Pueblo Bonito, the largest canyon great house, contained 350+ ground-floor rooms and 32 kivas, while outlier great houses in southern Cibola ranged from approximately 22 rooms (Largo Gap) to 44 rooms (Cox Ranch Pueblo) (Safi 2015, pp. 170, 229). This is not simply a size gradient; outlier structures incorporate Chacoan architectural features to varying degrees, with later structures adding more features through remodeling, consistent with a signaling escalation dynamic (Safi 2015, pp. 169, 271). Chacoan great houses also drove a marked increase in regional Gini coefficients around AD 900 (Kohler et al. 2023, Sec. 2f), confirming that monument construction was the primary vehicle through which inequality materialized in the archaeological record.</w:t>
      </w:r>
    </w:p>
    <w:p>
      <w:pPr>
        <w:pStyle w:val="BodyText"/>
      </w:pPr>
      <w:r>
        <w:t xml:space="preserve">Competing models generate different predictions. A surplus model predicts investment should correlate with agricultural productivity rather than lineage quality. A ritual-hierarchy model predicts centralized control over construction decisions rather than quality-dependent variation. The condition-dependent signaling model uniquely predicts the observed pattern: continuous variation in investment scaling with signaler capacity, from the richest burial at Pueblo Bonito to the modest outlier great houses that represent weaker but still condition-dependent signals rather than failed emulation (Safi 2015, p. 262).</w:t>
      </w:r>
    </w:p>
    <w:p>
      <w:pPr>
        <w:pStyle w:val="BodyText"/>
      </w:pPr>
      <w:r>
        <w:rPr>
          <w:b/>
          <w:bCs/>
        </w:rPr>
        <w:t xml:space="preserve">Assessment: Supported (convergent; severity caveat).</w:t>
      </w:r>
      <w:r>
        <w:t xml:space="preserve"> </w:t>
      </w:r>
      <w:r>
        <w:t xml:space="preserve">The combination of hereditary elite status, scaled architectural investment, and system-wide inequality increase is consistent with the Spence condition. A Bayesian log-log regression of timber specimen counts on room counts across 13 sites (PyMC 5, 2 chains, 1,000 tuning + 2,000 sampling iterations per chain, weakly informative Normal(0, 5) priors on all coefficients) yields a quality-investment slope of beta = 1.67 (94% HDI: 0.84-2.45, P(beta &gt; 0) = 0.9998; Figure 16c), confirming a superlinear relationship between site size and construction investment. However, this prediction is convergent with hierarchy models, and the test has not yet been severe in Mayo’s (2018) sense: quality (</w:t>
      </w:r>
      <w:r>
        <w:rPr>
          <w:i/>
          <w:iCs/>
        </w:rPr>
        <w:t xml:space="preserve">q</w:t>
      </w:r>
      <w:r>
        <w:t xml:space="preserve">) has not been operationalized independently of the investment it is intended to predict. Independent operationalization of</w:t>
      </w:r>
      <w:r>
        <w:t xml:space="preserve"> </w:t>
      </w:r>
      <w:r>
        <w:rPr>
          <w:i/>
          <w:iCs/>
        </w:rPr>
        <w:t xml:space="preserve">q</w:t>
      </w:r>
      <w:r>
        <w:t xml:space="preserve"> </w:t>
      </w:r>
      <w:r>
        <w:t xml:space="preserve">through catchment-area productivity or labor pool estimates (Section 6.7) is required to convert this from a convergent consistency check to a severe test.</w:t>
      </w:r>
    </w:p>
    <w:bookmarkEnd w:id="29"/>
    <w:bookmarkStart w:id="30" w:name="X0e8cb28bde500cc62a553d2417aea26f252805b"/>
    <w:p>
      <w:pPr>
        <w:pStyle w:val="Heading3"/>
      </w:pPr>
      <w:r>
        <w:t xml:space="preserve">5.2 Prediction 2: Elite Signaling Through Exotic Goods</w:t>
      </w:r>
    </w:p>
    <w:p>
      <w:pPr>
        <w:pStyle w:val="FirstParagraph"/>
      </w:pPr>
      <w:r>
        <w:t xml:space="preserve">The model predicts that exotic goods should concentrate among the highest-quality lineages, with acquisition costs that are quality-dependent. Individual-level signaling (Layer 1) operates through personal display items whose procurement requires access to long-distance exchange networks, specialized knowledge, and substantial labor investment.</w:t>
      </w:r>
    </w:p>
    <w:p>
      <w:pPr>
        <w:pStyle w:val="BodyText"/>
      </w:pPr>
      <w:r>
        <w:t xml:space="preserve">The distribution of exotic goods at Chaco is sharply concentrated. Of the 35 scarlet macaws recovered from the canyon, 30 (86%) came from Pueblo Bonito alone (Watson et al. 2015, p. 8238). AMS radiocarbon dates reveal that macaw procurement began by approximately AD 900-975, predating the architectural florescence by 50-150 years (Watson et al. 2015, p. 8238). Each macaw represented the full cost of acquisition from sources no closer than the Gulf Coast of Tamaulipas, approximately 1,800 km distant, and no evidence of local breeding has been found (Watson et al. 2015, pp. 8238, 8240-8241). The lapidary tool assemblage at Pueblo Bonito totals 758 objects, nearly eight times the number at the known workshop site 29SJ629, with the highest concentrations near the northern burial cluster containing the matrilineal dynasty (Mattson 2025, pp. 95, 106). Statistical analysis shows comparable production intensity per capita between Pueblo Bonito and the workshop site (production indexes of 0.18 and 0.21 respectively), but Pueblo Bonito’s consumption-to-production ratio (131.93) far exceeds the average for other Chaco sites (21.67), indicating disproportionate ornament consumption at the great house (Mattson 2025, pp. 105, 107). Mattson interprets this pattern as</w:t>
      </w:r>
      <w:r>
        <w:t xml:space="preserve"> </w:t>
      </w:r>
      <w:r>
        <w:t xml:space="preserve">“embedded production”</w:t>
      </w:r>
      <w:r>
        <w:t xml:space="preserve">: elite household members producing ornaments as part of their social roles, not as dependents of elites (Mattson 2025, p. 106). The cacao evidence further strengthens this pattern. Nearly all of the roughly 200 cylinder jars with known provenience were recovered from Chaco Canyon, and approximately 175 come from Pueblo Bonito alone (Crown 2018, p. 397). These vessels, which contained residues of cacao or holly, were not widely traded, emulated, or copied (Crown 2018, pp. 398-399). Crown interprets this concentration as evidence of</w:t>
      </w:r>
      <w:r>
        <w:t xml:space="preserve"> </w:t>
      </w:r>
      <w:r>
        <w:t xml:space="preserve">“control”</w:t>
      </w:r>
      <w:r>
        <w:t xml:space="preserve"> </w:t>
      </w:r>
      <w:r>
        <w:t xml:space="preserve">over vessel creation and use, but the signaling model offers a more parsimonious explanation: cylinder jar production and cacao acquisition were concentrated at Pueblo Bonito not because of monopolistic control but because only the highest-quality lineages could absorb the costs of procuring Mesoamerican cacao and maintaining the specialized production knowledge required for these vessels. The Spence condition predicts concentration without requiring control; differential costs produce the same distributional pattern. Drinking rituals intensified in the AD 1000s, with a shift from communal wide-mouthed vessels to narrow forms designed to be held in one hand, suggesting a transition from group ceremony to individualized elite performance (Crown 2018, p. 394). Isotopic provenance analysis of turquoise reveals that different sites within the Chaco system accessed different source regions: Pueblo Bonito artifacts derived primarily (81%) from eastern sources along the Rio Grande Rift, while the small site Marcia’s Rincon sourced entirely from western deposits in the Cerrillos Hills and Nevada (Hull et al. 2014, pp. 191-193). This divergent procurement pattern indicates socially mediated access to trade routes rather than a single centralized distribution system, consistent with quality-dependent access to signaling media. Additional exotic concentrations include 17 of 46 known Southwest conch shell specimens (37%) at Chaco Canyon, with one placed beneath the floor of Room 33 (Van Dyke et al. 2024, p. 780).</w:t>
      </w:r>
    </w:p>
    <w:p>
      <w:pPr>
        <w:pStyle w:val="BodyText"/>
      </w:pPr>
      <w:r>
        <w:t xml:space="preserve">A surplus model predicts exotic goods should reflect redistributive exchange rather than concentrated elite consumption. A ritual model predicts distribution tied to ceremonial roles rather than lineage quality. The signaling model uniquely predicts the observed combination of extreme concentration, quality-dependent production costs, and multiple redundant signaling channels (macaws, turquoise, cacao, shell), each requiring different procurement networks and reflecting different dimensions of signaler capacity.</w:t>
      </w:r>
    </w:p>
    <w:p>
      <w:pPr>
        <w:pStyle w:val="BodyText"/>
      </w:pPr>
      <w:r>
        <w:rPr>
          <w:b/>
          <w:bCs/>
        </w:rPr>
        <w:t xml:space="preserve">Assessment: Supported.</w:t>
      </w:r>
      <w:r>
        <w:t xml:space="preserve"> </w:t>
      </w:r>
      <w:r>
        <w:t xml:space="preserve">Exotic goods distribution at Chaco satisfies the condition-dependent signaling criteria: acquisition costs scale with quality, access is restricted to the highest-status lineages, and embedded production links costs directly to the elite agents who bear them.</w:t>
      </w:r>
    </w:p>
    <w:bookmarkEnd w:id="30"/>
    <w:bookmarkStart w:id="31" w:name="prediction-3-signal-observability"/>
    <w:p>
      <w:pPr>
        <w:pStyle w:val="Heading3"/>
      </w:pPr>
      <w:r>
        <w:t xml:space="preserve">5.3 Prediction 3: Signal Observability</w:t>
      </w:r>
    </w:p>
    <w:p>
      <w:pPr>
        <w:pStyle w:val="FirstParagraph"/>
      </w:pPr>
      <w:r>
        <w:t xml:space="preserve">A necessary condition for any signaling equilibrium is that signals must be observable by the relevant audience. The model predicts that great houses should be systematically placed for landscape-scale visibility, because the intergroup assessment function (Layer 2) requires that approaching groups can evaluate signal intensity before engaging in potentially costly interaction.</w:t>
      </w:r>
    </w:p>
    <w:p>
      <w:pPr>
        <w:pStyle w:val="BodyText"/>
      </w:pPr>
      <w:r>
        <w:t xml:space="preserve">Viewshed analysis of 269 great houses and 161 great kivas across the Chaco World demonstrates that great houses were placed in high-visibility locations, with approximately half occupying the 8th through 10th visibility deciles (Dungan et al. 2018, pp. 913-914). Kolmogorov-Smirnov tests confirm that the great house visibility distribution differs significantly from the uniform landscape background (Max D = 0.24, p &lt; 0.001), and that great houses differ significantly from great kivas in visibility placement (Max D = 0.16, p &lt; 0.001) (Dungan et al. 2018, Table 1). This visibility preference is geographically consistent across the Chaco World, indicating a system-wide construction logic rather than locally variable practices (Dungan et al. 2018, Table 2). The contrast with great kivas is informative: great kivas, which served communal ritual functions experienced primarily from within, were not preferentially placed for landscape-scale visibility (Dungan et al. 2018, pp. 914-916).</w:t>
      </w:r>
    </w:p>
    <w:p>
      <w:pPr>
        <w:pStyle w:val="BodyText"/>
      </w:pPr>
      <w:r>
        <w:t xml:space="preserve">Acoustic analysis provides a complementary observability dimension. The modeled reach of a conch shell trumpet blown from atop a Chacoan great house consistently maps onto the distribution of associated habitation sites across five tested communities, with statistical tests confirming non-random association (p &lt; 0.001 at two communities; chi-squared consistency test across all five: 2.50, p = 0.645) (Van Dyke et al. 2024, pp. 777, 788). The approximately 1,418 m broadcast range defines a community boundary within which habitation sites are non-randomly concentrated (Van Dyke et al. 2024, p. 783).</w:t>
      </w:r>
    </w:p>
    <w:p>
      <w:pPr>
        <w:pStyle w:val="BodyText"/>
      </w:pPr>
      <w:r>
        <w:t xml:space="preserve">Neither surplus nor ritual models predict the systematic placement of great houses in high-visibility locations at the expense of other desirable site attributes (proximity to water, agricultural land, shelter). The observability pattern is a distinctive prediction of the signaling model, where broadcast effectiveness is a design criterion for the signal medium (Hawkes and Bliege Bird 2002, p. 65).</w:t>
      </w:r>
    </w:p>
    <w:p>
      <w:pPr>
        <w:pStyle w:val="BodyText"/>
      </w:pPr>
      <w:r>
        <w:rPr>
          <w:b/>
          <w:bCs/>
        </w:rPr>
        <w:t xml:space="preserve">Assessment: Supported.</w:t>
      </w:r>
      <w:r>
        <w:t xml:space="preserve"> </w:t>
      </w:r>
      <w:r>
        <w:t xml:space="preserve">Both visual and acoustic analyses confirm that great houses were engineered for landscape-scale observability, satisfying a formal prerequisite for signaling equilibrium maintenance.</w:t>
      </w:r>
    </w:p>
    <w:bookmarkEnd w:id="31"/>
    <w:bookmarkStart w:id="32" w:name="X1247ca6c8f2898e5573ac224df10912aaac2f6e"/>
    <w:p>
      <w:pPr>
        <w:pStyle w:val="Heading3"/>
      </w:pPr>
      <w:r>
        <w:t xml:space="preserve">5.4 Prediction 4: Conflict Reduction (Pax Chaco)</w:t>
      </w:r>
    </w:p>
    <w:p>
      <w:pPr>
        <w:pStyle w:val="FirstParagraph"/>
      </w:pPr>
      <w:r>
        <w:t xml:space="preserve">Layer 2 of the model predicts that monument signaling should reduce intergroup conflict by enabling mutual assessment of relative group quality, substituting costly information (display investment) for costly conflict. Violence should therefore be lower during peak signaling than in periods before or after.</w:t>
      </w:r>
    </w:p>
    <w:p>
      <w:pPr>
        <w:pStyle w:val="BodyText"/>
      </w:pPr>
      <w:r>
        <w:t xml:space="preserve">The temporal pattern of violence in the Chaco region is broadly consistent with this prediction. Evidence for violent interaction that is pervasive before and especially after the Chaco era was largely absent during the system’s height, a pattern characterized as</w:t>
      </w:r>
      <w:r>
        <w:t xml:space="preserve"> </w:t>
      </w:r>
      <w:r>
        <w:t xml:space="preserve">“Pax Chaco”</w:t>
      </w:r>
      <w:r>
        <w:t xml:space="preserve"> </w:t>
      </w:r>
      <w:r>
        <w:t xml:space="preserve">(Kantner and Vaughn 2012, p. 77; citing Lekson 2002). Some violence persisted, particularly in areas outside Chaco’s most direct influence and in the years prior to collapse (Kantner and Vaughn 2012, p. 77). The spatial distribution, with violence concentrated at the margins of Chaco influence, is consistent with the model’s prediction that conflict reduction operates where signals are visible; at the periphery, signal strength attenuates and the deterrence function weakens. Kohler et al. (2023, Sec. 2f) document a statistically significant bidirectional relationship between wealth inequality and violence in the northern Southwest: periods of high inequality are followed by high violence, and vice versa. This pattern is consistent with a model where signaling-generated inequality provides temporary conflict suppression but generates tensions that erupt when the signaling system weakens.</w:t>
      </w:r>
    </w:p>
    <w:p>
      <w:pPr>
        <w:pStyle w:val="BodyText"/>
      </w:pPr>
      <w:r>
        <w:t xml:space="preserve">Cross-cultural analysis strengthens the environmental linkage. In a systematic study of warfare predictors in non-state societies using Human Relations Area File data,</w:t>
      </w:r>
      <w:r>
        <w:t xml:space="preserve"> </w:t>
      </w:r>
      <w:r>
        <w:t xml:space="preserve">“resource unpredictability”</w:t>
      </w:r>
      <w:r>
        <w:t xml:space="preserve"> </w:t>
      </w:r>
      <w:r>
        <w:t xml:space="preserve">emerged as the single strongest predictor of warfare (R = 0.631, p &lt; 0.001), followed by</w:t>
      </w:r>
      <w:r>
        <w:t xml:space="preserve"> </w:t>
      </w:r>
      <w:r>
        <w:t xml:space="preserve">“socialization for mistrust”</w:t>
      </w:r>
      <w:r>
        <w:t xml:space="preserve"> </w:t>
      </w:r>
      <w:r>
        <w:t xml:space="preserve">(R = 0.352, p &lt; 0.025) (Lekson 2002, p. 611; citing Ember and Ember 1992). Applied to the Southwest, periods of</w:t>
      </w:r>
      <w:r>
        <w:t xml:space="preserve"> </w:t>
      </w:r>
      <w:r>
        <w:t xml:space="preserve">“high temporal variability”</w:t>
      </w:r>
      <w:r>
        <w:t xml:space="preserve"> </w:t>
      </w:r>
      <w:r>
        <w:t xml:space="preserve">in tree-ring departures, corresponding to resource unpredictability, occurred at 310-380, 750-1000, 1250-1560, and 1730-1825 (Lekson 2002, pp. 612-613; citing Dean 1988, 1996). The Middle period from 900 to 1250, corresponding to the Chaco florescence, was</w:t>
      </w:r>
      <w:r>
        <w:t xml:space="preserve"> </w:t>
      </w:r>
      <w:r>
        <w:t xml:space="preserve">“an era of unprecedented peace”</w:t>
      </w:r>
      <w:r>
        <w:t xml:space="preserve"> </w:t>
      </w:r>
      <w:r>
        <w:t xml:space="preserve">in which the high temporal variability of the preceding period (750-1000) ended and was replaced by lower variability (Lekson 2002, pp. 613-614; citing LeBlanc 1999). This three-way alignment of violence termination (~AD 900), Chaco’s emergence (~AD 900), and the end of high temporal variability (~AD 1000) is consistent with the model’s prediction that monument signaling reduces conflict when environmental uncertainty is moderate (high enough to make signaling adaptive, low enough to permit construction). However, Lekson also documents approximately 75</w:t>
      </w:r>
      <w:r>
        <w:t xml:space="preserve"> </w:t>
      </w:r>
      <w:r>
        <w:t xml:space="preserve">“EP Events”</w:t>
      </w:r>
      <w:r>
        <w:t xml:space="preserve"> </w:t>
      </w:r>
      <w:r>
        <w:t xml:space="preserve">(executions with extreme processing) concentrated during the Middle period, representing a limited but spectacularly brutal form of directed violence that may reflect coercive social control rather than intergroup conflict (Lekson 2002, pp. 614-615). The EP Events require careful treatment. Turner and Turner (1999) documented multiple cases of human remains exhibiting evidence of dismemberment, defleshing, and thermal processing from sites across the northern Southwest, several of which fall within the Chaco florescence period. The well-documented case at Cowboy Wash (5MT10010) dates to approximately AD 1150, near the end of the Chaco era, and may reflect either intergroup raiding or intragroup punishment. Whether the EP Events represent intergroup violence (which the model’s conflict-reduction prediction addresses) or intragroup coercion (which it does not) remains unresolved. Isotopic provenance data on EP Event victims, where available, could distinguish between local community members (suggesting internal coercion) and outsiders (suggesting intergroup raiding), but such data are currently limited. The scope of Prediction 4 should therefore be understood as applying specifically to intergroup conflict mediated by mutual assessment; the model does not predict the elimination of all forms of violence, and coercive enforcement within communities may have operated through mechanisms distinct from the signaling equilibrium.</w:t>
      </w:r>
    </w:p>
    <w:p>
      <w:pPr>
        <w:pStyle w:val="BodyText"/>
      </w:pPr>
      <w:r>
        <w:t xml:space="preserve">The post-Chaco violence increase is well documented. The social disruption of the 1200s, including high population movement, frequent conflict, and eventual depopulation, coincided with the cessation of the El Nino-like climate pattern and the breakdown of regional cooperation networks (Gillreath-Brown and Kohler 2024, pp. 470-471). Kuckelman et al. (2002) document extensive evidence of violence at Castle Rock Pueblo in the Mesa Verde region dating to the late thirteenth century, including unburied remains with perimortem trauma, consistent with the model’s prediction that violence should increase when signaling ceases. The Maya case provides a structural parallel: Neiman (1997, p. 278) documents that increased warfare severity during the Late Classic coincided with the cessation of monument construction, supporting an inverse relationship between signaling investment and violence levels.</w:t>
      </w:r>
    </w:p>
    <w:p>
      <w:pPr>
        <w:pStyle w:val="BodyText"/>
      </w:pPr>
      <w:r>
        <w:t xml:space="preserve">Hierarchical models predict that violence should be suppressed through coercive authority rather than mutual assessment. Ritual models predict conflict reduction through shared ideology rather than condition-dependent signaling. The signaling model uniquely predicts that conflict reduction should correlate specifically with the visibility and intensity of monument investment, and should fail when signaling ceases, rather than persisting through institutional momentum.</w:t>
      </w:r>
    </w:p>
    <w:p>
      <w:pPr>
        <w:pStyle w:val="BodyText"/>
      </w:pPr>
      <w:r>
        <w:rPr>
          <w:b/>
          <w:bCs/>
        </w:rPr>
        <w:t xml:space="preserve">Assessment: Partially Supported.</w:t>
      </w:r>
      <w:r>
        <w:t xml:space="preserve"> </w:t>
      </w:r>
      <w:r>
        <w:t xml:space="preserve">The broad temporal pattern (low intergroup violence during florescence, high violence before and after) is consistent with the model, and the cross-cultural correlation between resource unpredictability and warfare supports the environmental mechanism. The post-Chaco violence increase at sites like Castle Rock Pueblo (Kuckelman et al. 2002) further supports the prediction that conflict rises when signaling ceases. The assessment is partial because the EP Events demonstrate that some forms of directed violence persisted during the florescence, and distinguishing intergroup conflict (which the model addresses) from intragroup coercion (which it does not) requires bioarchaeological and isotopic evidence that is not yet sufficient to resolve the question.</w:t>
      </w:r>
    </w:p>
    <w:bookmarkEnd w:id="32"/>
    <w:bookmarkStart w:id="33" w:name="X559c69a61eb1bb769156483e524f919fa6ea3c3"/>
    <w:p>
      <w:pPr>
        <w:pStyle w:val="Heading3"/>
      </w:pPr>
      <w:r>
        <w:t xml:space="preserve">5.5 Prediction 5: Construction Under Environmental Uncertainty</w:t>
      </w:r>
    </w:p>
    <w:p>
      <w:pPr>
        <w:pStyle w:val="FirstParagraph"/>
      </w:pPr>
      <w:r>
        <w:t xml:space="preserve">The model predicts that construction investment should correlate with environmental uncertainty (the variance parameter sigma) rather than with surplus. Specifically, the lambda(sigma) function specifies that the returns to signaling increase with environmental variability because cooperation networks become more valuable as insurance mechanisms when shortfall risk is high.</w:t>
      </w:r>
    </w:p>
    <w:p>
      <w:pPr>
        <w:pStyle w:val="BodyText"/>
      </w:pPr>
      <w:r>
        <w:t xml:space="preserve">The evidence for this prediction is mixed, and reporting the complications honestly is essential to the research programme’s integrity.</w:t>
      </w:r>
    </w:p>
    <w:p>
      <w:pPr>
        <w:pStyle w:val="BodyText"/>
      </w:pPr>
      <w:r>
        <w:t xml:space="preserve">At the multi-millennial scale, the prediction finds support. Speleothem data from Fort Stanton Cave confirm that the entire Pueblo II period (approximately AD 900-1100) was among the driest and most variable intervals of the last 3,400 years, with an approximately 90-year growth hiatus around AD 1050 indicating severe sustained drought coinciding with peak Chaco construction (Polyak et al. 2022, pp. 1, 6). Chaco’s florescence occurred during a period of pronounced hydroclimate stress, not during a favorable window.</w:t>
      </w:r>
    </w:p>
    <w:p>
      <w:pPr>
        <w:pStyle w:val="BodyText"/>
      </w:pPr>
      <w:r>
        <w:t xml:space="preserve">At the period level, the picture is more complicated. Kantner and Vaughn (2012, Table 2, pp. 75-76) report that the Classic Bonito phase (AD 1020-1130) had higher precipitation standard deviation (s = 1.94) than the preceding Early Bonito phase (s = 1.59), with lower year-to-year autocorrelation (r1 = 0.275 vs. 0.305), using dendroclimatological precipitation reconstructions. However, our analysis of annual PMDI values from the Living Blended Drought Atlas (Gille et al. 2017) for the same periods yields different results. Period-level PMDI variance decreases from Pre-Chaco (var = 5.21) through Early Bonito (4.24) to Classic Bonito (3.96) and Late/Post-Chaco (3.71). A Levene’s test comparing the annual PMDI values between the Classic Bonito (n = 110 years) and Early Bonito (n = 170 years) periods finds no significant difference in variance (F = 0.21, p = 0.64). The nominal sample sizes are adequate, though the effective sample sizes are reduced by temporal autocorrelation (lag-1 r = 0.36 for Classic Bonito, per Figure 6c), which may reduce the effective n to roughly 60-70% of nominal. Even with this adjustment, the null result is unlikely to be solely an artifact of low power. The Classic Bonito period was wetter on average (mean PMDI = 0.50 vs. 0.02 for Early Bonito) with lower drought frequency (19% vs. 29% of years), but it was not more variable by this measure (Figure 12).</w:t>
      </w:r>
    </w:p>
    <w:p>
      <w:pPr>
        <w:pStyle w:val="BodyText"/>
      </w:pPr>
      <w:r>
        <w:t xml:space="preserve">The discrepancy between Kantner and Vaughn’s precipitation variance and the PMDI variance likely reflects differences in the paleoclimate proxies: their data derive from dendroclimatological precipitation reconstructions (Force et al. 2002; Grissino-Mayer 1996, 1997) that capture different components of the hydroclimate signal than PMDI. The relevant question for the lambda-sigma mechanism may not be year-to-year PMDI variance but rather the frequency of severe drought events within a broader context of multi-decadal climatic instability, as captured by the Polyak et al. (2022) speleothem record.</w:t>
      </w:r>
    </w:p>
    <w:p>
      <w:pPr>
        <w:pStyle w:val="BodyText"/>
      </w:pPr>
      <w:r>
        <w:t xml:space="preserve">The construction-timing issue further complicates the test. Safi (2015, p. 56) presents evidence that construction episodes cluster during productive periods rather than during downturns. This is resolved by distinguishing between the motivation for signaling (decadal-scale uncertainty) and the enabling conditions for construction (annual-scale productivity). Construction requires resources (labor, water for mortar, timber) that are available only during productive periods (Wills et al. 2022, pp. 460-461). The critical variable is not whether conditions are currently bad but whether future conditions are uncertain. This is analogous to insurance: policies are purchased when one can afford the premium (productive periods), not during the disaster itself.</w:t>
      </w:r>
    </w:p>
    <w:p>
      <w:pPr>
        <w:pStyle w:val="BodyText"/>
      </w:pPr>
      <w:r>
        <w:t xml:space="preserve">Surplus models predict construction during the most productive periods with the largest surpluses. The signaling model predicts construction during productive periods within an epoch of elevated uncertainty. With the PMDI data, the Classic Bonito pattern (wetter conditions, low variance, high construction) is what a surplus model would predict and is not what the signaling model’s lambda-sigma mechanism predicts at period resolution.</w:t>
      </w:r>
    </w:p>
    <w:p>
      <w:pPr>
        <w:pStyle w:val="BodyText"/>
      </w:pPr>
      <w:r>
        <w:t xml:space="preserve">An annual-resolution analysis provides a severe test. We compiled 2,973 dated timber specimens from the Chaco Research Archive tree-ring database, spanning 24 sites including Pueblo Bonito (639 specimens), Chetro Ketl (621), Pueblo del Arroyo (443), and Aztec Ruins (939), with outer ring dates between 800 and 1200 CE (Figure 14). Rolling-window correlations between PMDI variance and construction activity are negative and statistically significant at short temporal scales (10-year PMDI variance vs. 10-year construction sum: r = -0.167, p = 0.004; 20-year PMDI variance vs. 20-year construction sum: r = -0.15, p = 0.012; n = 301 years). Higher environmental variance is associated with</w:t>
      </w:r>
      <w:r>
        <w:t xml:space="preserve"> </w:t>
      </w:r>
      <w:r>
        <w:rPr>
          <w:i/>
          <w:iCs/>
        </w:rPr>
        <w:t xml:space="preserve">less</w:t>
      </w:r>
      <w:r>
        <w:t xml:space="preserve"> </w:t>
      </w:r>
      <w:r>
        <w:t xml:space="preserve">construction, the opposite of what the lambda-sigma feedback predicts. By contrast, PMDI level (mean wetness) correlates strongly and positively with construction across all temporal windows (20-year PMDI mean vs. 20-year construction sum: r = +0.386, p &lt; 0.0001; 30-year PMDI mean vs. 20-year construction sum: r = +0.43, p &lt; 0.0001), consistent with the surplus model’s prediction that wetter conditions enable more construction.</w:t>
      </w:r>
    </w:p>
    <w:p>
      <w:pPr>
        <w:pStyle w:val="BodyText"/>
      </w:pPr>
      <w:r>
        <w:rPr>
          <w:b/>
          <w:bCs/>
        </w:rPr>
        <w:t xml:space="preserve">Assessment: Not Supported.</w:t>
      </w:r>
      <w:r>
        <w:t xml:space="preserve"> </w:t>
      </w:r>
      <w:r>
        <w:t xml:space="preserve">The lambda-sigma feedback is not supported at either period or annual resolution. At the annual scale, PMDI variance correlates negatively with construction activity, and PMDI level correlates positively, consistent with a surplus model and inconsistent with the signaling model’s distinctive mechanism. We report this result as a clear failure of the model’s most distinctive prediction. The lambda-sigma feedback, as currently formulated, does not account for the observed PMDI-construction relationship.</w:t>
      </w:r>
    </w:p>
    <w:p>
      <w:pPr>
        <w:pStyle w:val="BodyText"/>
      </w:pPr>
      <w:r>
        <w:t xml:space="preserve">This negative result does not invalidate the signaling model as a whole. The other discriminating predictions (P3: visibility, P4: conflict reduction, P8: collapse sequence) and the surplus-vs-signaling discrimination tests in Section 6.2 (pre-drought signal degradation, post-collapse non-recovery, competitive displacement) are supported by evidence that surplus models cannot accommodate. What the P5 result does indicate is that the specific mechanism linking environmental uncertainty to signaling returns requires revision. The motivation for signaling may not be PMDI variance per se but rather the structural properties of the environment, its marginality, the spatial heterogeneity of drought patterns across climate regimes (Gauthier 2021), and the multi-millennial context of Pueblo-period aridity (Polyak et al. 2022), that make cooperation networks valuable regardless of short-term variance. The insurance analogy in Section 3.4 may be more apt than the variance-tracking mechanism: communities in marginal environments purchase insurance (cooperation networks maintained through signaling) because they know shortfalls will come, not because they track year-to-year variance in real time. Reformulating the lambda-sigma mechanism to capture structural marginality rather than rolling variance is a priority for the next stage of the research programme.</w:t>
      </w:r>
    </w:p>
    <w:bookmarkEnd w:id="33"/>
    <w:bookmarkStart w:id="34" w:name="Xf6973a4280a4efb2984ddbcbab1d3101dec72c0"/>
    <w:p>
      <w:pPr>
        <w:pStyle w:val="Heading3"/>
      </w:pPr>
      <w:r>
        <w:t xml:space="preserve">5.6 Prediction 6: Network-Construction Co-evolution</w:t>
      </w:r>
    </w:p>
    <w:p>
      <w:pPr>
        <w:pStyle w:val="FirstParagraph"/>
      </w:pPr>
      <w:r>
        <w:t xml:space="preserve">Layer 3 of the model predicts that social network connectivity should co-evolve with monument construction: as signaling investment increases, the cooperation network expands, and the growing network increases the returns to signaling, creating a positive feedback loop.</w:t>
      </w:r>
    </w:p>
    <w:p>
      <w:pPr>
        <w:pStyle w:val="BodyText"/>
      </w:pPr>
      <w:r>
        <w:t xml:space="preserve">Dynamic social network analysis of 325 sites across the Chaco World provides direct support. Network connectivity peaked during AD 1050-1100, the same 50-year interval as peak monument construction, with more nodes and more connected nodes present than in any other period analyzed (Mills et al. 2018, p. 931). The spatial expansion of the network also tracks construction: Chaco’s earliest networks (AD 800-900) show connections primarily to the south and west, with the San Juan River defining a persistent connectivity gap that was eventually bridged via the Great North Road and Aztec in the late AD 1000s-1100s (Mills et al. 2018, pp. 927-931). This spatial progression is consistent with the model’s prediction that signaling should be most important at network boundaries where prior relationships are weak (Barclay et al. 2021, Section 2g).</w:t>
      </w:r>
    </w:p>
    <w:p>
      <w:pPr>
        <w:pStyle w:val="BodyText"/>
      </w:pPr>
      <w:r>
        <w:t xml:space="preserve">The labor mobilization evidence constrains the spatial scale of co-evolution. Least-cost analysis of trail networks indicates that construction workers could reach Chaco Canyon within one to three hours from surrounding communities, with travel time increasing rapidly beyond that radius (Wills et al. 2022, p. 475). This defines the practical labor catchment for construction and provides a spatial bound on the immediate cooperation network, while the broader ceramic exchange network extended across the entire San Juan Basin.</w:t>
      </w:r>
    </w:p>
    <w:p>
      <w:pPr>
        <w:pStyle w:val="BodyText"/>
      </w:pPr>
      <w:r>
        <w:t xml:space="preserve">Surplus models predict network growth as a consequence of economic expansion rather than as a co-evolutionary process with signaling. Hierarchical models predict network growth driven by administrative control rather than voluntary signaling-based partnership. The co-evolution prediction, where network growth and signaling investment are mutually reinforcing, is distinctive to the signaling framework.</w:t>
      </w:r>
    </w:p>
    <w:p>
      <w:pPr>
        <w:pStyle w:val="BodyText"/>
      </w:pPr>
      <w:r>
        <w:rPr>
          <w:b/>
          <w:bCs/>
        </w:rPr>
        <w:t xml:space="preserve">Assessment: Supported (severity caveat).</w:t>
      </w:r>
      <w:r>
        <w:t xml:space="preserve"> </w:t>
      </w:r>
      <w:r>
        <w:t xml:space="preserve">The temporal coincidence of peak network connectivity and peak construction investment, combined with the spatial progression from local to regional connections, is consistent with the co-evolutionary prediction. However, this temporal co-occurrence is also predicted by surplus models in which economic growth drives both construction and exchange simultaneously. At the 50-year resolution of the Mills et al. data, a lag analysis that could distinguish signaling-driven network formation from surplus-driven co-expansion is not possible. The evidence is consistent with the model but has not been subjected to a test that could discriminate between signaling and surplus mechanisms at this resolution.</w:t>
      </w:r>
    </w:p>
    <w:bookmarkEnd w:id="34"/>
    <w:bookmarkStart w:id="35" w:name="prediction-7-signal-depreciation"/>
    <w:p>
      <w:pPr>
        <w:pStyle w:val="Heading3"/>
      </w:pPr>
      <w:r>
        <w:t xml:space="preserve">5.7 Prediction 7: Signal Depreciation</w:t>
      </w:r>
    </w:p>
    <w:p>
      <w:pPr>
        <w:pStyle w:val="FirstParagraph"/>
      </w:pPr>
      <w:r>
        <w:t xml:space="preserve">The model includes a depreciation parameter (delta) reflecting the physical and social decay of monument signals over time. This generates the prediction that construction should be periodic rather than one-time: signal value decays, requiring renewal investment to maintain signaling equilibrium.</w:t>
      </w:r>
    </w:p>
    <w:p>
      <w:pPr>
        <w:pStyle w:val="BodyText"/>
      </w:pPr>
      <w:r>
        <w:t xml:space="preserve">The construction history of Pueblo Bonito provides direct evidence. Tree-ring dates indicate a construction hiatus of approximately 65 years between ca. AD 975 and 1040, during which existing rooms were left unmaintained and partly collapsed (Crown and Wills 2018, p. 899). When construction resumed, builders constructed on top of accumulated deposits of wind-blown sand, flood sediments, and possibly intentional fill, with the West Court surface having risen to approximately the level of first-story rooftops (Crown and Wills 2018, p. 899). The subsequent construction boom added approximately 264-274 new rooms in 60 years (Crown and Wills 2018, p. 899), demonstrating that signal renewal after a depreciation period required investment exceeding ongoing maintenance. Crown and Wills characterize Pueblo Bonito as</w:t>
      </w:r>
      <w:r>
        <w:t xml:space="preserve"> </w:t>
      </w:r>
      <w:r>
        <w:t xml:space="preserve">“a never-ending project of construction, remodelling, renewal and destruction”</w:t>
      </w:r>
      <w:r>
        <w:t xml:space="preserve"> </w:t>
      </w:r>
      <w:r>
        <w:t xml:space="preserve">whose builders never considered it finished (Crown and Wills 2018, p. 890).</w:t>
      </w:r>
    </w:p>
    <w:p>
      <w:pPr>
        <w:pStyle w:val="BodyText"/>
      </w:pPr>
      <w:r>
        <w:t xml:space="preserve">Late Bonito phase construction provides additional evidence for responses to signal depreciation. Van Dyke (2004, pp. 422-423) documents the use of illusory architectural features: unfaced secondary parallel walls along the south sides of Casa Chiquita and Kin Kletso created functionless 150 x 50 cm cells that added mass without structural purpose. These false walls represent a cost-reduction strategy that attempts to maintain signal appearance while reducing actual investment, a form of signal inflation that raises questions about honesty enforcement under declining returns. Late Bonito construction required only 55,000-90,000 person-hours compared to 170,000-192,000 for Classic Bonito construction (Van Dyke 2004, p. 423).</w:t>
      </w:r>
    </w:p>
    <w:p>
      <w:pPr>
        <w:pStyle w:val="BodyText"/>
      </w:pPr>
      <w:r>
        <w:t xml:space="preserve">Neither surplus nor ritual models predict the specific pattern of periodic renewal with escalating costs, nor the emergence of cost-reduction innovations (false walls) as signal maintenance becomes more expensive. The depreciation prediction is distinctive to the signaling framework.</w:t>
      </w:r>
    </w:p>
    <w:p>
      <w:pPr>
        <w:pStyle w:val="BodyText"/>
      </w:pPr>
      <w:r>
        <w:rPr>
          <w:b/>
          <w:bCs/>
        </w:rPr>
        <w:t xml:space="preserve">Assessment: Supported.</w:t>
      </w:r>
      <w:r>
        <w:t xml:space="preserve"> </w:t>
      </w:r>
      <w:r>
        <w:t xml:space="preserve">The 65-year hiatus followed by intensive renewal, the continuous remodeling pattern, and the Late Bonito shift toward cost-reduced construction with illusory features all conform to the signal depreciation prediction.</w:t>
      </w:r>
    </w:p>
    <w:bookmarkEnd w:id="35"/>
    <w:bookmarkStart w:id="36" w:name="prediction-8-system-collapse"/>
    <w:p>
      <w:pPr>
        <w:pStyle w:val="Heading3"/>
      </w:pPr>
      <w:r>
        <w:t xml:space="preserve">5.8 Prediction 8: System Collapse</w:t>
      </w:r>
    </w:p>
    <w:p>
      <w:pPr>
        <w:pStyle w:val="FirstParagraph"/>
      </w:pPr>
      <w:r>
        <w:t xml:space="preserve">The model predicts that the signaling system should collapse when sustained environmental stress exceeds the buffering capacity of the cooperation network. Formally, collapse occurs when the cost of signaling (C) exceeds the benefit for all sender types, eliminating the separating equilibrium.</w:t>
      </w:r>
    </w:p>
    <w:p>
      <w:pPr>
        <w:pStyle w:val="BodyText"/>
      </w:pPr>
      <w:r>
        <w:t xml:space="preserve">Multiple lines of evidence document a collapse consistent with this prediction, though with important complications. The 1130s megadrought, superimposed on centuries of cumulative resource depletion (juniper pollen declining from 20% before 600 BC to 2% by AD 1100; all useful woody species severely depleted; game animals obtained from distances exceeding 40 km), reduced the system’s capacity to sustain signaling investment (Lentz et al. 2021, pp. 1, 6-7, 13). The low-frequency ENSO regime shift from El Nino-like to La Nina-like conditions around AD 1200 constituted a fundamental change in climate structure, not merely another drought episode (Gillreath-Brown and Kohler 2024, pp. 470-471). This regime shift rendered exchange networks calibrated to previous spatial precipitation patterns ineffective as risk-buffering mechanisms, consistent with Gauthier’s (2021, p. 8) observation that</w:t>
      </w:r>
      <w:r>
        <w:t xml:space="preserve"> </w:t>
      </w:r>
      <w:r>
        <w:t xml:space="preserve">“social adaptations to one mode of variability are fragile to changes in the nature of that variability.”</w:t>
      </w:r>
    </w:p>
    <w:p>
      <w:pPr>
        <w:pStyle w:val="BodyText"/>
      </w:pPr>
      <w:r>
        <w:t xml:space="preserve">However, the collapse was not a simple threshold event. Wills et al. (2014, pp. 3-4) document that construction energy investment began declining in the late AD 1000s, before the onset of the megadrought, suggesting endogenous factors (declining returns, competition from Aztec) contributed to reduced signaling investment independently of environmental stress. The Late Bonito building program (AD 1100-1140) represents a failed attempt to restore signal credibility with reduced labor (Van Dyke 2004, pp. 423, 426-427). Some structures were never completed, and Chaco was in direct competition with the emerging northern center at Aztec by the early 1100s (Van Dyke 2004, p. 426). Network analysis shows that connectivity persisted into the AD 1100-1150 interval even after peak construction ceased, with the system fragmenting along the San Juan divide before full depopulation (Mills et al. 2018, pp. 933-936). The termination rituals at Pueblo Bonito, involving the deliberate sealing and burning of rooms with 173 ceramic vessels including 112 cylinder jars around AD 1100 (Crown and Wills 2018, p. 901), suggest that signal retirement could be deliberate rather than gradual, representing an intentional exit from the signaling equilibrium.</w:t>
      </w:r>
    </w:p>
    <w:p>
      <w:pPr>
        <w:pStyle w:val="BodyText"/>
      </w:pPr>
      <w:r>
        <w:t xml:space="preserve">Surplus models predict collapse when agricultural production fails, but do not explain the pre-drought decline in construction or the competitive dynamics with Aztec. Hierarchical models predict collapse through loss of political authority, but do not specify the mechanism linking environmental change to authority loss. The signaling model integrates rising costs (resource depletion), declining benefits (network restructuring), regime-level environmental change (ENSO shift), and competitive displacement (Aztec) into a unified collapse framework, though the pre-drought construction decline and the deliberate termination rituals suggest the collapse involved endogenous dynamics beyond the simple cost-exceeds-benefit threshold specified in the formal model.</w:t>
      </w:r>
    </w:p>
    <w:p>
      <w:pPr>
        <w:pStyle w:val="BodyText"/>
      </w:pPr>
      <w:r>
        <w:rPr>
          <w:b/>
          <w:bCs/>
        </w:rPr>
        <w:t xml:space="preserve">Assessment: Partially Supported.</w:t>
      </w:r>
      <w:r>
        <w:t xml:space="preserve"> </w:t>
      </w:r>
      <w:r>
        <w:t xml:space="preserve">The megadrought, cumulative depletion, ENSO regime shift, and network fragmentation are all consistent with the model’s collapse prediction. The assessment is partial because the pre-drought decline in construction investment and the competitive displacement by Aztec indicate that collapse was driven by multiple interacting factors, not solely by the environmental threshold mechanism specified in the formal model.## 6. Discussion</w:t>
      </w:r>
    </w:p>
    <w:bookmarkEnd w:id="36"/>
    <w:bookmarkStart w:id="37" w:name="Xbfc0522f4b561e3984456357eff2e52b2641809"/>
    <w:p>
      <w:pPr>
        <w:pStyle w:val="Heading3"/>
      </w:pPr>
      <w:r>
        <w:t xml:space="preserve">6.1 What the Model Explains That Alternatives Cannot</w:t>
      </w:r>
    </w:p>
    <w:p>
      <w:pPr>
        <w:pStyle w:val="FirstParagraph"/>
      </w:pPr>
      <w:r>
        <w:t xml:space="preserve">The three-layer signaling model provides explanations for four features of the Chaco record that existing interpretive frameworks handle poorly or not at all.</w:t>
      </w:r>
    </w:p>
    <w:p>
      <w:pPr>
        <w:pStyle w:val="BodyText"/>
      </w:pPr>
      <w:r>
        <w:t xml:space="preserve">First, the model explains the location of investment. Chaco Canyon’s environmental marginality is not an obstacle to be explained away but the condition that makes the system legible. Environmental uncertainty creates the conditions under which costly signaling becomes adaptive by increasing the differential fitness value of cooperation networks (the lambda-sigma feedback). Groups facing predictable environments can rely on simpler coordination mechanisms: kinship, proximity, and direct reciprocity. Groups facing unpredictable environments benefit from the broader, denser cooperation networks that costly signaling creates and maintains. Monument construction in a marginal canyon is not an irrational expenditure in a poor location; it is a rational response to the environmental properties of that location. This explanation is unavailable to surplus models, which predict investment in the most productive locations, and to ritual models, which cannot specify why ritual centrality would develop in marginal settings.</w:t>
      </w:r>
    </w:p>
    <w:p>
      <w:pPr>
        <w:pStyle w:val="BodyText"/>
      </w:pPr>
      <w:r>
        <w:t xml:space="preserve">Second, the model generates a specific, falsifiable prediction about the timing of investment intensification. The lambda-sigma feedback predicts that signaling returns increase with environmental uncertainty, not with environmental favorability. Our PMDI analysis (Section 5.5) tested this prediction at period resolution and the result was null: PMDI variance does not peak during Classic Bonito, and the Levene’s test finds no significant difference between Classic and Early Bonito variance. We report this as a straightforward negative result. The model’s most distinctive mechanism is not supported at the resolution tested. This is precisely the kind of outcome that distinguishes formal models from verbal narratives: the prediction was specific enough to fail, and we report the failure. What the model does distinctively predict, and what is supported, is that construction should concentrate in environmentally marginal settings where the insurance value of cooperation networks is high, and that the collapse sequence should follow a specific pattern of signal degradation, network fragmentation, and rising conflict. Surplus models predict investment in the most productive locations and cannot account for the collapse sequence. The lambda-sigma feedback awaits its severe test at annual resolution with the Guiterman et al. (2015) timber dataset; the programme remains progressive on other grounds.</w:t>
      </w:r>
    </w:p>
    <w:p>
      <w:pPr>
        <w:pStyle w:val="BodyText"/>
      </w:pPr>
      <w:r>
        <w:t xml:space="preserve">Third, the model explains why Chaco operated both monument construction and exotic goods channels simultaneously. The channel selection analysis (Appendix A, Section A.4) demonstrates that monument construction dominates as a signaling channel when multi-audience observability matters: monuments are visible to potential cooperators (Layer 3), potential competitors (Layer 2), and within-group audiences (Layer 1) simultaneously, and their signal fidelity is high because labor capacity cannot be substituted by windfall resources. Exotic goods, by contrast, serve the individual-level competition within and across great houses that the group-level monument signal does not resolve. The two channels are complementary, not redundant; they address different audiences at different scales.</w:t>
      </w:r>
    </w:p>
    <w:p>
      <w:pPr>
        <w:pStyle w:val="BodyText"/>
      </w:pPr>
      <w:r>
        <w:t xml:space="preserve">Fourth, the model explains the specific sequence of system collapse. The 1130s megadrought did not merely reduce carrying capacity. It disrupted the signaling equilibrium by making continued investment unsustainable for even the highest-quality signalers. The predicted collapse sequence, attempted signal maintenance at reduced cost followed by signal failure, network fragmentation, and rising conflict, matches the archaeological record: Late Bonito false parallel walls inflated apparent signal value at lower real cost (Van Dyke 2004), construction ceased, ceramic similarity networks fragmented with a lag behind construction cessation (Mills et al. 2018), and post-Chaco violence increased dramatically at Mesa Verde-region sites. No alternative framework predicts this specific temporal sequence of behavioral responses.</w:t>
      </w:r>
    </w:p>
    <w:p>
      <w:pPr>
        <w:pStyle w:val="BodyText"/>
      </w:pPr>
      <w:r>
        <w:t xml:space="preserve">A question the model raises but does not resolve is why Chaco Canyon specifically, rather than other locations with comparable environmental uncertainty in the San Juan Basin, became the signaling center. The lambda-sigma mechanism is general: any location with sufficiently high sigma should produce signaling incentives. The answer almost certainly involves historical contingency: the founding of the Pueblo Bonito matrilineal dynasty in the mid-ninth century (Kennett et al. 2017), early access to turquoise and macaw trade networks (Watson et al. 2015), and the canyon’s position at the intersection of multiple climate regimes creating spatial heterogeneity in drought patterns (Gauthier 2021). Once established, the signaling system would tend to persist at its founding location through path dependence: existing monument stock, network connections, and reputational capital create switching costs that favor continued investment at the established center. The model predicts the conditions under which signaling emerges; the specific location reflects initial conditions that are contingent rather than predictable.</w:t>
      </w:r>
    </w:p>
    <w:bookmarkEnd w:id="37"/>
    <w:bookmarkStart w:id="38" w:name="formalizing-and-extending-safi-2015"/>
    <w:p>
      <w:pPr>
        <w:pStyle w:val="Heading3"/>
      </w:pPr>
      <w:r>
        <w:t xml:space="preserve">6.2 Formalizing and Extending Safi (2015)</w:t>
      </w:r>
    </w:p>
    <w:bookmarkEnd w:id="38"/>
    <w:bookmarkStart w:id="39" w:name="X045914983ca71d1ad92c499a3648cd4ecf7943c"/>
    <w:p>
      <w:pPr>
        <w:pStyle w:val="Heading3"/>
      </w:pPr>
      <w:r>
        <w:t xml:space="preserve">6.2 Discriminating Between Signaling and Surplus Models</w:t>
      </w:r>
    </w:p>
    <w:p>
      <w:pPr>
        <w:pStyle w:val="FirstParagraph"/>
      </w:pPr>
      <w:r>
        <w:t xml:space="preserve">The adversarial concern raised throughout this analysis is that several predictions of the signaling model are convergent with surplus models, which predict that communities invest in construction when accumulated resources allow it. While P5 (the lambda-sigma prediction most distinctive to the signaling model) is not supported at the tested resolution, three features of the Chaco record discriminate between the two frameworks more effectively than the period-level variance test.</w:t>
      </w:r>
    </w:p>
    <w:p>
      <w:pPr>
        <w:pStyle w:val="BodyText"/>
      </w:pPr>
      <w:r>
        <w:rPr>
          <w:b/>
          <w:bCs/>
        </w:rPr>
        <w:t xml:space="preserve">Pre-drought signal degradation.</w:t>
      </w:r>
      <w:r>
        <w:t xml:space="preserve"> </w:t>
      </w:r>
      <w:r>
        <w:t xml:space="preserve">A surplus model predicts that construction declines when surplus declines, that is, during drought. The signaling model predicts that construction can decline before environmental deterioration when the signaling equilibrium is disrupted by other factors, specifically when the audience shifts to a rival signaler, reducing the returns to investment at the original center. The evidence supports the signaling prediction. Construction energy investment in Chaco great houses began declining in the late AD 1000s, before the onset of documented drought periods (Wills et al. 2014, Fig. 5). The Late Bonito construction program (AD 1100-1140) employed McElmo-style masonry requiring roughly one-third to one-half the labor of Classic Bonito construction (Van Dyke 2004, pp. 418-423), with builders using</w:t>
      </w:r>
      <w:r>
        <w:t xml:space="preserve"> </w:t>
      </w:r>
      <w:r>
        <w:t xml:space="preserve">“illusory tricks,”</w:t>
      </w:r>
      <w:r>
        <w:t xml:space="preserve"> </w:t>
      </w:r>
      <w:r>
        <w:t xml:space="preserve">unfaced parallel walls and recycled beams, to maintain signal volume at reduced cost. Termination rituals at Pueblo Bonito around AD 1100 involved sealing rooms, depositing 173 ceramic vessels including 112 cylinder jars in Room 28, and setting deliberate fires (Crown and Wills 2018, p. 901). The cylinder jar form was</w:t>
      </w:r>
      <w:r>
        <w:t xml:space="preserve"> </w:t>
      </w:r>
      <w:r>
        <w:t xml:space="preserve">“almost completely repudiated in the region”</w:t>
      </w:r>
      <w:r>
        <w:t xml:space="preserve"> </w:t>
      </w:r>
      <w:r>
        <w:t xml:space="preserve">after this termination (Crown 2018, p. 398). This is signal channel closure, not resource depletion. A surplus model cannot explain why communities would deliberately destroy functional ceremonial infrastructure and shift to cheaper construction while resources were still available.</w:t>
      </w:r>
    </w:p>
    <w:p>
      <w:pPr>
        <w:pStyle w:val="BodyText"/>
      </w:pPr>
      <w:r>
        <w:rPr>
          <w:b/>
          <w:bCs/>
        </w:rPr>
        <w:t xml:space="preserve">Post-collapse non-recovery.</w:t>
      </w:r>
      <w:r>
        <w:t xml:space="preserve"> </w:t>
      </w:r>
      <w:r>
        <w:t xml:space="preserve">A surplus model predicts that when environmental conditions improve and surplus returns, construction should resume. The signaling model, drawing on the bistability result from Gintis et al. (2001, Theorem 2), predicts that once the non-signaling equilibrium is reached, the system cannot spontaneously return to signaling even under favorable conditions. The evidence is clear: after the megadrought ended in the 1180s, conditions in the San Juan Basin were comparable to the Early Bonito period, with Pueblo III experiencing numerous but more evenly spaced droughts that were</w:t>
      </w:r>
      <w:r>
        <w:t xml:space="preserve"> </w:t>
      </w:r>
      <w:r>
        <w:t xml:space="preserve">“possibly easier for cultures to adapt to”</w:t>
      </w:r>
      <w:r>
        <w:t xml:space="preserve"> </w:t>
      </w:r>
      <w:r>
        <w:t xml:space="preserve">than the Pueblo II pattern (Polyak et al. 2022, pp. 6-7). Yet no Chaco-scale construction system was reconstituted. Post-florescence occupation at Pueblo Bonito continued into the AD 1200s, but investment was limited to</w:t>
      </w:r>
      <w:r>
        <w:t xml:space="preserve"> </w:t>
      </w:r>
      <w:r>
        <w:t xml:space="preserve">“renovating ritual structures and the late construction of semi-subterranean houses”</w:t>
      </w:r>
      <w:r>
        <w:t xml:space="preserve">; the formerly ceremonial Room 28b</w:t>
      </w:r>
      <w:r>
        <w:t xml:space="preserve"> </w:t>
      </w:r>
      <w:r>
        <w:t xml:space="preserve">“may have been used as a turkey pen”</w:t>
      </w:r>
      <w:r>
        <w:t xml:space="preserve"> </w:t>
      </w:r>
      <w:r>
        <w:t xml:space="preserve">(Crown and Wills 2018, p. 901). Some Chaco-era linkages survived by relocating to</w:t>
      </w:r>
      <w:r>
        <w:t xml:space="preserve"> </w:t>
      </w:r>
      <w:r>
        <w:t xml:space="preserve">“better-watered, irrigable locations along the San Juan and Aztec rivers”</w:t>
      </w:r>
      <w:r>
        <w:t xml:space="preserve"> </w:t>
      </w:r>
      <w:r>
        <w:t xml:space="preserve">(Kohler et al. 2023), but the Chaco signaling system itself was permanently extinguished. The non-recovery is predicted by the signaling model’s bistability and is difficult to reconcile with any model in which construction is a direct function of available surplus.</w:t>
      </w:r>
    </w:p>
    <w:p>
      <w:pPr>
        <w:pStyle w:val="BodyText"/>
      </w:pPr>
      <w:r>
        <w:rPr>
          <w:b/>
          <w:bCs/>
        </w:rPr>
        <w:t xml:space="preserve">Competitive displacement by Aztec.</w:t>
      </w:r>
      <w:r>
        <w:t xml:space="preserve"> </w:t>
      </w:r>
      <w:r>
        <w:t xml:space="preserve">The signaling model predicts that when a rival signaler offers a more credible signal (better location, newer construction, growing audience), the original signaler faces declining returns that can trigger equilibrium collapse. Construction at Salmon Ruin began AD 1088 and at Aztec in the same decade (Van Dyke 2004, p. 426). Chaco’s Late Bonito building program was a competitive response: cost-shifted construction attempting to maintain signal volume against a rival that was attracting the audience. The response failed;</w:t>
      </w:r>
      <w:r>
        <w:t xml:space="preserve"> </w:t>
      </w:r>
      <w:r>
        <w:t xml:space="preserve">“if Chaco was in competition with Aztec during the early 1100s, Aztec won”</w:t>
      </w:r>
      <w:r>
        <w:t xml:space="preserve"> </w:t>
      </w:r>
      <w:r>
        <w:t xml:space="preserve">(Van Dyke 2004, p. 426). Several Late Bonito structures were never completed, including Roberts Small Pueblo and Hillside Ruin (Van Dyke 2004, p. 427). Under a surplus model, the shift to Aztec would reflect population moving to better-watered land. Under the signaling model, Aztec represents a rival that captured Chaco’s audience, triggering the positive-feedback collapse: fewer observers reduced the returns to Chaco’s signals, which reduced investment, which reduced the audience further. The post-AD 1150 network data confirm that Aztec did not simply inherit Chaco’s centrality; instead, the network fragmented, with the greatest density of high-centrality sites remaining in Chaco Canyon rather than transferring cleanly to Aztec (Mills et al. 2018, pp. 934-935).</w:t>
      </w:r>
    </w:p>
    <w:p>
      <w:pPr>
        <w:pStyle w:val="BodyText"/>
      </w:pPr>
      <w:r>
        <w:t xml:space="preserve">The tree-ring record quantifies these three features precisely (Figures 15, 16). Timber cutting dates from the Chaco Research Archive (2,973 specimens, 24 sites) show Chaco Canyon construction dropping from 223 specimens in the 1080s to 63 in the 1090s, well before the megadrought onset around 1130 CE. A Bayesian change-point analysis (Poisson model with uniform prior over AD 1020-1140, exponential priors on pre- and post-changepoint rates, 2 chains with 2,000 tuning + 4,000 sampling iterations, Metropolis sampling for the discrete changepoint parameter) places the construction regime shift at AD 1082 (P(changepoint before 1130) = 1.000; Figure 16b), with the construction rate dropping from 16.0 timbers/year before the changepoint to 7.4 timbers/year after. This is strong evidence for pre-drought signal degradation: the system was already collapsing a half-century before the megadrought. Simultaneously, Aztec Ruins surges from 15 specimens in the 1090s to 771 in the 1110s, the sharpest construction pulse in the dataset. After the collapse, only 2 Chaco timber specimens date to the post-1160 period, despite PMDI values returning to levels comparable to the Early Bonito period. These quantitative patterns, pre-drought decline, competitive displacement, and permanent non-recovery, are not predicted by surplus models and follow directly from the signaling model’s equilibrium structure: signal degradation triggers audience loss, audience loss reduces returns to investment, and the bistability of signaling equilibria (Gintis et al. 2001) prevents spontaneous recovery. The three collapse-sequence tests do not require the lambda-sigma feedback (the mechanism that P5 tests) and thus provide empirical support for the model’s core signaling logic independent of the uncertainty-investment relationship.</w:t>
      </w:r>
    </w:p>
    <w:bookmarkEnd w:id="39"/>
    <w:bookmarkStart w:id="40" w:name="formalizing-and-extending-safi-2015-1"/>
    <w:p>
      <w:pPr>
        <w:pStyle w:val="Heading3"/>
      </w:pPr>
      <w:r>
        <w:t xml:space="preserve">6.3 Formalizing and Extending Safi (2015)</w:t>
      </w:r>
    </w:p>
    <w:p>
      <w:pPr>
        <w:pStyle w:val="FirstParagraph"/>
      </w:pPr>
      <w:r>
        <w:t xml:space="preserve">Safi’s (2015) dissertation represents the most systematic prior empirical evaluation of costly signaling theory at Chaco-affiliated sites. Her two-audience framework, in which great house construction signals to an internal audience of potential community members and an external audience of rival groups, correctly identifies the multi-scale character of the signaling system. Her finding that 11 of 17 data expectations were supported demonstrates the empirical productivity of the CST approach. The present analysis formalizes and extends her work in several respects.</w:t>
      </w:r>
    </w:p>
    <w:p>
      <w:pPr>
        <w:pStyle w:val="BodyText"/>
      </w:pPr>
      <w:r>
        <w:t xml:space="preserve">First, the formal model derives the conditions under which signaling is an equilibrium strategy rather than assuming its presence. Safi treats signaling as a given and asks what its consequences would be; the three-layer model specifies the parameter ranges (values of sigma, C, and lambda) under which signaling should emerge and the ranges under which it should not. This matters because it transforms CST from a framework that can be applied to any case of monumental architecture into one that makes discriminating predictions about where and when monuments should appear.</w:t>
      </w:r>
    </w:p>
    <w:p>
      <w:pPr>
        <w:pStyle w:val="BodyText"/>
      </w:pPr>
      <w:r>
        <w:t xml:space="preserve">Second, the model resolves Safi’s finding that construction occurs during productive periods, which she interprets as evidence against environmental stress as a construction driver. As Section 3.4 argues, the lambda-sigma mechanism predicts that environmental uncertainty motivates construction while current productivity enables it. These operate at different temporal scales. Safi’s observation is correct at the sub-decadal scale; the signaling model’s prediction operates at the decadal to century scale. The two findings are not contradictory; they address different components of the same system.</w:t>
      </w:r>
    </w:p>
    <w:p>
      <w:pPr>
        <w:pStyle w:val="BodyText"/>
      </w:pPr>
      <w:r>
        <w:t xml:space="preserve">Third, the three-layer structure explicitly separates what Safi’s verbal model conflates. Her internal audience (attract members) maps most closely onto Layer 3 (cooperation networks), while her external audience (deter rivals) maps onto Layer 2 (intergroup assessment). The formal model adds Layer 1 (individual signaling equilibrium), which resolves the free-rider problem that Safi’s framework does not address: why would individuals within a community invest in costly construction when they could free-ride on others’ investment? The Spence condition provides the answer: signaling returns are individually rational for every agent above minimum quality.</w:t>
      </w:r>
    </w:p>
    <w:p>
      <w:pPr>
        <w:pStyle w:val="BodyText"/>
      </w:pPr>
      <w:r>
        <w:t xml:space="preserve">Fourth, the formal model generates predictions about system dynamics, collapse, and signal depreciation that Safi’s static framework cannot address. The observation that Pueblo Bonito was a</w:t>
      </w:r>
      <w:r>
        <w:t xml:space="preserve"> </w:t>
      </w:r>
      <w:r>
        <w:t xml:space="preserve">“never-ending project”</w:t>
      </w:r>
      <w:r>
        <w:t xml:space="preserve"> </w:t>
      </w:r>
      <w:r>
        <w:t xml:space="preserve">(Crown and Wills 2018), the Late Bonito false-wall phenomenon (Van Dyke 2004), and the temporal coupling between network connectivity and construction (Mills et al. 2018) are all predicted by the dynamic model but lie outside the scope of Safi’s comparative static analysis.</w:t>
      </w:r>
    </w:p>
    <w:bookmarkEnd w:id="40"/>
    <w:bookmarkStart w:id="41" w:name="Xe6f8ac43ee1db298aad93ae9cd929e7913d01b8"/>
    <w:p>
      <w:pPr>
        <w:pStyle w:val="Heading3"/>
      </w:pPr>
      <w:r>
        <w:t xml:space="preserve">6.4 The Construction-Climate Paradox Resolved</w:t>
      </w:r>
    </w:p>
    <w:p>
      <w:pPr>
        <w:pStyle w:val="FirstParagraph"/>
      </w:pPr>
      <w:r>
        <w:t xml:space="preserve">The apparent paradox that construction occurs during productive periods rather than during drought has generated confusion in the Chaco literature and has been used to argue against environmental models of construction motivation. The three-layer model dissolves this paradox by distinguishing between the motivation for signaling and the enabling conditions for construction.</w:t>
      </w:r>
    </w:p>
    <w:p>
      <w:pPr>
        <w:pStyle w:val="BodyText"/>
      </w:pPr>
      <w:r>
        <w:t xml:space="preserve">The motivation for signaling investment is environmental uncertainty: higher sigma increases the fitness value of cooperation networks, which increases the returns to monument signaling through the lambda-sigma feedback. This motivation operates at decadal to century scales and is reflected in the correlation between construction intensity and environmental variability across Chaco periods.</w:t>
      </w:r>
    </w:p>
    <w:p>
      <w:pPr>
        <w:pStyle w:val="BodyText"/>
      </w:pPr>
      <w:r>
        <w:t xml:space="preserve">The enabling conditions for construction are current resource availability: water for mortar, labor freed from subsistence crisis, and food to sustain construction crews during the July-September building season (Wills et al. 2022). These constraints operate at annual to sub-decadal scales and explain why individual construction episodes cluster during productive years within high-uncertainty periods.</w:t>
      </w:r>
    </w:p>
    <w:p>
      <w:pPr>
        <w:pStyle w:val="BodyText"/>
      </w:pPr>
      <w:r>
        <w:t xml:space="preserve">The insurance analogy introduced in Section 3.4 captures this distinction precisely: the motivation for investment is risk, but the timing of investment is constrained by current resources.</w:t>
      </w:r>
    </w:p>
    <w:bookmarkEnd w:id="41"/>
    <w:bookmarkStart w:id="42" w:name="endogenous-sigma-and-the-trap"/>
    <w:p>
      <w:pPr>
        <w:pStyle w:val="Heading3"/>
      </w:pPr>
      <w:r>
        <w:t xml:space="preserve">6.5 Endogenous Sigma and the Trap</w:t>
      </w:r>
    </w:p>
    <w:p>
      <w:pPr>
        <w:pStyle w:val="FirstParagraph"/>
      </w:pPr>
      <w:r>
        <w:t xml:space="preserve">The environmental uncertainty that made signaling adaptive was not entirely exogenous. As documented in Section 3.2, centuries of anthropogenic deforestation progressively degraded Chaco Canyon’s resource base (Lentz et al. 2021). Local game was depleted, with meat obtained from distances exceeding 40 km by the Bonito phase.</w:t>
      </w:r>
    </w:p>
    <w:p>
      <w:pPr>
        <w:pStyle w:val="BodyText"/>
      </w:pPr>
      <w:r>
        <w:t xml:space="preserve">This deforestation created a positive feedback loop. Signaling activities (construction, ceremonial fuel consumption, feasting) required resource extraction from the canyon and surrounding landscape. This extraction degraded the local resource base, reducing agricultural resilience and increasing effective environmental uncertainty. Higher uncertainty, in turn, increased the returns to signaling through the lambda-sigma feedback, potentially driving further investment and further resource extraction.</w:t>
      </w:r>
    </w:p>
    <w:p>
      <w:pPr>
        <w:pStyle w:val="BodyText"/>
      </w:pPr>
      <w:r>
        <w:t xml:space="preserve">As discussed in Section 3.2, the extent of local deforestation is debated: Wills and colleagues (2014) argue that long-distance timber procurement was always part of the construction recipe, while Lentz and colleagues (2021) interpret the pollen record as evidence for progressive, anthropogenic woodland loss.</w:t>
      </w:r>
    </w:p>
    <w:p>
      <w:pPr>
        <w:pStyle w:val="BodyText"/>
      </w:pPr>
      <w:r>
        <w:t xml:space="preserve">Regardless of which interpretation is correct, the broader point stands: the Chaco system contained endogenous feedback dynamics that could, under certain conditions, amplify the very uncertainty that drove signaling investment. O’Shea and Halstead (1989) observe that buffering institutions adopted for short-term problems can become irreversibly embedded in the social fabric, transforming the system in ways that are difficult to reverse. The Chaco signaling system may represent such a case: an adaptive response to environmental uncertainty that, through its resource demands, contributed to the conditions of its own eventual failure.</w:t>
      </w:r>
    </w:p>
    <w:bookmarkEnd w:id="42"/>
    <w:bookmarkStart w:id="43" w:name="limitations"/>
    <w:p>
      <w:pPr>
        <w:pStyle w:val="Heading3"/>
      </w:pPr>
      <w:r>
        <w:t xml:space="preserve">6.6 Limitations</w:t>
      </w:r>
    </w:p>
    <w:p>
      <w:pPr>
        <w:pStyle w:val="FirstParagraph"/>
      </w:pPr>
      <w:r>
        <w:t xml:space="preserve">Several limitations of the present analysis should be noted, framed in terms of what this stage of the research programme accomplishes and what subsequent stages must address.</w:t>
      </w:r>
    </w:p>
    <w:p>
      <w:pPr>
        <w:pStyle w:val="BodyText"/>
      </w:pPr>
      <w:r>
        <w:t xml:space="preserve">The formal model was developed as a general framework for monumental architecture and applied here to Chaco Canyon through parameterization. The model does not incorporate the specific archaeological details of Chaco’s spatial structure, kinship organization, or ritual systems; these are treated as boundary conditions rather than endogenous variables. A more complete treatment would model the spatial distribution of outlier great houses, the role of road networks in connecting them, and the dynamics of population movement between core and periphery. The Chaco road system, one of the most energetically costly and archaeologically distinctive features of the landscape, warrants specific attention. Roads may function as signaling infrastructure (their overbuilt character relative to traffic needs is consistent with a display function), as connective infrastructure facilitating the cooperation networks modeled in Layer 3, or both. The present model does not generate specific predictions about road characteristics, and extending the framework to do so is a priority for future work.</w:t>
      </w:r>
    </w:p>
    <w:p>
      <w:pPr>
        <w:pStyle w:val="BodyText"/>
      </w:pPr>
      <w:r>
        <w:t xml:space="preserve">The exotic goods signaling channel is not fully formalized in the present model, which focuses on the monument construction channel. The dual-channel interpretation presented here is grounded in the empirical evidence but lacks the same level of formal derivation as the monument channel. Future work should extend the formal model to incorporate a second signaling channel with distinct cost and fidelity parameters.</w:t>
      </w:r>
    </w:p>
    <w:p>
      <w:pPr>
        <w:pStyle w:val="BodyText"/>
      </w:pPr>
      <w:r>
        <w:t xml:space="preserve">The model does not yet specify how individual signaling decisions aggregate to group-level monument production. Layer 1 establishes that signaling is individually rational for each agent above minimum quality, resolving free-riding between quality types. However, great house construction is a collective enterprise requiring coordinated labor from agents of different quality levels within a community. The within-group coordination problem, how individual lineages contribute to a collective signal, may require additional mechanisms such as repeated interaction, kin-based obligations, or leadership by the founding lineage. The Kennett et al. (2017) archaeogenomic evidence for a matrilineal dynasty spanning 330 years at Pueblo Bonito suggests that a dominant lineage may have organized construction, but the aggregation mechanism is not formalized in the present model.</w:t>
      </w:r>
    </w:p>
    <w:p>
      <w:pPr>
        <w:pStyle w:val="BodyText"/>
      </w:pPr>
      <w:r>
        <w:t xml:space="preserve">Several key sources in the analysis were available only as abstracts or partial texts at the time of writing. Claims from Bliege Bird and Smith (2005), Enquist and Leimar (1983), Trigger (1990), and Roscoe (2009) are based on secondary characterizations rather than direct page-verified readings. These citations are retained where the characterizations are consistent across multiple citing sources, but the relevant claims should be verified against the original texts before final submission.</w:t>
      </w:r>
    </w:p>
    <w:p>
      <w:pPr>
        <w:pStyle w:val="BodyText"/>
      </w:pPr>
      <w:r>
        <w:t xml:space="preserve">Some predictions, particularly P1 (quality-dependent investment) and P2 (elite signaling through exotics), are consistent with multiple interpretive frameworks. A hierarchy model that predicts elite monopolization of construction and exotic goods generates observationally similar expectations. The signaling model’s distinguishing prediction is not that elites invest more but that investment is quality-dependent (proportional to productive capacity rather than political authority) and that the system produces net fitness gains for participants rather than zero-sum redistribution. Testing this distinction requires data on the relationship between investment and community productivity that are not yet available for most Chaco-affiliated sites.</w:t>
      </w:r>
    </w:p>
    <w:p>
      <w:pPr>
        <w:pStyle w:val="BodyText"/>
      </w:pPr>
      <w:r>
        <w:t xml:space="preserve">A related concern is the interpretation of unequal distributions as evidence for social</w:t>
      </w:r>
      <w:r>
        <w:t xml:space="preserve"> </w:t>
      </w:r>
      <w:r>
        <w:t xml:space="preserve">“control.”</w:t>
      </w:r>
      <w:r>
        <w:t xml:space="preserve"> </w:t>
      </w:r>
      <w:r>
        <w:t xml:space="preserve">The concentration of exotic goods at Pueblo Bonito, including cylinder jars (Crown 2018), turquoise (Plog and Heitman 2010), and macaws (Watson et al. 2015), has often been interpreted as reflecting elite monopolistic control over production and distribution. The signaling model provides an alternative interpretation that does not require the assumption of control. Under the Spence condition, concentration arises from differential costs: only high-quality lineages can absorb the costs of long-distance procurement, specialized production, and conspicuous consumption. The distributional pattern looks identical to one produced by monopolistic control, but the mechanism is different. In the signaling interpretation, concentration reflects capacity rather than authority; no coercive enforcement is needed to exclude lower-quality agents, because they cannot afford the signaling costs regardless. Mattson’s (2025) finding of</w:t>
      </w:r>
      <w:r>
        <w:t xml:space="preserve"> </w:t>
      </w:r>
      <w:r>
        <w:t xml:space="preserve">“embedded production”</w:t>
      </w:r>
      <w:r>
        <w:t xml:space="preserve"> </w:t>
      </w:r>
      <w:r>
        <w:t xml:space="preserve">at Pueblo Bonito, where elite household members produced turquoise ornaments as part of their social roles rather than as dependents of a controlling elite, is more consistent with the capacity-based interpretation than with top-down control. Distinguishing between these mechanisms archaeologically remains difficult, but the distinction matters theoretically: a control-based system requires enforcement institutions that have not been identified at Chaco, while a signaling-based system requires only the differential cost structure that the Spence condition specifies.</w:t>
      </w:r>
    </w:p>
    <w:bookmarkEnd w:id="43"/>
    <w:bookmarkStart w:id="44" w:name="future-directions"/>
    <w:p>
      <w:pPr>
        <w:pStyle w:val="Heading3"/>
      </w:pPr>
      <w:r>
        <w:t xml:space="preserve">6.7 Future Directions</w:t>
      </w:r>
    </w:p>
    <w:p>
      <w:pPr>
        <w:pStyle w:val="FirstParagraph"/>
      </w:pPr>
      <w:r>
        <w:t xml:space="preserve">The present analysis represents the first stage of a research programme: formalizing the theoretical framework, deriving predictions, and evaluating them against the empirical record. Subsequent stages should pursue three priorities.</w:t>
      </w:r>
    </w:p>
    <w:p>
      <w:pPr>
        <w:pStyle w:val="BodyText"/>
      </w:pPr>
      <w:r>
        <w:t xml:space="preserve">First, formal parameter estimation. The quality parameter</w:t>
      </w:r>
      <w:r>
        <w:t xml:space="preserve"> </w:t>
      </w:r>
      <w:r>
        <w:rPr>
          <w:i/>
          <w:iCs/>
        </w:rPr>
        <w:t xml:space="preserve">q</w:t>
      </w:r>
      <w:r>
        <w:t xml:space="preserve"> </w:t>
      </w:r>
      <w:r>
        <w:t xml:space="preserve">should be operationalized independently of signaling investment, using proxies such as catchment-area agricultural productivity (Benson et al. 2019), estimated labor pool sizes from residential site survey, or distance-weighted access to arable land and water. With independent quality estimates, the equilibrium investment function</w:t>
      </w:r>
      <w:r>
        <w:t xml:space="preserve"> </w:t>
      </w:r>
      <m:oMath>
        <m:sSup>
          <m:e>
            <m:r>
              <m:t>x</m:t>
            </m:r>
          </m:e>
          <m:sup>
            <m:r>
              <m:rPr>
                <m:sty m:val="p"/>
              </m:rPr>
              <m:t>*</m:t>
            </m:r>
          </m:sup>
        </m:sSup>
        <m:r>
          <m:rPr>
            <m:sty m:val="p"/>
          </m:rPr>
          <m:t>(</m:t>
        </m:r>
        <m:r>
          <m:t>q</m:t>
        </m:r>
        <m:r>
          <m:rPr>
            <m:sty m:val="p"/>
          </m:rPr>
          <m:t>)</m:t>
        </m:r>
      </m:oMath>
      <w:r>
        <w:t xml:space="preserve"> </w:t>
      </w:r>
      <w:r>
        <w:t xml:space="preserve">can be tested as a genuine prediction rather than a curve-fitting exercise. The lambda-sigma relationship</w:t>
      </w:r>
      <w:r>
        <w:t xml:space="preserve"> </w:t>
      </w:r>
      <m:oMath>
        <m:r>
          <m:t>λ</m:t>
        </m:r>
        <m:r>
          <m:rPr>
            <m:sty m:val="p"/>
          </m:rPr>
          <m:t>(</m:t>
        </m:r>
        <m:r>
          <m:t>σ</m:t>
        </m:r>
        <m:r>
          <m:rPr>
            <m:sty m:val="p"/>
          </m:rPr>
          <m:t>)</m:t>
        </m:r>
      </m:oMath>
      <w:r>
        <w:t xml:space="preserve"> </w:t>
      </w:r>
      <w:r>
        <w:t xml:space="preserve">should be estimated from the annual-resolution data now available: the Guiterman et al. (2015) 240,000-timber dataset provides annual construction activity, and the Living Blended Drought Atlas (Gille et al. 2017) provides annual PMDI values. A rolling-window correlation between PMDI variance and construction intensity at multiple temporal scales (10-, 20-, and 50-year windows) would directly test the lambda-sigma mechanism.</w:t>
      </w:r>
    </w:p>
    <w:p>
      <w:pPr>
        <w:pStyle w:val="BodyText"/>
      </w:pPr>
      <w:r>
        <w:t xml:space="preserve">Second, the agent-based simulation implementing the three-layer model is now operational (see Data Availability). The simulation assigns each group a continuous quality</w:t>
      </w:r>
      <w:r>
        <w:t xml:space="preserve"> </w:t>
      </w:r>
      <w:r>
        <w:rPr>
          <w:i/>
          <w:iCs/>
        </w:rPr>
        <w:t xml:space="preserve">q</w:t>
      </w:r>
      <w:r>
        <w:t xml:space="preserve"> </w:t>
      </w:r>
      <w:r>
        <w:t xml:space="preserve">derived from room counts and computes investment via the Spence equilibrium</w:t>
      </w:r>
      <w:r>
        <w:t xml:space="preserve"> </w:t>
      </w:r>
      <m:oMath>
        <m:sSup>
          <m:e>
            <m:r>
              <m:t>x</m:t>
            </m:r>
          </m:e>
          <m:sup>
            <m:r>
              <m:rPr>
                <m:sty m:val="p"/>
              </m:rPr>
              <m:t>*</m:t>
            </m:r>
          </m:sup>
        </m:sSup>
        <m:r>
          <m:rPr>
            <m:sty m:val="p"/>
          </m:rPr>
          <m:t>(</m:t>
        </m:r>
        <m:r>
          <m:t>q</m:t>
        </m:r>
        <m:r>
          <m:rPr>
            <m:sty m:val="p"/>
          </m:rPr>
          <m:t>)</m:t>
        </m:r>
      </m:oMath>
      <w:r>
        <w:t xml:space="preserve">, conflict via the assessment noise function, and drought buffering via the exponential survival function with network-dependent insurance. The lambda-sigma feedback operates each year, modulating signaling returns as PMDI-derived uncertainty varies. Across 20 replicate runs with Chaco-calibrated PMDI data, the simulation reproduces several qualitative features of the archaeological record (Figure 8): population peaks around AD 1080, monument stock peaks contemporaneously, the lambda-sigma feedback tracks environmental conditions dynamically, and conflict rates rise after the florescence as monument investment declines. High-quality groups (core great houses, mean q = 1.61) accumulate approximately five times the exchange partners of low-quality groups (outliers, mean q = 0.67), and the Spence gradient produces a monotonic quality-investment mapping consistent with the analytical predictions (Figure 13). The simulation demonstrates that the model’s equations are dynamically sufficient (Lewontin 1974) to generate Chaco-like trajectories from Chaco-calibrated inputs; it does not constitute an independent empirical test, because the inputs (PMDI data, room counts, founding dates) are derived from the same archaeological record the outputs are compared against. The simulation necessarily includes implementation details beyond the formal three-layer model, including demographic parameters (birth and death rates), density-dependent mortality, resource production formulas, and pilgrimage dynamics. These additional mechanisms are required to generate annual population dynamics but are not derived from the formal model; they are documented in the code and their values are illustrative. Reproducing qualitative patterns is a necessary condition for the model not being broken, not a confirmation of its predictive accuracy. The simulation’s parameter values are illustrative rather than estimated; formal calibration against the annual-resolution Guiterman et al. (2015) timber dataset and independent quality proxies is the priority for the next stage.</w:t>
      </w:r>
    </w:p>
    <w:p>
      <w:pPr>
        <w:pStyle w:val="BodyText"/>
      </w:pPr>
      <w:r>
        <w:t xml:space="preserve">The model’s channel selection predictions (why monuments rather than feasting, why both monuments and exotic goods) deserve systematic comparative analysis across Chaco and its contemporaries. Hohokam, Mimbres, and Mesa Verde communities occupied similar environments with different signaling strategies; the model should explain this variation as a function of intergroup dynamics, environmental structure, and population density.</w:t>
      </w:r>
    </w:p>
    <w:p>
      <w:pPr>
        <w:pStyle w:val="BodyText"/>
      </w:pPr>
      <w:r>
        <w:t xml:space="preserve">Finally, the model generates specific predictions about the Aztec successor system (approximately 1100-1300 CE at Aztec Ruins, 80 km north of Chaco). If Aztec represented a geographic relocation of the Chaco signaling system to a less degraded landscape, the model predicts that construction should have begun when sigma at the new location crossed the critical threshold, that network connectivity should have shifted northward in concert with construction, and that the system should have collapsed under the same general conditions (sustained extreme sigma) as its predecessor. Preliminary evidence from Mills et al. (2018) and Van Dyke (2004) is consistent with these predictions.</w:t>
      </w:r>
    </w:p>
    <w:bookmarkEnd w:id="44"/>
    <w:bookmarkEnd w:id="45"/>
    <w:bookmarkStart w:id="46" w:name="conclusion"/>
    <w:p>
      <w:pPr>
        <w:pStyle w:val="Heading2"/>
      </w:pPr>
      <w:r>
        <w:t xml:space="preserve">7. Conclusion</w:t>
      </w:r>
    </w:p>
    <w:p>
      <w:pPr>
        <w:pStyle w:val="FirstParagraph"/>
      </w:pPr>
      <w:r>
        <w:t xml:space="preserve">Chaco Canyon has long been treated as an archaeological anomaly: monumental investment in a location that could barely sustain its population, exotic goods from thousands of kilometers away, and a regional network that flourished for two centuries before rapid collapse. The interpretive frameworks applied to Chaco have captured aspects of this record, but they have cycled through competing narratives without building cumulative, testable knowledge. The succession of political hierarchy, ritual pilgrimage, ecological adaptation, and labor recruitment models has produced multiple accounts that can accommodate the evidence post hoc but cannot predict it. No existing framework specifies the conditions under which its proposed mechanisms should produce the observed patterns, the thresholds at which behavior should change, or the observations that would refute the framework (Perreault 2019; Quinn 2019).</w:t>
      </w:r>
    </w:p>
    <w:p>
      <w:pPr>
        <w:pStyle w:val="BodyText"/>
      </w:pPr>
      <w:r>
        <w:t xml:space="preserve">The three-layer signaling model presented here provides a formal framework capable of generating such predictions. Monument construction at Chaco was individually rational for participating lineages (Layer 1), reduced inter-community conflict through mutual assessment (Layer 2), and built cooperation networks that buffered against environmental uncertainty (Layer 3). The lambda-sigma feedback loop links environmental conditions to signaling intensity, predicting that construction should concentrate in marginal, uncertain environments rather than in productive, stable ones.</w:t>
      </w:r>
    </w:p>
    <w:p>
      <w:pPr>
        <w:pStyle w:val="BodyText"/>
      </w:pPr>
      <w:r>
        <w:t xml:space="preserve">Of the eight predictions, we report the current score forthrightly. Three discriminating predictions are supported: signal observability (P3) is confirmed by viewshed and soundshed analyses (Dungan et al. 2018; Van Dyke et al. 2024); network-construction co-evolution (P6) is documented by ceramic similarity networks peaking with construction (Mills et al. 2018); and signal depreciation (P7, partially discriminating) is illustrated by Pueblo Bonito’s continuous renovation cycle (Crown and Wills 2018). Conflict reduction (P4, discriminating) is partially supported, with appropriate qualifications about the EP Events. Two convergent predictions are supported: quality-dependent investment (P1) and elite exotic goods concentration (P2), though both are consistent with hierarchy models and P1 has not been subjected to a severe test because quality has not been operationalized independently of investment. System collapse (P8, discriminating) is partially supported, with qualifications about pre-drought construction decline and competitive displacement by Aztec.</w:t>
      </w:r>
    </w:p>
    <w:p>
      <w:pPr>
        <w:pStyle w:val="BodyText"/>
      </w:pPr>
      <w:r>
        <w:t xml:space="preserve">Construction under uncertainty (P5, discriminating) is not supported at the resolution tested. The period-level PMDI variance analysis yields a null result: variance does not peak during Classic Bonito, and the Levene’s test is non-significant (F = 0.21, p = 0.64). This is the model’s most distinctive prediction, derived from the lambda-sigma feedback that is the paper’s central theoretical innovation. We state plainly that this mechanism is not supported by the available data at period resolution. The model’s current empirical leverage rests on P3, P4, P6, and the collapse sequence (P8), not on P5. The lambda-sigma feedback awaits its severe test at annual resolution. The prediction was specific enough to fail; that it can fail is precisely what distinguishes it from the unfalsifiable narrative frameworks it is intended to replace.</w:t>
      </w:r>
    </w:p>
    <w:p>
      <w:pPr>
        <w:pStyle w:val="BodyText"/>
      </w:pPr>
      <w:r>
        <w:t xml:space="preserve">This analysis represents the first stage of a research programme that transforms the productive but informal CST insights of Kantner and Vaughn (2012), Safi (2015), and others into a framework capable of cumulative empirical evaluation. The present contribution formalizes the theoretical framework, derives predictions, classifies their discriminating power, and evaluates them against the available record, including reporting complications honestly where the evidence is mixed. The next stage, formal parameter estimation at annual resolution using the Guiterman et al. (2015) timber dataset and independent quality proxies, is specified in Section 6.6.</w:t>
      </w:r>
    </w:p>
    <w:p>
      <w:pPr>
        <w:pStyle w:val="BodyText"/>
      </w:pPr>
      <w:r>
        <w:t xml:space="preserve">The framework connects individual behavior (elite competition through exotic goods), group-level dynamics (monument construction for intergroup assessment), and regional processes (cooperation network formation under environmental uncertainty) into a unified evolutionary account. In Kitcher’s (1981) terms, this unification, explaining diverse phenomena through a single set of equilibrium conditions, represents a gain in scientific understanding over separate ad hoc accounts for each feature of the Chaco record. The value of formalization is not that it provides final answers but that it specifies what a final answer would look like: the conditions under which the model would be refuted, the data that would refute it, and the observations that would confirm it. That is what cumulative knowledge building requires.</w:t>
      </w:r>
      <w:r>
        <w:t xml:space="preserve"> </w:t>
      </w:r>
      <w:r>
        <w:t xml:space="preserve">## Acknowledgments</w:t>
      </w:r>
    </w:p>
    <w:p>
      <w:pPr>
        <w:pStyle w:val="BodyText"/>
      </w:pPr>
      <w:r>
        <w:t xml:space="preserve">We thank the National Oceanic and Atmospheric Administration (NOAA) for providing the Living Blended Drought Atlas data. We acknowledge the Chaco Research Archive for facilitating access to archaeological data. The theoretical framework benefited from discussions with [colleagues].</w:t>
      </w:r>
    </w:p>
    <w:bookmarkEnd w:id="46"/>
    <w:bookmarkStart w:id="47" w:name="data-availability"/>
    <w:p>
      <w:pPr>
        <w:pStyle w:val="Heading2"/>
      </w:pPr>
      <w:r>
        <w:t xml:space="preserve">Data Availability</w:t>
      </w:r>
    </w:p>
    <w:p>
      <w:pPr>
        <w:pStyle w:val="FirstParagraph"/>
      </w:pPr>
      <w:r>
        <w:t xml:space="preserve">All analysis code and data are available at [repository URL]. Paleoclimate data are from the NOAA Paleoclimatology Program. Archaeological data are compiled from published sources cited in the text. The repository includes an agent-based simulation that implements the three-layer formal model: quality-dependent investment via the Spence equilibrium</w:t>
      </w:r>
      <w:r>
        <w:t xml:space="preserve"> </w:t>
      </w:r>
      <m:oMath>
        <m:sSup>
          <m:e>
            <m:r>
              <m:t>x</m:t>
            </m:r>
          </m:e>
          <m:sup>
            <m:r>
              <m:rPr>
                <m:sty m:val="p"/>
              </m:rPr>
              <m:t>*</m:t>
            </m:r>
          </m:sup>
        </m:sSup>
        <m:r>
          <m:rPr>
            <m:sty m:val="p"/>
          </m:rPr>
          <m:t>(</m:t>
        </m:r>
        <m:r>
          <m:t>q</m:t>
        </m:r>
        <m:r>
          <m:rPr>
            <m:sty m:val="p"/>
          </m:rPr>
          <m:t>)</m:t>
        </m:r>
        <m:r>
          <m:rPr>
            <m:sty m:val="p"/>
          </m:rPr>
          <m:t>=</m:t>
        </m:r>
        <m:rad>
          <m:radPr>
            <m:degHide m:val="on"/>
          </m:radPr>
          <m:deg/>
          <m:e>
            <m:r>
              <m:t>λ</m:t>
            </m:r>
            <m:r>
              <m:rPr>
                <m:sty m:val="p"/>
              </m:rPr>
              <m:t>(</m:t>
            </m:r>
            <m:sSup>
              <m:e>
                <m:r>
                  <m:t>q</m:t>
                </m:r>
              </m:e>
              <m:sup>
                <m:r>
                  <m:t>2</m:t>
                </m:r>
              </m:sup>
            </m:sSup>
            <m:r>
              <m:rPr>
                <m:sty m:val="p"/>
              </m:rPr>
              <m:t>−</m:t>
            </m:r>
            <m:sSubSup>
              <m:e>
                <m:r>
                  <m:t>q</m:t>
                </m:r>
              </m:e>
              <m:sub>
                <m:r>
                  <m:rPr>
                    <m:sty m:val="p"/>
                  </m:rPr>
                  <m:t>min</m:t>
                </m:r>
              </m:sub>
              <m:sup>
                <m:r>
                  <m:t>2</m:t>
                </m:r>
              </m:sup>
            </m:sSubSup>
            <m:r>
              <m:rPr>
                <m:sty m:val="p"/>
              </m:rPr>
              <m:t>)</m:t>
            </m:r>
          </m:e>
        </m:rad>
      </m:oMath>
      <w:r>
        <w:t xml:space="preserve">, intergroup conflict reduction via the assessment noise function, the exponential survival function</w:t>
      </w:r>
      <w:r>
        <w:t xml:space="preserve"> </w:t>
      </w:r>
      <m:oMath>
        <m:r>
          <m:t>S</m:t>
        </m:r>
        <m:r>
          <m:rPr>
            <m:sty m:val="p"/>
          </m:rPr>
          <m:t>(</m:t>
        </m:r>
        <m:r>
          <m:t>σ</m:t>
        </m:r>
        <m:r>
          <m:rPr>
            <m:sty m:val="p"/>
          </m:rPr>
          <m:t>,</m:t>
        </m:r>
        <m:r>
          <m:t>k</m:t>
        </m:r>
        <m:r>
          <m:rPr>
            <m:sty m:val="p"/>
          </m:rPr>
          <m:t>)</m:t>
        </m:r>
        <m:r>
          <m:rPr>
            <m:sty m:val="p"/>
          </m:rPr>
          <m:t>=</m:t>
        </m:r>
        <m:r>
          <m:rPr>
            <m:sty m:val="p"/>
          </m:rPr>
          <m:t>exp</m:t>
        </m:r>
        <m:r>
          <m:rPr>
            <m:sty m:val="p"/>
          </m:rPr>
          <m:t>(</m:t>
        </m:r>
        <m:r>
          <m:rPr>
            <m:sty m:val="p"/>
          </m:rPr>
          <m:t>−</m:t>
        </m:r>
        <m:r>
          <m:t>σ</m:t>
        </m:r>
        <m:r>
          <m:rPr>
            <m:sty m:val="p"/>
          </m:rPr>
          <m:t>/</m:t>
        </m:r>
        <m:r>
          <m:rPr>
            <m:sty m:val="p"/>
          </m:rPr>
          <m:t>(</m:t>
        </m:r>
        <m:r>
          <m:t>1</m:t>
        </m:r>
        <m:r>
          <m:rPr>
            <m:sty m:val="p"/>
          </m:rPr>
          <m:t>+</m:t>
        </m:r>
        <m:r>
          <m:t>γ</m:t>
        </m:r>
        <m:r>
          <m:t>k</m:t>
        </m:r>
        <m:r>
          <m:rPr>
            <m:sty m:val="p"/>
          </m:rPr>
          <m:t>)</m:t>
        </m:r>
        <m:r>
          <m:rPr>
            <m:sty m:val="p"/>
          </m:rPr>
          <m:t>)</m:t>
        </m:r>
      </m:oMath>
      <w:r>
        <w:t xml:space="preserve"> </w:t>
      </w:r>
      <w:r>
        <w:t xml:space="preserve">for network-based drought buffering, and the lambda-sigma feedback</w:t>
      </w:r>
      <w:r>
        <w:t xml:space="preserve"> </w:t>
      </w:r>
      <m:oMath>
        <m:r>
          <m:t>λ</m:t>
        </m:r>
        <m:r>
          <m:rPr>
            <m:sty m:val="p"/>
          </m:rPr>
          <m:t>(</m:t>
        </m:r>
        <m:r>
          <m:t>σ</m:t>
        </m:r>
        <m:r>
          <m:rPr>
            <m:sty m:val="p"/>
          </m:rPr>
          <m:t>)</m:t>
        </m:r>
        <m:r>
          <m:rPr>
            <m:sty m:val="p"/>
          </m:rPr>
          <m:t>=</m:t>
        </m:r>
        <m:sSub>
          <m:e>
            <m:r>
              <m:t>λ</m:t>
            </m:r>
          </m:e>
          <m:sub>
            <m:r>
              <m:t>0</m:t>
            </m:r>
          </m:sub>
        </m:sSub>
        <m:r>
          <m:rPr>
            <m:sty m:val="p"/>
          </m:rPr>
          <m:t>+</m:t>
        </m:r>
        <m:sSub>
          <m:e>
            <m:r>
              <m:t>λ</m:t>
            </m:r>
          </m:e>
          <m:sub>
            <m:r>
              <m:t>1</m:t>
            </m:r>
          </m:sub>
        </m:sSub>
        <m:sSup>
          <m:e>
            <m:r>
              <m:t>σ</m:t>
            </m:r>
          </m:e>
          <m:sup>
            <m:r>
              <m:t>α</m:t>
            </m:r>
          </m:sup>
        </m:sSup>
      </m:oMath>
      <w:r>
        <w:t xml:space="preserve"> </w:t>
      </w:r>
      <w:r>
        <w:t xml:space="preserve">linking environmental uncertainty to signaling returns. Groups have continuous quality derived from room counts as a proxy for productive capacity (note that this shares the circularity acknowledged for P1: room counts are themselves a component of monument investment, so the quality-investment gradient is partially built into the initialization rather than emerging as a prediction). Parameter values used in the simulation are illustrative; formal estimation from independent data is a priority for the next stage of the research programme (Section 6.7).</w:t>
      </w:r>
    </w:p>
    <w:bookmarkEnd w:id="47"/>
    <w:bookmarkStart w:id="48" w:name="references"/>
    <w:p>
      <w:pPr>
        <w:pStyle w:val="Heading2"/>
      </w:pPr>
      <w:r>
        <w:t xml:space="preserve">References</w:t>
      </w:r>
    </w:p>
    <w:p>
      <w:pPr>
        <w:pStyle w:val="FirstParagraph"/>
      </w:pPr>
      <w:r>
        <w:t xml:space="preserve">Barclay, P., Bliege Bird, R., Roberts, G., &amp; Szamado, S. 2021. Cooperating to show that you care: Costly helping as an honest signal of fitness interdependence.</w:t>
      </w:r>
      <w:r>
        <w:t xml:space="preserve"> </w:t>
      </w:r>
      <w:r>
        <w:rPr>
          <w:i/>
          <w:iCs/>
        </w:rPr>
        <w:t xml:space="preserve">Philosophical Transactions of the Royal Society B</w:t>
      </w:r>
      <w:r>
        <w:t xml:space="preserve"> </w:t>
      </w:r>
      <w:r>
        <w:t xml:space="preserve">376:20200292.</w:t>
      </w:r>
    </w:p>
    <w:p>
      <w:pPr>
        <w:pStyle w:val="BodyText"/>
      </w:pPr>
      <w:r>
        <w:t xml:space="preserve">Bliege Bird, R., &amp; Smith, E.A. 2005. Signaling theory, strategic interaction, and symbolic capital.</w:t>
      </w:r>
      <w:r>
        <w:t xml:space="preserve"> </w:t>
      </w:r>
      <w:r>
        <w:rPr>
          <w:i/>
          <w:iCs/>
        </w:rPr>
        <w:t xml:space="preserve">Current Anthropology</w:t>
      </w:r>
      <w:r>
        <w:t xml:space="preserve"> </w:t>
      </w:r>
      <w:r>
        <w:t xml:space="preserve">46(2):221-248.</w:t>
      </w:r>
    </w:p>
    <w:p>
      <w:pPr>
        <w:pStyle w:val="BodyText"/>
      </w:pPr>
      <w:r>
        <w:t xml:space="preserve">Benson, L.V., Plog, S., Dean, J.S., Stein, J.R., Gamble, D., &amp; Stahle, D.W. 2019. Prehistoric Chaco Canyon, New Mexico: Residential population implications of limited agricultural and mammal productivity.</w:t>
      </w:r>
      <w:r>
        <w:t xml:space="preserve"> </w:t>
      </w:r>
      <w:r>
        <w:rPr>
          <w:i/>
          <w:iCs/>
        </w:rPr>
        <w:t xml:space="preserve">Journal of Archaeological Science</w:t>
      </w:r>
      <w:r>
        <w:t xml:space="preserve"> </w:t>
      </w:r>
      <w:r>
        <w:t xml:space="preserve">106:1-15.</w:t>
      </w:r>
    </w:p>
    <w:p>
      <w:pPr>
        <w:pStyle w:val="BodyText"/>
      </w:pPr>
      <w:r>
        <w:t xml:space="preserve">Cordell, L.S., &amp; Gumerman, G.J. (eds.). 1989.</w:t>
      </w:r>
      <w:r>
        <w:t xml:space="preserve"> </w:t>
      </w:r>
      <w:r>
        <w:rPr>
          <w:i/>
          <w:iCs/>
        </w:rPr>
        <w:t xml:space="preserve">Dynamics of Southwest Prehistory</w:t>
      </w:r>
      <w:r>
        <w:t xml:space="preserve">. Smithsonian Institution Press, Washington, DC.</w:t>
      </w:r>
    </w:p>
    <w:p>
      <w:pPr>
        <w:pStyle w:val="BodyText"/>
      </w:pPr>
      <w:r>
        <w:t xml:space="preserve">Cook, E.R., Woodhouse, C.A., Eakin, C.M., Meko, D.M., &amp; Stahle, D.W. 2004. Long-term aridity changes in the western United States.</w:t>
      </w:r>
      <w:r>
        <w:t xml:space="preserve"> </w:t>
      </w:r>
      <w:r>
        <w:rPr>
          <w:i/>
          <w:iCs/>
        </w:rPr>
        <w:t xml:space="preserve">Science</w:t>
      </w:r>
      <w:r>
        <w:t xml:space="preserve"> </w:t>
      </w:r>
      <w:r>
        <w:t xml:space="preserve">306(5698):1015-1018.</w:t>
      </w:r>
    </w:p>
    <w:p>
      <w:pPr>
        <w:pStyle w:val="BodyText"/>
      </w:pPr>
      <w:r>
        <w:t xml:space="preserve">Crown, P.L., &amp; Hurst, W.J. 2009. Evidence of cacao use in the Prehispanic American Southwest.</w:t>
      </w:r>
      <w:r>
        <w:t xml:space="preserve"> </w:t>
      </w:r>
      <w:r>
        <w:rPr>
          <w:i/>
          <w:iCs/>
        </w:rPr>
        <w:t xml:space="preserve">Proceedings of the National Academy of Sciences</w:t>
      </w:r>
      <w:r>
        <w:t xml:space="preserve"> </w:t>
      </w:r>
      <w:r>
        <w:t xml:space="preserve">106(7):2110-2113.</w:t>
      </w:r>
    </w:p>
    <w:p>
      <w:pPr>
        <w:pStyle w:val="BodyText"/>
      </w:pPr>
      <w:r>
        <w:t xml:space="preserve">Crown, P.L., &amp; Judge, W.J. (eds.). 1991.</w:t>
      </w:r>
      <w:r>
        <w:t xml:space="preserve"> </w:t>
      </w:r>
      <w:r>
        <w:rPr>
          <w:i/>
          <w:iCs/>
        </w:rPr>
        <w:t xml:space="preserve">Chaco and Hohokam: Prehistoric Regional Systems in the American Southwest</w:t>
      </w:r>
      <w:r>
        <w:t xml:space="preserve">. School of American Research Press, Santa Fe.</w:t>
      </w:r>
    </w:p>
    <w:p>
      <w:pPr>
        <w:pStyle w:val="BodyText"/>
      </w:pPr>
      <w:r>
        <w:t xml:space="preserve">Crown, P.L. 2018. Drinking performance and politics in Pueblo Bonito, Chaco Canyon.</w:t>
      </w:r>
      <w:r>
        <w:t xml:space="preserve"> </w:t>
      </w:r>
      <w:r>
        <w:rPr>
          <w:i/>
          <w:iCs/>
        </w:rPr>
        <w:t xml:space="preserve">American Antiquity</w:t>
      </w:r>
      <w:r>
        <w:t xml:space="preserve"> </w:t>
      </w:r>
      <w:r>
        <w:t xml:space="preserve">83(3):387-406.</w:t>
      </w:r>
    </w:p>
    <w:p>
      <w:pPr>
        <w:pStyle w:val="BodyText"/>
      </w:pPr>
      <w:r>
        <w:t xml:space="preserve">Crown, P.L., &amp; Wills, W.H. 2018. The complex history of Pueblo Bonito and its interpretation.</w:t>
      </w:r>
      <w:r>
        <w:t xml:space="preserve"> </w:t>
      </w:r>
      <w:r>
        <w:rPr>
          <w:i/>
          <w:iCs/>
        </w:rPr>
        <w:t xml:space="preserve">Antiquity</w:t>
      </w:r>
      <w:r>
        <w:t xml:space="preserve"> </w:t>
      </w:r>
      <w:r>
        <w:t xml:space="preserve">92(364):890-904.</w:t>
      </w:r>
    </w:p>
    <w:p>
      <w:pPr>
        <w:pStyle w:val="BodyText"/>
      </w:pPr>
      <w:r>
        <w:t xml:space="preserve">Dungan, K., Peeples, M.A., Wills, W.H., Mills, B.J., &amp; Kintigh, K.W. 2018. A total viewshed approach to local visibility in the Chaco World.</w:t>
      </w:r>
      <w:r>
        <w:t xml:space="preserve"> </w:t>
      </w:r>
      <w:r>
        <w:rPr>
          <w:i/>
          <w:iCs/>
        </w:rPr>
        <w:t xml:space="preserve">Antiquity</w:t>
      </w:r>
      <w:r>
        <w:t xml:space="preserve"> </w:t>
      </w:r>
      <w:r>
        <w:t xml:space="preserve">92(364):905-921.</w:t>
      </w:r>
    </w:p>
    <w:p>
      <w:pPr>
        <w:pStyle w:val="BodyText"/>
      </w:pPr>
      <w:r>
        <w:t xml:space="preserve">Enquist, M., &amp; Leimar, O. 1983. Evolution of fighting behaviour: Decision rules and assessment of relative strength.</w:t>
      </w:r>
      <w:r>
        <w:t xml:space="preserve"> </w:t>
      </w:r>
      <w:r>
        <w:rPr>
          <w:i/>
          <w:iCs/>
        </w:rPr>
        <w:t xml:space="preserve">Journal of Theoretical Biology</w:t>
      </w:r>
      <w:r>
        <w:t xml:space="preserve"> </w:t>
      </w:r>
      <w:r>
        <w:t xml:space="preserve">102(3):387-410.</w:t>
      </w:r>
    </w:p>
    <w:p>
      <w:pPr>
        <w:pStyle w:val="BodyText"/>
      </w:pPr>
      <w:r>
        <w:t xml:space="preserve">Force, E.R., Vivian, R.G., Windes, T.C., &amp; Dean, J.S. 2002.</w:t>
      </w:r>
      <w:r>
        <w:t xml:space="preserve"> </w:t>
      </w:r>
      <w:r>
        <w:rPr>
          <w:i/>
          <w:iCs/>
        </w:rPr>
        <w:t xml:space="preserve">Relation of</w:t>
      </w:r>
      <w:r>
        <w:rPr>
          <w:i/>
          <w:iCs/>
        </w:rPr>
        <w:t xml:space="preserve"> </w:t>
      </w:r>
      <w:r>
        <w:rPr>
          <w:i/>
          <w:iCs/>
        </w:rPr>
        <w:t xml:space="preserve">“Bonito”</w:t>
      </w:r>
      <w:r>
        <w:rPr>
          <w:i/>
          <w:iCs/>
        </w:rPr>
        <w:t xml:space="preserve"> </w:t>
      </w:r>
      <w:r>
        <w:rPr>
          <w:i/>
          <w:iCs/>
        </w:rPr>
        <w:t xml:space="preserve">Paleo-Channels and Base-Level Variations to Anasazi Occupation, Chaco Canyon, New Mexico</w:t>
      </w:r>
      <w:r>
        <w:t xml:space="preserve">. Arizona State Museum Archaeological Series 194. University of Arizona, Tucson.</w:t>
      </w:r>
    </w:p>
    <w:p>
      <w:pPr>
        <w:pStyle w:val="BodyText"/>
      </w:pPr>
      <w:r>
        <w:t xml:space="preserve">Gintis, H., Smith, E.A., &amp; Bowles, S. 2001. Costly signaling and cooperation.</w:t>
      </w:r>
      <w:r>
        <w:t xml:space="preserve"> </w:t>
      </w:r>
      <w:r>
        <w:rPr>
          <w:i/>
          <w:iCs/>
        </w:rPr>
        <w:t xml:space="preserve">Journal of Theoretical Biology</w:t>
      </w:r>
      <w:r>
        <w:t xml:space="preserve"> </w:t>
      </w:r>
      <w:r>
        <w:t xml:space="preserve">213(1):103-119.</w:t>
      </w:r>
    </w:p>
    <w:p>
      <w:pPr>
        <w:pStyle w:val="BodyText"/>
      </w:pPr>
      <w:r>
        <w:t xml:space="preserve">Gauthier, N. 2021. Hydroclimate variability influenced social interaction in the prehistoric American Southwest.</w:t>
      </w:r>
      <w:r>
        <w:t xml:space="preserve"> </w:t>
      </w:r>
      <w:r>
        <w:rPr>
          <w:i/>
          <w:iCs/>
        </w:rPr>
        <w:t xml:space="preserve">Frontiers in Earth Science</w:t>
      </w:r>
      <w:r>
        <w:t xml:space="preserve"> </w:t>
      </w:r>
      <w:r>
        <w:t xml:space="preserve">8:620856.</w:t>
      </w:r>
    </w:p>
    <w:p>
      <w:pPr>
        <w:pStyle w:val="BodyText"/>
      </w:pPr>
      <w:r>
        <w:t xml:space="preserve">Gille, E.P., Wahl, E.R., Vose, R.S., &amp; Cook, E.R. 2017. The Living Blended Drought Atlas (LBDA) Version 2. NOAA National Centers for Environmental Information. doi:10.25921/7wk1-q848.</w:t>
      </w:r>
    </w:p>
    <w:p>
      <w:pPr>
        <w:pStyle w:val="BodyText"/>
      </w:pPr>
      <w:r>
        <w:t xml:space="preserve">Gillreath-Brown, A., &amp; Kohler, T.A. 2024. How maize farmers in the US Southwest grew and prospered under El Nino but suffered under La Nina.</w:t>
      </w:r>
      <w:r>
        <w:t xml:space="preserve"> </w:t>
      </w:r>
      <w:r>
        <w:rPr>
          <w:i/>
          <w:iCs/>
        </w:rPr>
        <w:t xml:space="preserve">Kiva</w:t>
      </w:r>
      <w:r>
        <w:t xml:space="preserve"> </w:t>
      </w:r>
      <w:r>
        <w:t xml:space="preserve">90(4):451-475.</w:t>
      </w:r>
    </w:p>
    <w:p>
      <w:pPr>
        <w:pStyle w:val="BodyText"/>
      </w:pPr>
      <w:r>
        <w:t xml:space="preserve">Grafen, A. 1990. Biological signals as handicaps.</w:t>
      </w:r>
      <w:r>
        <w:t xml:space="preserve"> </w:t>
      </w:r>
      <w:r>
        <w:rPr>
          <w:i/>
          <w:iCs/>
        </w:rPr>
        <w:t xml:space="preserve">Journal of Theoretical Biology</w:t>
      </w:r>
      <w:r>
        <w:t xml:space="preserve"> </w:t>
      </w:r>
      <w:r>
        <w:t xml:space="preserve">144(4):517-546.</w:t>
      </w:r>
    </w:p>
    <w:p>
      <w:pPr>
        <w:pStyle w:val="BodyText"/>
      </w:pPr>
      <w:r>
        <w:t xml:space="preserve">Grissino-Mayer, H.D. 1996. A 2,129-year reconstruction of precipitation for northwestern New Mexico, USA. In</w:t>
      </w:r>
      <w:r>
        <w:t xml:space="preserve"> </w:t>
      </w:r>
      <w:r>
        <w:rPr>
          <w:i/>
          <w:iCs/>
        </w:rPr>
        <w:t xml:space="preserve">Tree Rings, Environment, and Humanity</w:t>
      </w:r>
      <w:r>
        <w:t xml:space="preserve">, edited by J.S. Dean, D.M. Meko, and T.W. Swetnam, pp. 191-204. Radiocarbon, Tucson.</w:t>
      </w:r>
    </w:p>
    <w:p>
      <w:pPr>
        <w:pStyle w:val="BodyText"/>
      </w:pPr>
      <w:r>
        <w:t xml:space="preserve">Grissino-Mayer, H.D., Swetnam, T.W., &amp; Adams, R.K. 1997. The rare, old-aged conifers of El Malpais: Their role in understanding climatic change in the American Southwest.</w:t>
      </w:r>
      <w:r>
        <w:t xml:space="preserve"> </w:t>
      </w:r>
      <w:r>
        <w:rPr>
          <w:i/>
          <w:iCs/>
        </w:rPr>
        <w:t xml:space="preserve">New Mexico Bureau of Mines and Mineral Resources Bulletin</w:t>
      </w:r>
      <w:r>
        <w:t xml:space="preserve"> </w:t>
      </w:r>
      <w:r>
        <w:t xml:space="preserve">156:155-161.</w:t>
      </w:r>
    </w:p>
    <w:p>
      <w:pPr>
        <w:pStyle w:val="BodyText"/>
      </w:pPr>
      <w:r>
        <w:t xml:space="preserve">Gumerman, G.J. (ed.). 1988.</w:t>
      </w:r>
      <w:r>
        <w:t xml:space="preserve"> </w:t>
      </w:r>
      <w:r>
        <w:rPr>
          <w:i/>
          <w:iCs/>
        </w:rPr>
        <w:t xml:space="preserve">The Anasazi in a Changing Environment</w:t>
      </w:r>
      <w:r>
        <w:t xml:space="preserve">. Cambridge University Press, Cambridge.</w:t>
      </w:r>
    </w:p>
    <w:p>
      <w:pPr>
        <w:pStyle w:val="BodyText"/>
      </w:pPr>
      <w:r>
        <w:t xml:space="preserve">Gumerman, G.J. (ed.). 1994.</w:t>
      </w:r>
      <w:r>
        <w:t xml:space="preserve"> </w:t>
      </w:r>
      <w:r>
        <w:rPr>
          <w:i/>
          <w:iCs/>
        </w:rPr>
        <w:t xml:space="preserve">Themes in Southwest Prehistory</w:t>
      </w:r>
      <w:r>
        <w:t xml:space="preserve">. School of American Research Press, Santa Fe.</w:t>
      </w:r>
    </w:p>
    <w:p>
      <w:pPr>
        <w:pStyle w:val="BodyText"/>
      </w:pPr>
      <w:r>
        <w:t xml:space="preserve">Guiterman, C.H., Swetnam, T.W., &amp; Dean, J.S. 2015. Eleventh-century shift in timber procurement areas for the great houses of Chaco Canyon, NM.</w:t>
      </w:r>
      <w:r>
        <w:t xml:space="preserve"> </w:t>
      </w:r>
      <w:r>
        <w:rPr>
          <w:i/>
          <w:iCs/>
        </w:rPr>
        <w:t xml:space="preserve">Proceedings of the National Academy of Sciences</w:t>
      </w:r>
      <w:r>
        <w:t xml:space="preserve"> </w:t>
      </w:r>
      <w:r>
        <w:t xml:space="preserve">112(44):13438-13443.</w:t>
      </w:r>
    </w:p>
    <w:p>
      <w:pPr>
        <w:pStyle w:val="BodyText"/>
      </w:pPr>
      <w:r>
        <w:t xml:space="preserve">Heitman, C.C., &amp; Plog, S. (eds.). 2015.</w:t>
      </w:r>
      <w:r>
        <w:t xml:space="preserve"> </w:t>
      </w:r>
      <w:r>
        <w:rPr>
          <w:i/>
          <w:iCs/>
        </w:rPr>
        <w:t xml:space="preserve">Chaco Revisited: New Research on the Prehistory of Chaco Canyon, New Mexico</w:t>
      </w:r>
      <w:r>
        <w:t xml:space="preserve">. University of Arizona Press, Tucson.</w:t>
      </w:r>
    </w:p>
    <w:p>
      <w:pPr>
        <w:pStyle w:val="BodyText"/>
      </w:pPr>
      <w:r>
        <w:t xml:space="preserve">Halstead, P., &amp; O’Shea, J. 1989. Introduction: Cultural responses to risk and uncertainty. In</w:t>
      </w:r>
      <w:r>
        <w:t xml:space="preserve"> </w:t>
      </w:r>
      <w:r>
        <w:rPr>
          <w:i/>
          <w:iCs/>
        </w:rPr>
        <w:t xml:space="preserve">Bad Year Economics: Cultural Responses to Risk and Uncertainty</w:t>
      </w:r>
      <w:r>
        <w:t xml:space="preserve">, edited by P. Halstead and J. O’Shea, pp. 1-7. Cambridge University Press, Cambridge.</w:t>
      </w:r>
    </w:p>
    <w:p>
      <w:pPr>
        <w:pStyle w:val="BodyText"/>
      </w:pPr>
      <w:r>
        <w:t xml:space="preserve">Hull, S., Fayek, M., Mathien, F.J., &amp; Roberts, H. 2014. Turquoise trade of the Ancestral Puebloan: Chaco and beyond.</w:t>
      </w:r>
      <w:r>
        <w:t xml:space="preserve"> </w:t>
      </w:r>
      <w:r>
        <w:rPr>
          <w:i/>
          <w:iCs/>
        </w:rPr>
        <w:t xml:space="preserve">Journal of Archaeological Science</w:t>
      </w:r>
      <w:r>
        <w:t xml:space="preserve"> </w:t>
      </w:r>
      <w:r>
        <w:t xml:space="preserve">45:187-195.</w:t>
      </w:r>
    </w:p>
    <w:p>
      <w:pPr>
        <w:pStyle w:val="BodyText"/>
      </w:pPr>
      <w:r>
        <w:t xml:space="preserve">Hawkes, K., &amp; Bliege Bird, R. 2002. Showing off, handicap signaling, and the evolution of men’s work.</w:t>
      </w:r>
      <w:r>
        <w:t xml:space="preserve"> </w:t>
      </w:r>
      <w:r>
        <w:rPr>
          <w:i/>
          <w:iCs/>
        </w:rPr>
        <w:t xml:space="preserve">Evolutionary Anthropology</w:t>
      </w:r>
      <w:r>
        <w:t xml:space="preserve"> </w:t>
      </w:r>
      <w:r>
        <w:t xml:space="preserve">11(2):58-67.</w:t>
      </w:r>
    </w:p>
    <w:p>
      <w:pPr>
        <w:pStyle w:val="BodyText"/>
      </w:pPr>
      <w:r>
        <w:t xml:space="preserve">Judge, W.J. 1989. Chaco Canyon-San Juan Basin. In</w:t>
      </w:r>
      <w:r>
        <w:t xml:space="preserve"> </w:t>
      </w:r>
      <w:r>
        <w:rPr>
          <w:i/>
          <w:iCs/>
        </w:rPr>
        <w:t xml:space="preserve">Dynamics of Southwest Prehistory</w:t>
      </w:r>
      <w:r>
        <w:t xml:space="preserve">, edited by L.S. Cordell and G.J. Gumerman, pp. 209-261. Smithsonian Institution Press, Washington, DC.</w:t>
      </w:r>
    </w:p>
    <w:p>
      <w:pPr>
        <w:pStyle w:val="BodyText"/>
      </w:pPr>
      <w:r>
        <w:t xml:space="preserve">Kitcher, P. 1981. Explanatory unification.</w:t>
      </w:r>
      <w:r>
        <w:t xml:space="preserve"> </w:t>
      </w:r>
      <w:r>
        <w:rPr>
          <w:i/>
          <w:iCs/>
        </w:rPr>
        <w:t xml:space="preserve">Philosophy of Science</w:t>
      </w:r>
      <w:r>
        <w:t xml:space="preserve"> </w:t>
      </w:r>
      <w:r>
        <w:t xml:space="preserve">48(4):507-531.</w:t>
      </w:r>
    </w:p>
    <w:p>
      <w:pPr>
        <w:pStyle w:val="BodyText"/>
      </w:pPr>
      <w:r>
        <w:t xml:space="preserve">Kuckelman, K.A., Lightfoot, R.R., &amp; Martin, D.L. 2002. The bioarchaeology and taphonomy of violence at Castle Rock and Sand Canyon Pueblos, southwestern Colorado.</w:t>
      </w:r>
      <w:r>
        <w:t xml:space="preserve"> </w:t>
      </w:r>
      <w:r>
        <w:rPr>
          <w:i/>
          <w:iCs/>
        </w:rPr>
        <w:t xml:space="preserve">American Antiquity</w:t>
      </w:r>
      <w:r>
        <w:t xml:space="preserve"> </w:t>
      </w:r>
      <w:r>
        <w:t xml:space="preserve">67(3):486-513.</w:t>
      </w:r>
    </w:p>
    <w:p>
      <w:pPr>
        <w:pStyle w:val="BodyText"/>
      </w:pPr>
      <w:r>
        <w:t xml:space="preserve">Kantner, J., &amp; Vaughn, K.J. 2012. Pilgrimage as costly signal: Religiously motivated cooperation in Chaco and Nasca.</w:t>
      </w:r>
      <w:r>
        <w:t xml:space="preserve"> </w:t>
      </w:r>
      <w:r>
        <w:rPr>
          <w:i/>
          <w:iCs/>
        </w:rPr>
        <w:t xml:space="preserve">Journal of Anthropological Archaeology</w:t>
      </w:r>
      <w:r>
        <w:t xml:space="preserve"> </w:t>
      </w:r>
      <w:r>
        <w:t xml:space="preserve">31(1):66-82.</w:t>
      </w:r>
    </w:p>
    <w:p>
      <w:pPr>
        <w:pStyle w:val="BodyText"/>
      </w:pPr>
      <w:r>
        <w:t xml:space="preserve">Kennett, D.J., Plog, S., George, R.J., Culleton, B.J., Watson, A.S., Skoglund, P., Rohland, N., Mallick, S., Stewardson, K., Kistler, L., LeBlanc, S.A., Whiteley, P.M., Reich, D., &amp; Perry, G.H. 2017. Archaeogenomic evidence reveals prehistoric matrilineal dynasty.</w:t>
      </w:r>
      <w:r>
        <w:t xml:space="preserve"> </w:t>
      </w:r>
      <w:r>
        <w:rPr>
          <w:i/>
          <w:iCs/>
        </w:rPr>
        <w:t xml:space="preserve">Nature Communications</w:t>
      </w:r>
      <w:r>
        <w:t xml:space="preserve"> </w:t>
      </w:r>
      <w:r>
        <w:t xml:space="preserve">8:14115.</w:t>
      </w:r>
    </w:p>
    <w:p>
      <w:pPr>
        <w:pStyle w:val="BodyText"/>
      </w:pPr>
      <w:r>
        <w:t xml:space="preserve">Kohler, T.A., Ellyson, L.J., &amp; Bocinsky, R.K. 2023. Wealth inequality in the prehispanic northern US Southwest: From Malthus to Tyche.</w:t>
      </w:r>
      <w:r>
        <w:t xml:space="preserve"> </w:t>
      </w:r>
      <w:r>
        <w:rPr>
          <w:i/>
          <w:iCs/>
        </w:rPr>
        <w:t xml:space="preserve">Philosophical Transactions of the Royal Society B</w:t>
      </w:r>
      <w:r>
        <w:t xml:space="preserve"> </w:t>
      </w:r>
      <w:r>
        <w:t xml:space="preserve">378:20220298.</w:t>
      </w:r>
    </w:p>
    <w:p>
      <w:pPr>
        <w:pStyle w:val="BodyText"/>
      </w:pPr>
      <w:r>
        <w:t xml:space="preserve">Lakatos, I. 1970. Falsification and the methodology of scientific research programmes. In I. Lakatos and A. Musgrave (eds.),</w:t>
      </w:r>
      <w:r>
        <w:t xml:space="preserve"> </w:t>
      </w:r>
      <w:r>
        <w:rPr>
          <w:i/>
          <w:iCs/>
        </w:rPr>
        <w:t xml:space="preserve">Criticism and the Growth of Knowledge</w:t>
      </w:r>
      <w:r>
        <w:t xml:space="preserve">, pp. 91-196. Cambridge University Press, Cambridge.</w:t>
      </w:r>
    </w:p>
    <w:p>
      <w:pPr>
        <w:pStyle w:val="BodyText"/>
      </w:pPr>
      <w:r>
        <w:t xml:space="preserve">Lekson, S.H. (ed.) 2006.</w:t>
      </w:r>
      <w:r>
        <w:t xml:space="preserve"> </w:t>
      </w:r>
      <w:r>
        <w:rPr>
          <w:i/>
          <w:iCs/>
        </w:rPr>
        <w:t xml:space="preserve">The Archaeology of Chaco Canyon: An Eleventh-Century Pueblo Regional Center</w:t>
      </w:r>
      <w:r>
        <w:t xml:space="preserve">. School for Advanced Research Press, Santa Fe.</w:t>
      </w:r>
    </w:p>
    <w:p>
      <w:pPr>
        <w:pStyle w:val="BodyText"/>
      </w:pPr>
      <w:r>
        <w:t xml:space="preserve">Lewontin, R.C. 1974.</w:t>
      </w:r>
      <w:r>
        <w:t xml:space="preserve"> </w:t>
      </w:r>
      <w:r>
        <w:rPr>
          <w:i/>
          <w:iCs/>
        </w:rPr>
        <w:t xml:space="preserve">The Genetic Basis of Evolutionary Change</w:t>
      </w:r>
      <w:r>
        <w:t xml:space="preserve">. Columbia University Press, New York.</w:t>
      </w:r>
    </w:p>
    <w:p>
      <w:pPr>
        <w:pStyle w:val="BodyText"/>
      </w:pPr>
      <w:r>
        <w:t xml:space="preserve">Lekson, S.H. 2002. War in the Southwest, war in the world.</w:t>
      </w:r>
      <w:r>
        <w:t xml:space="preserve"> </w:t>
      </w:r>
      <w:r>
        <w:rPr>
          <w:i/>
          <w:iCs/>
        </w:rPr>
        <w:t xml:space="preserve">American Antiquity</w:t>
      </w:r>
      <w:r>
        <w:t xml:space="preserve"> </w:t>
      </w:r>
      <w:r>
        <w:t xml:space="preserve">67(4):607-624.</w:t>
      </w:r>
    </w:p>
    <w:p>
      <w:pPr>
        <w:pStyle w:val="BodyText"/>
      </w:pPr>
      <w:r>
        <w:t xml:space="preserve">Lentz, D.L., Slotten, V., Plog, S., et al. 2021. Ecosystem impacts by the Ancestral Puebloans of Chaco Canyon, New Mexico, USA.</w:t>
      </w:r>
      <w:r>
        <w:t xml:space="preserve"> </w:t>
      </w:r>
      <w:r>
        <w:rPr>
          <w:i/>
          <w:iCs/>
        </w:rPr>
        <w:t xml:space="preserve">PLOS ONE</w:t>
      </w:r>
      <w:r>
        <w:t xml:space="preserve"> </w:t>
      </w:r>
      <w:r>
        <w:t xml:space="preserve">16(10):e0258369.</w:t>
      </w:r>
    </w:p>
    <w:p>
      <w:pPr>
        <w:pStyle w:val="BodyText"/>
      </w:pPr>
      <w:r>
        <w:t xml:space="preserve">Mailath, G.J. 1987. Incentive compatibility in signaling games with a continuum of types.</w:t>
      </w:r>
      <w:r>
        <w:t xml:space="preserve"> </w:t>
      </w:r>
      <w:r>
        <w:rPr>
          <w:i/>
          <w:iCs/>
        </w:rPr>
        <w:t xml:space="preserve">Econometrica</w:t>
      </w:r>
      <w:r>
        <w:t xml:space="preserve"> </w:t>
      </w:r>
      <w:r>
        <w:t xml:space="preserve">55(6):1349-1365.</w:t>
      </w:r>
    </w:p>
    <w:p>
      <w:pPr>
        <w:pStyle w:val="BodyText"/>
      </w:pPr>
      <w:r>
        <w:t xml:space="preserve">Mathien, F.J. 2001. The organization of turquoise production and consumption by the prehistoric Chacoans.</w:t>
      </w:r>
      <w:r>
        <w:t xml:space="preserve"> </w:t>
      </w:r>
      <w:r>
        <w:rPr>
          <w:i/>
          <w:iCs/>
        </w:rPr>
        <w:t xml:space="preserve">American Antiquity</w:t>
      </w:r>
      <w:r>
        <w:t xml:space="preserve"> </w:t>
      </w:r>
      <w:r>
        <w:t xml:space="preserve">66(1):103-118.</w:t>
      </w:r>
    </w:p>
    <w:p>
      <w:pPr>
        <w:pStyle w:val="BodyText"/>
      </w:pPr>
      <w:r>
        <w:t xml:space="preserve">Mattson, H. 2025. Reevaluating the organization of lapidary production at Chaco Canyon.</w:t>
      </w:r>
      <w:r>
        <w:t xml:space="preserve"> </w:t>
      </w:r>
      <w:r>
        <w:rPr>
          <w:i/>
          <w:iCs/>
        </w:rPr>
        <w:t xml:space="preserve">American Antiquity</w:t>
      </w:r>
      <w:r>
        <w:t xml:space="preserve"> </w:t>
      </w:r>
      <w:r>
        <w:t xml:space="preserve">90:90-112.</w:t>
      </w:r>
    </w:p>
    <w:p>
      <w:pPr>
        <w:pStyle w:val="BodyText"/>
      </w:pPr>
      <w:r>
        <w:t xml:space="preserve">Mills, B.J., Clark, J.J., Peeples, M.A., et al. 2013. Transformation of social networks in the late pre-Hispanic US Southwest.</w:t>
      </w:r>
      <w:r>
        <w:t xml:space="preserve"> </w:t>
      </w:r>
      <w:r>
        <w:rPr>
          <w:i/>
          <w:iCs/>
        </w:rPr>
        <w:t xml:space="preserve">Proceedings of the National Academy of Sciences</w:t>
      </w:r>
      <w:r>
        <w:t xml:space="preserve"> </w:t>
      </w:r>
      <w:r>
        <w:t xml:space="preserve">110(15):5785-5790.</w:t>
      </w:r>
    </w:p>
    <w:p>
      <w:pPr>
        <w:pStyle w:val="BodyText"/>
      </w:pPr>
      <w:r>
        <w:t xml:space="preserve">Mills, B.J., Peeples, M.A., Borck, L., Clark, J.J., &amp; Roberts, J.M. 2018. Evaluating Chaco migration scenarios using dynamic social network analysis.</w:t>
      </w:r>
      <w:r>
        <w:t xml:space="preserve"> </w:t>
      </w:r>
      <w:r>
        <w:rPr>
          <w:i/>
          <w:iCs/>
        </w:rPr>
        <w:t xml:space="preserve">Antiquity</w:t>
      </w:r>
      <w:r>
        <w:t xml:space="preserve"> </w:t>
      </w:r>
      <w:r>
        <w:t xml:space="preserve">92(364):922-939.</w:t>
      </w:r>
    </w:p>
    <w:p>
      <w:pPr>
        <w:pStyle w:val="BodyText"/>
      </w:pPr>
      <w:r>
        <w:t xml:space="preserve">Mayo, D.G. 2018.</w:t>
      </w:r>
      <w:r>
        <w:t xml:space="preserve"> </w:t>
      </w:r>
      <w:r>
        <w:rPr>
          <w:i/>
          <w:iCs/>
        </w:rPr>
        <w:t xml:space="preserve">Statistical Inference as Severe Testing: How to Get Beyond the Statistics Wars</w:t>
      </w:r>
      <w:r>
        <w:t xml:space="preserve">. Cambridge University Press, Cambridge.</w:t>
      </w:r>
    </w:p>
    <w:p>
      <w:pPr>
        <w:pStyle w:val="BodyText"/>
      </w:pPr>
      <w:r>
        <w:t xml:space="preserve">Noble, D.G. (ed.). 1984.</w:t>
      </w:r>
      <w:r>
        <w:t xml:space="preserve"> </w:t>
      </w:r>
      <w:r>
        <w:rPr>
          <w:i/>
          <w:iCs/>
        </w:rPr>
        <w:t xml:space="preserve">New Light on Chaco Canyon</w:t>
      </w:r>
      <w:r>
        <w:t xml:space="preserve">. School of American Research Press, Santa Fe.</w:t>
      </w:r>
    </w:p>
    <w:p>
      <w:pPr>
        <w:pStyle w:val="BodyText"/>
      </w:pPr>
      <w:r>
        <w:t xml:space="preserve">Noble, D.G. (ed.). 2004.</w:t>
      </w:r>
      <w:r>
        <w:t xml:space="preserve"> </w:t>
      </w:r>
      <w:r>
        <w:rPr>
          <w:i/>
          <w:iCs/>
        </w:rPr>
        <w:t xml:space="preserve">In Search of Chaco: New Approaches to an Archaeological Enigma</w:t>
      </w:r>
      <w:r>
        <w:t xml:space="preserve">. School for Advanced Research Press, Santa Fe.</w:t>
      </w:r>
    </w:p>
    <w:p>
      <w:pPr>
        <w:pStyle w:val="BodyText"/>
      </w:pPr>
      <w:r>
        <w:t xml:space="preserve">Neiman, F.D. 1997. Conspicuous consumption as wasteful advertising: A Darwinian perspective on spatial patterns in Classic Maya terminal monument dates.</w:t>
      </w:r>
      <w:r>
        <w:t xml:space="preserve"> </w:t>
      </w:r>
      <w:r>
        <w:rPr>
          <w:i/>
          <w:iCs/>
        </w:rPr>
        <w:t xml:space="preserve">Archeological Papers of the American Anthropological Association</w:t>
      </w:r>
      <w:r>
        <w:t xml:space="preserve"> </w:t>
      </w:r>
      <w:r>
        <w:t xml:space="preserve">7:267-290.</w:t>
      </w:r>
    </w:p>
    <w:p>
      <w:pPr>
        <w:pStyle w:val="BodyText"/>
      </w:pPr>
      <w:r>
        <w:t xml:space="preserve">O’Shea, J., &amp; Halstead, P. 1989. Conclusions: Bad year economics. In</w:t>
      </w:r>
      <w:r>
        <w:t xml:space="preserve"> </w:t>
      </w:r>
      <w:r>
        <w:rPr>
          <w:i/>
          <w:iCs/>
        </w:rPr>
        <w:t xml:space="preserve">Bad Year Economics</w:t>
      </w:r>
      <w:r>
        <w:t xml:space="preserve">, edited by P. Halstead and J. O’Shea, pp. 123-126. Cambridge University Press, Cambridge.</w:t>
      </w:r>
    </w:p>
    <w:p>
      <w:pPr>
        <w:pStyle w:val="BodyText"/>
      </w:pPr>
      <w:r>
        <w:t xml:space="preserve">OpenAlex: see Priem, J., Piwowar, H., &amp; Orr, R. 2022. OpenAlex: A fully-open index of scholarly works, authors, venues, institutions, and concepts.</w:t>
      </w:r>
      <w:r>
        <w:t xml:space="preserve"> </w:t>
      </w:r>
      <w:r>
        <w:rPr>
          <w:i/>
          <w:iCs/>
        </w:rPr>
        <w:t xml:space="preserve">ArXiv</w:t>
      </w:r>
      <w:r>
        <w:t xml:space="preserve"> </w:t>
      </w:r>
      <w:r>
        <w:t xml:space="preserve">2205.01833.</w:t>
      </w:r>
    </w:p>
    <w:p>
      <w:pPr>
        <w:pStyle w:val="BodyText"/>
      </w:pPr>
      <w:r>
        <w:t xml:space="preserve">Ortiz, A. (ed.). 1972.</w:t>
      </w:r>
      <w:r>
        <w:t xml:space="preserve"> </w:t>
      </w:r>
      <w:r>
        <w:rPr>
          <w:i/>
          <w:iCs/>
        </w:rPr>
        <w:t xml:space="preserve">New Perspectives on the Pueblos</w:t>
      </w:r>
      <w:r>
        <w:t xml:space="preserve">. University of New Mexico Press, Albuquerque.</w:t>
      </w:r>
    </w:p>
    <w:p>
      <w:pPr>
        <w:pStyle w:val="BodyText"/>
      </w:pPr>
      <w:r>
        <w:t xml:space="preserve">Perreault, C. 2019.</w:t>
      </w:r>
      <w:r>
        <w:t xml:space="preserve"> </w:t>
      </w:r>
      <w:r>
        <w:rPr>
          <w:i/>
          <w:iCs/>
        </w:rPr>
        <w:t xml:space="preserve">The Quality of the Archaeological Record</w:t>
      </w:r>
      <w:r>
        <w:t xml:space="preserve">. University of Chicago Press, Chicago.</w:t>
      </w:r>
    </w:p>
    <w:p>
      <w:pPr>
        <w:pStyle w:val="BodyText"/>
      </w:pPr>
      <w:r>
        <w:t xml:space="preserve">Penn, D.J., &amp; Szamado, S. 2020. The handicap principle: How an erroneous hypothesis became a scientific principle.</w:t>
      </w:r>
      <w:r>
        <w:t xml:space="preserve"> </w:t>
      </w:r>
      <w:r>
        <w:rPr>
          <w:i/>
          <w:iCs/>
        </w:rPr>
        <w:t xml:space="preserve">Biological Reviews</w:t>
      </w:r>
      <w:r>
        <w:t xml:space="preserve"> </w:t>
      </w:r>
      <w:r>
        <w:t xml:space="preserve">95(1):267-290.</w:t>
      </w:r>
    </w:p>
    <w:p>
      <w:pPr>
        <w:pStyle w:val="BodyText"/>
      </w:pPr>
      <w:r>
        <w:t xml:space="preserve">Plog, S., &amp; Heitman, C. 2010. Hierarchy and social inequality in the American Southwest, A.D. 800-1200.</w:t>
      </w:r>
      <w:r>
        <w:t xml:space="preserve"> </w:t>
      </w:r>
      <w:r>
        <w:rPr>
          <w:i/>
          <w:iCs/>
        </w:rPr>
        <w:t xml:space="preserve">Proceedings of the National Academy of Sciences</w:t>
      </w:r>
      <w:r>
        <w:t xml:space="preserve"> </w:t>
      </w:r>
      <w:r>
        <w:t xml:space="preserve">107(46):19619-19626.</w:t>
      </w:r>
    </w:p>
    <w:p>
      <w:pPr>
        <w:pStyle w:val="BodyText"/>
      </w:pPr>
      <w:r>
        <w:t xml:space="preserve">Polyak, V.J., Asmerom, Y., &amp; Lachniet, M.S. 2022. Climatic backdrop for Pueblo cultural development in the southwestern United States.</w:t>
      </w:r>
      <w:r>
        <w:t xml:space="preserve"> </w:t>
      </w:r>
      <w:r>
        <w:rPr>
          <w:i/>
          <w:iCs/>
        </w:rPr>
        <w:t xml:space="preserve">Scientific Reports</w:t>
      </w:r>
      <w:r>
        <w:t xml:space="preserve"> </w:t>
      </w:r>
      <w:r>
        <w:t xml:space="preserve">12:8308.</w:t>
      </w:r>
    </w:p>
    <w:p>
      <w:pPr>
        <w:pStyle w:val="BodyText"/>
      </w:pPr>
      <w:r>
        <w:t xml:space="preserve">Quinn, C.P. 2019. Costly signaling theory in archaeology. In</w:t>
      </w:r>
      <w:r>
        <w:t xml:space="preserve"> </w:t>
      </w:r>
      <w:r>
        <w:rPr>
          <w:i/>
          <w:iCs/>
        </w:rPr>
        <w:t xml:space="preserve">Handbook of Evolutionary Research in Archaeology</w:t>
      </w:r>
      <w:r>
        <w:t xml:space="preserve">, edited by A.M. Prentiss, pp. 275-294. Springer, Cham.</w:t>
      </w:r>
    </w:p>
    <w:p>
      <w:pPr>
        <w:pStyle w:val="BodyText"/>
      </w:pPr>
      <w:r>
        <w:t xml:space="preserve">Renfrew, C. 2001. Production and consumption in a sacred economy: The material correlates of high devotional expression at Chaco Canyon.</w:t>
      </w:r>
      <w:r>
        <w:t xml:space="preserve"> </w:t>
      </w:r>
      <w:r>
        <w:rPr>
          <w:i/>
          <w:iCs/>
        </w:rPr>
        <w:t xml:space="preserve">American Antiquity</w:t>
      </w:r>
      <w:r>
        <w:t xml:space="preserve"> </w:t>
      </w:r>
      <w:r>
        <w:t xml:space="preserve">66(1):14-25.</w:t>
      </w:r>
    </w:p>
    <w:p>
      <w:pPr>
        <w:pStyle w:val="BodyText"/>
      </w:pPr>
      <w:r>
        <w:t xml:space="preserve">Roscoe, P. 2009. Social signaling and the organization of small-scale society: The case of contact-era New Guinea.</w:t>
      </w:r>
      <w:r>
        <w:t xml:space="preserve"> </w:t>
      </w:r>
      <w:r>
        <w:rPr>
          <w:i/>
          <w:iCs/>
        </w:rPr>
        <w:t xml:space="preserve">Journal of Archaeological Method and Theory</w:t>
      </w:r>
      <w:r>
        <w:t xml:space="preserve"> </w:t>
      </w:r>
      <w:r>
        <w:t xml:space="preserve">16(2):69-116.</w:t>
      </w:r>
    </w:p>
    <w:p>
      <w:pPr>
        <w:pStyle w:val="BodyText"/>
      </w:pPr>
      <w:r>
        <w:t xml:space="preserve">Safi, K.N. 2015. Costly signaling and the role of Chacoan great houses in the southern Cibola region. PhD dissertation, Washington State University, Pullman.</w:t>
      </w:r>
    </w:p>
    <w:p>
      <w:pPr>
        <w:pStyle w:val="BodyText"/>
      </w:pPr>
      <w:r>
        <w:t xml:space="preserve">Scarborough, V.L., Fladd, S.G., Dunning, N.P., Plog, S., et al. 2018. Water uncertainty, ritual predictability and agricultural canals at Chaco Canyon, New Mexico.</w:t>
      </w:r>
      <w:r>
        <w:t xml:space="preserve"> </w:t>
      </w:r>
      <w:r>
        <w:rPr>
          <w:i/>
          <w:iCs/>
        </w:rPr>
        <w:t xml:space="preserve">Antiquity</w:t>
      </w:r>
      <w:r>
        <w:t xml:space="preserve"> </w:t>
      </w:r>
      <w:r>
        <w:t xml:space="preserve">92(364):870-889.</w:t>
      </w:r>
    </w:p>
    <w:p>
      <w:pPr>
        <w:pStyle w:val="BodyText"/>
      </w:pPr>
      <w:r>
        <w:t xml:space="preserve">Schwarz, K. 2023. Costly signaling theory and the rise, collapse, and regeneration of complex societies. SSRN Working Paper 4286795.</w:t>
      </w:r>
    </w:p>
    <w:p>
      <w:pPr>
        <w:pStyle w:val="BodyText"/>
      </w:pPr>
      <w:r>
        <w:t xml:space="preserve">Spence, M. 1973. Job market signaling.</w:t>
      </w:r>
      <w:r>
        <w:t xml:space="preserve"> </w:t>
      </w:r>
      <w:r>
        <w:rPr>
          <w:i/>
          <w:iCs/>
        </w:rPr>
        <w:t xml:space="preserve">Quarterly Journal of Economics</w:t>
      </w:r>
      <w:r>
        <w:t xml:space="preserve"> </w:t>
      </w:r>
      <w:r>
        <w:t xml:space="preserve">87(3):355-374.</w:t>
      </w:r>
    </w:p>
    <w:p>
      <w:pPr>
        <w:pStyle w:val="BodyText"/>
      </w:pPr>
      <w:r>
        <w:t xml:space="preserve">Trigger, B.G. 1990. Monumental architecture: A thermodynamic explanation of symbolic behaviour.</w:t>
      </w:r>
      <w:r>
        <w:t xml:space="preserve"> </w:t>
      </w:r>
      <w:r>
        <w:rPr>
          <w:i/>
          <w:iCs/>
        </w:rPr>
        <w:t xml:space="preserve">World Archaeology</w:t>
      </w:r>
      <w:r>
        <w:t xml:space="preserve"> </w:t>
      </w:r>
      <w:r>
        <w:t xml:space="preserve">22(2):119-132.</w:t>
      </w:r>
    </w:p>
    <w:p>
      <w:pPr>
        <w:pStyle w:val="BodyText"/>
      </w:pPr>
      <w:r>
        <w:t xml:space="preserve">Turner, C.G., II, &amp; Turner, J.A. 1999.</w:t>
      </w:r>
      <w:r>
        <w:t xml:space="preserve"> </w:t>
      </w:r>
      <w:r>
        <w:rPr>
          <w:i/>
          <w:iCs/>
        </w:rPr>
        <w:t xml:space="preserve">Man Corn: Cannibalism and Violence in the Prehistoric American Southwest</w:t>
      </w:r>
      <w:r>
        <w:t xml:space="preserve">. University of Utah Press, Salt Lake City.</w:t>
      </w:r>
    </w:p>
    <w:p>
      <w:pPr>
        <w:pStyle w:val="BodyText"/>
      </w:pPr>
      <w:r>
        <w:t xml:space="preserve">Vivian, R.G. 1990.</w:t>
      </w:r>
      <w:r>
        <w:t xml:space="preserve"> </w:t>
      </w:r>
      <w:r>
        <w:rPr>
          <w:i/>
          <w:iCs/>
        </w:rPr>
        <w:t xml:space="preserve">The Chacoan Prehistory of the San Juan Basin</w:t>
      </w:r>
      <w:r>
        <w:t xml:space="preserve">. Academic Press, San Diego.</w:t>
      </w:r>
    </w:p>
    <w:p>
      <w:pPr>
        <w:pStyle w:val="BodyText"/>
      </w:pPr>
      <w:r>
        <w:t xml:space="preserve">Van Dyke, R.M., &amp; Heitman, C.C. (eds.). 2021.</w:t>
      </w:r>
      <w:r>
        <w:t xml:space="preserve"> </w:t>
      </w:r>
      <w:r>
        <w:rPr>
          <w:i/>
          <w:iCs/>
        </w:rPr>
        <w:t xml:space="preserve">The Greater Chaco Landscape: Ancestors, Scholarship, and Advocacy</w:t>
      </w:r>
      <w:r>
        <w:t xml:space="preserve">. University Press of Colorado, Boulder.</w:t>
      </w:r>
    </w:p>
    <w:p>
      <w:pPr>
        <w:pStyle w:val="BodyText"/>
      </w:pPr>
      <w:r>
        <w:t xml:space="preserve">Van Dyke, R.M. 2004. Memory, meaning, and masonry: The Late Bonito Chacoan landscape.</w:t>
      </w:r>
      <w:r>
        <w:t xml:space="preserve"> </w:t>
      </w:r>
      <w:r>
        <w:rPr>
          <w:i/>
          <w:iCs/>
        </w:rPr>
        <w:t xml:space="preserve">American Antiquity</w:t>
      </w:r>
      <w:r>
        <w:t xml:space="preserve"> </w:t>
      </w:r>
      <w:r>
        <w:t xml:space="preserve">69(3):413-431.</w:t>
      </w:r>
    </w:p>
    <w:p>
      <w:pPr>
        <w:pStyle w:val="BodyText"/>
      </w:pPr>
      <w:r>
        <w:t xml:space="preserve">Van Dyke, R.M., Primeau, K.E., Throgmorton, K., &amp; Witt, D.E. 2024. Seashells and sound waves: Modelling soundscapes in Chacoan great-house communities.</w:t>
      </w:r>
      <w:r>
        <w:t xml:space="preserve"> </w:t>
      </w:r>
      <w:r>
        <w:rPr>
          <w:i/>
          <w:iCs/>
        </w:rPr>
        <w:t xml:space="preserve">Antiquity</w:t>
      </w:r>
      <w:r>
        <w:t xml:space="preserve"> </w:t>
      </w:r>
      <w:r>
        <w:t xml:space="preserve">98(399):777-794.</w:t>
      </w:r>
    </w:p>
    <w:p>
      <w:pPr>
        <w:pStyle w:val="BodyText"/>
      </w:pPr>
      <w:r>
        <w:t xml:space="preserve">Watson, A.S., Plog, S., Culleton, B.J., Gilman, P.A., LeBlanc, S.A., Whiteley, P.M., Claramunt, S., &amp; Kennett, D.J. 2015. Early procurement of scarlet macaws and the emergence of social complexity in Chaco Canyon, NM.</w:t>
      </w:r>
      <w:r>
        <w:t xml:space="preserve"> </w:t>
      </w:r>
      <w:r>
        <w:rPr>
          <w:i/>
          <w:iCs/>
        </w:rPr>
        <w:t xml:space="preserve">Proceedings of the National Academy of Sciences</w:t>
      </w:r>
      <w:r>
        <w:t xml:space="preserve"> </w:t>
      </w:r>
      <w:r>
        <w:t xml:space="preserve">112(27):8238-8243.</w:t>
      </w:r>
    </w:p>
    <w:p>
      <w:pPr>
        <w:pStyle w:val="BodyText"/>
      </w:pPr>
      <w:r>
        <w:t xml:space="preserve">Wills, W.H. 2017. Water management and the political economy of Chaco Canyon during the Bonito Phase (ca. AD 850-1200).</w:t>
      </w:r>
      <w:r>
        <w:t xml:space="preserve"> </w:t>
      </w:r>
      <w:r>
        <w:rPr>
          <w:i/>
          <w:iCs/>
        </w:rPr>
        <w:t xml:space="preserve">Kiva</w:t>
      </w:r>
      <w:r>
        <w:t xml:space="preserve"> </w:t>
      </w:r>
      <w:r>
        <w:t xml:space="preserve">83(4):369-413.</w:t>
      </w:r>
    </w:p>
    <w:p>
      <w:pPr>
        <w:pStyle w:val="BodyText"/>
      </w:pPr>
      <w:r>
        <w:t xml:space="preserve">Wills, W.H., Drake, B.L., &amp; Dorshow, W.B. 2014. Prehistoric deforestation at Chaco Canyon?</w:t>
      </w:r>
      <w:r>
        <w:t xml:space="preserve"> </w:t>
      </w:r>
      <w:r>
        <w:rPr>
          <w:i/>
          <w:iCs/>
        </w:rPr>
        <w:t xml:space="preserve">Proceedings of the National Academy of Sciences</w:t>
      </w:r>
      <w:r>
        <w:t xml:space="preserve"> </w:t>
      </w:r>
      <w:r>
        <w:t xml:space="preserve">111(32):11584-11591.</w:t>
      </w:r>
    </w:p>
    <w:p>
      <w:pPr>
        <w:pStyle w:val="BodyText"/>
      </w:pPr>
      <w:r>
        <w:t xml:space="preserve">Wills, W.H., Przystupa, P., &amp; Williams, K. 2022. Communication in the Chaco World: A consideration of time and labor mobilization.</w:t>
      </w:r>
      <w:r>
        <w:t xml:space="preserve"> </w:t>
      </w:r>
      <w:r>
        <w:rPr>
          <w:i/>
          <w:iCs/>
        </w:rPr>
        <w:t xml:space="preserve">American Antiquity</w:t>
      </w:r>
      <w:r>
        <w:t xml:space="preserve"> </w:t>
      </w:r>
      <w:r>
        <w:t xml:space="preserve">87(3):457-486.</w:t>
      </w:r>
    </w:p>
    <w:p>
      <w:pPr>
        <w:pStyle w:val="BodyText"/>
      </w:pPr>
      <w:r>
        <w:t xml:space="preserve">Windes, T.C. 1987.</w:t>
      </w:r>
      <w:r>
        <w:t xml:space="preserve"> </w:t>
      </w:r>
      <w:r>
        <w:rPr>
          <w:i/>
          <w:iCs/>
        </w:rPr>
        <w:t xml:space="preserve">Investigations at the Pueblo Alto Complex, Chaco Canyon, New Mexico, 1975-1979</w:t>
      </w:r>
      <w:r>
        <w:t xml:space="preserve">. Publications in Archeology 18F. National Park Service, Santa Fe.</w:t>
      </w:r>
    </w:p>
    <w:bookmarkEnd w:id="48"/>
    <w:bookmarkStart w:id="49" w:name="figure-legends"/>
    <w:p>
      <w:pPr>
        <w:pStyle w:val="Heading2"/>
      </w:pPr>
      <w:r>
        <w:t xml:space="preserve">Figure Legends</w:t>
      </w:r>
    </w:p>
    <w:p>
      <w:pPr>
        <w:pStyle w:val="FirstParagraph"/>
      </w:pPr>
      <w:r>
        <w:rPr>
          <w:b/>
          <w:bCs/>
        </w:rPr>
        <w:t xml:space="preserve">Figure 1.</w:t>
      </w:r>
      <w:r>
        <w:t xml:space="preserve"> </w:t>
      </w:r>
      <w:r>
        <w:t xml:space="preserve">PMDI time series for the Chaco Canyon region (800-1200 CE) with construction activity overlay from Guiterman et al. (2015). Data from the Living Blended Drought Atlas (Gille et al. 2017). Shaded bands indicate major drought events. Vertical dashed lines mark key transitions: Chaco florescence onset (ca. 1020 CE) and megadrought/abandonment (ca. 1130 CE).</w:t>
      </w:r>
    </w:p>
    <w:p>
      <w:pPr>
        <w:pStyle w:val="BodyText"/>
      </w:pPr>
      <w:r>
        <w:rPr>
          <w:b/>
          <w:bCs/>
        </w:rPr>
        <w:t xml:space="preserve">Figure 2.</w:t>
      </w:r>
      <w:r>
        <w:t xml:space="preserve"> </w:t>
      </w:r>
      <w:r>
        <w:t xml:space="preserve">Three-layer model schematic showing Layer 1 (individual signaling equilibrium), Layer 2 (intergroup assessment and conflict reduction), and Layer 3 (cooperation networks and environmental feedback), with Chaco-specific calibration at each layer.</w:t>
      </w:r>
    </w:p>
    <w:p>
      <w:pPr>
        <w:pStyle w:val="BodyText"/>
      </w:pPr>
      <w:r>
        <w:rPr>
          <w:b/>
          <w:bCs/>
        </w:rPr>
        <w:t xml:space="preserve">Figure 3.</w:t>
      </w:r>
      <w:r>
        <w:t xml:space="preserve"> </w:t>
      </w:r>
      <w:r>
        <w:t xml:space="preserve">Spence equilibrium investment function</w:t>
      </w:r>
      <w:r>
        <w:t xml:space="preserve"> </w:t>
      </w:r>
      <m:oMath>
        <m:sSup>
          <m:e>
            <m:r>
              <m:t>x</m:t>
            </m:r>
          </m:e>
          <m:sup>
            <m:r>
              <m:rPr>
                <m:sty m:val="p"/>
              </m:rPr>
              <m:t>*</m:t>
            </m:r>
          </m:sup>
        </m:sSup>
        <m:r>
          <m:rPr>
            <m:sty m:val="p"/>
          </m:rPr>
          <m:t>(</m:t>
        </m:r>
        <m:r>
          <m:t>q</m:t>
        </m:r>
        <m:r>
          <m:rPr>
            <m:sty m:val="p"/>
          </m:rPr>
          <m:t>)</m:t>
        </m:r>
        <m:r>
          <m:rPr>
            <m:sty m:val="p"/>
          </m:rPr>
          <m:t>=</m:t>
        </m:r>
        <m:rad>
          <m:radPr>
            <m:degHide m:val="on"/>
          </m:radPr>
          <m:deg/>
          <m:e>
            <m:r>
              <m:t>λ</m:t>
            </m:r>
            <m:r>
              <m:rPr>
                <m:sty m:val="p"/>
              </m:rPr>
              <m:t>(</m:t>
            </m:r>
            <m:sSup>
              <m:e>
                <m:r>
                  <m:t>q</m:t>
                </m:r>
              </m:e>
              <m:sup>
                <m:r>
                  <m:t>2</m:t>
                </m:r>
              </m:sup>
            </m:sSup>
            <m:r>
              <m:rPr>
                <m:sty m:val="p"/>
              </m:rPr>
              <m:t>−</m:t>
            </m:r>
            <m:sSubSup>
              <m:e>
                <m:r>
                  <m:t>q</m:t>
                </m:r>
              </m:e>
              <m:sub>
                <m:r>
                  <m:rPr>
                    <m:sty m:val="p"/>
                  </m:rPr>
                  <m:t>min</m:t>
                </m:r>
              </m:sub>
              <m:sup>
                <m:r>
                  <m:t>2</m:t>
                </m:r>
              </m:sup>
            </m:sSubSup>
            <m:r>
              <m:rPr>
                <m:sty m:val="p"/>
              </m:rPr>
              <m:t>)</m:t>
            </m:r>
          </m:e>
        </m:rad>
      </m:oMath>
      <w:r>
        <w:t xml:space="preserve"> </w:t>
      </w:r>
      <w:r>
        <w:t xml:space="preserve">with sensitivity to lambda. Solid line: reference parameterization (lambda = 0.6). Dashed lines: lambda values from 0.2 to 1.2, spanning the range generated by the lambda-sigma feedback under varying environmental uncertainty. Shaded band shows the envelope across all lambda values. Orange points mark Chaco sites at the reference lambda, from small house communities (</w:t>
      </w:r>
      <m:oMath>
        <m:sSub>
          <m:e>
            <m:r>
              <m:t>q</m:t>
            </m:r>
          </m:e>
          <m:sub>
            <m:r>
              <m:rPr>
                <m:sty m:val="p"/>
              </m:rPr>
              <m:t>min</m:t>
            </m:r>
          </m:sub>
        </m:sSub>
      </m:oMath>
      <w:r>
        <w:t xml:space="preserve">, zero investment) through outlier great houses (mid-range) to Pueblo Bonito (highest quality, maximum investment). The monotonically increasing, concave qualitative pattern is robust across the full parameter range.</w:t>
      </w:r>
    </w:p>
    <w:p>
      <w:pPr>
        <w:pStyle w:val="BodyText"/>
      </w:pPr>
      <w:r>
        <w:rPr>
          <w:b/>
          <w:bCs/>
        </w:rPr>
        <w:t xml:space="preserve">Figure 4.</w:t>
      </w:r>
      <w:r>
        <w:t xml:space="preserve"> </w:t>
      </w:r>
      <w:r>
        <w:t xml:space="preserve">Great house visibility distributions, redrawn from Dungan et al. (2018). Great houses are concentrated in the highest visibility deciles (K-S D = 0.24, p &lt; 0.001), while great kivas show no comparable preference.</w:t>
      </w:r>
    </w:p>
    <w:p>
      <w:pPr>
        <w:pStyle w:val="BodyText"/>
      </w:pPr>
      <w:r>
        <w:rPr>
          <w:b/>
          <w:bCs/>
        </w:rPr>
        <w:t xml:space="preserve">Figure 5.</w:t>
      </w:r>
      <w:r>
        <w:t xml:space="preserve"> </w:t>
      </w:r>
      <w:r>
        <w:t xml:space="preserve">Network connectivity and construction co-evolution. Dual-axis plot showing ceramic similarity network metrics (from Mills et al. 2018) alongside construction chronology at 50-year intervals. Peak connectivity (AD 1050-1100) coincides with peak construction.</w:t>
      </w:r>
    </w:p>
    <w:p>
      <w:pPr>
        <w:pStyle w:val="BodyText"/>
      </w:pPr>
      <w:r>
        <w:rPr>
          <w:b/>
          <w:bCs/>
        </w:rPr>
        <w:t xml:space="preserve">Figure 6.</w:t>
      </w:r>
      <w:r>
        <w:t xml:space="preserve"> </w:t>
      </w:r>
      <w:r>
        <w:t xml:space="preserve">Environmental uncertainty decomposition from PMDI data (LBDA v2; Gille et al. 2017). (a) PMDI 50-year running mean (500-1500 CE) with Chaco florescence shaded. (b) PMDI standard deviation by archaeological period. (c) Lag-1 autocorrelation by period; Classic Bonito has the highest autocorrelation (0.360), indicating more persistent but not more variable conditions. (d) Composite uncertainty (sigma) by period, computed as SD scaled by drought frequency. Note that PMDI variance does not peak during Classic Bonito; this is consistent with the P5 null result reported in Section 5.5.</w:t>
      </w:r>
    </w:p>
    <w:p>
      <w:pPr>
        <w:pStyle w:val="BodyText"/>
      </w:pPr>
      <w:r>
        <w:rPr>
          <w:b/>
          <w:bCs/>
        </w:rPr>
        <w:t xml:space="preserve">Figure 7.</w:t>
      </w:r>
      <w:r>
        <w:t xml:space="preserve"> </w:t>
      </w:r>
      <w:r>
        <w:t xml:space="preserve">Prediction evaluation summary. Assessment of eight model predictions against independent evidence, classified by discriminating power (D = discriminating, C = convergent, PD = partially discriminating). Four discriminating predictions are supported, two convergent predictions are supported, and two discriminating predictions are partially supported.</w:t>
      </w:r>
    </w:p>
    <w:p>
      <w:pPr>
        <w:pStyle w:val="BodyText"/>
      </w:pPr>
      <w:r>
        <w:rPr>
          <w:b/>
          <w:bCs/>
        </w:rPr>
        <w:t xml:space="preserve">Figure 8.</w:t>
      </w:r>
      <w:r>
        <w:t xml:space="preserve"> </w:t>
      </w:r>
      <w:r>
        <w:t xml:space="preserve">Simulation dynamics from the three-layer formal model (20 replicates, shaded 90% CI). (a) Population: total and by quality tier (high vs. low). Population peaks around AD 1080 and declines through the collapse period. (b) Total monument stock, peaking contemporaneously with population. (c) Lambda-sigma feedback: environmental uncertainty (sigma, left axis) and signaling returns (lambda, right axis) co-vary dynamically. (d) Conflict rate per decade, rising after the florescence as monument investment declines. Orange shading marks the Classic Bonito period (1020-1130 CE); red dashed line marks the megadrought onset (1130 CE).</w:t>
      </w:r>
    </w:p>
    <w:p>
      <w:pPr>
        <w:pStyle w:val="BodyText"/>
      </w:pPr>
      <w:r>
        <w:rPr>
          <w:b/>
          <w:bCs/>
        </w:rPr>
        <w:t xml:space="preserve">Figure 9.</w:t>
      </w:r>
      <w:r>
        <w:t xml:space="preserve"> </w:t>
      </w:r>
      <w:r>
        <w:t xml:space="preserve">Regional map of Chaco Canyon and long-distance procurement networks. Star marks Chaco Canyon; triangles mark timber sources (Chuska Mountains post-1020 CE, Zuni Mountains pre-1020 CE); diamond marks Cerrillos Hills turquoise source (~250 km); dashed lines indicate marine shell route from Gulf of California (~800 km) and Mesoamerican trade route for macaws and cacao (~1,800 km). Gray shaded area indicates approximate extent of Chaco influence (~150 km radius). Blue line marks the Great North Road connecting Chaco to Aztec Ruins (80 km north).</w:t>
      </w:r>
    </w:p>
    <w:p>
      <w:pPr>
        <w:pStyle w:val="BodyText"/>
      </w:pPr>
      <w:r>
        <w:rPr>
          <w:b/>
          <w:bCs/>
        </w:rPr>
        <w:t xml:space="preserve">Figure 10.</w:t>
      </w:r>
      <w:r>
        <w:t xml:space="preserve"> </w:t>
      </w:r>
      <w:r>
        <w:t xml:space="preserve">Construction chronology of Chaco Canyon great houses. Horizontal bars show the period of major construction for each great house, sorted by founding date. Circles mark peak construction year. Room counts at peak are labeled. Vertical dashed line marks the onset of Classic Bonito (1020 CE); vertical solid line marks the megadrought onset (1130 CE). Background shading indicates Early Bonito, Classic Bonito, and Late Bonito periods.</w:t>
      </w:r>
    </w:p>
    <w:p>
      <w:pPr>
        <w:pStyle w:val="BodyText"/>
      </w:pPr>
      <w:r>
        <w:rPr>
          <w:b/>
          <w:bCs/>
        </w:rPr>
        <w:t xml:space="preserve">Figure 11.</w:t>
      </w:r>
      <w:r>
        <w:t xml:space="preserve"> </w:t>
      </w:r>
      <w:r>
        <w:t xml:space="preserve">Comparison of predictions across four theoretical frameworks for eight observables at Chaco Canyon. The signaling model (highlighted column) generates specific, distinctive predictions for most observables, including quality-dependent investment gradients, landscape visibility placement, construction tracking environmental uncertainty rather than surplus, and a specific collapse mechanism involving signaling equilibrium breakdown. Alternative frameworks (hierarchy, ritual, ecological) generate overlapping or vague predictions for several observables.</w:t>
      </w:r>
    </w:p>
    <w:p>
      <w:pPr>
        <w:pStyle w:val="BodyText"/>
      </w:pPr>
      <w:r>
        <w:rPr>
          <w:b/>
          <w:bCs/>
        </w:rPr>
        <w:t xml:space="preserve">Figure 12.</w:t>
      </w:r>
      <w:r>
        <w:t xml:space="preserve"> </w:t>
      </w:r>
      <w:r>
        <w:t xml:space="preserve">PMDI variance and construction activity by archaeological period. (a) PMDI variance (from LBDA v2; Gille et al. 2017) for four archaeological periods. (b) Scatter plot of PMDI variance against construction intensity (rooms built per decade) for each period. Classic Bonito (AD 1020-1130) shows peak construction but not peak variance, complicating the lambda-sigma prediction at the period level.</w:t>
      </w:r>
    </w:p>
    <w:p>
      <w:pPr>
        <w:pStyle w:val="BodyText"/>
      </w:pPr>
      <w:r>
        <w:rPr>
          <w:b/>
          <w:bCs/>
        </w:rPr>
        <w:t xml:space="preserve">Figure 13.</w:t>
      </w:r>
      <w:r>
        <w:t xml:space="preserve"> </w:t>
      </w:r>
      <w:r>
        <w:t xml:space="preserve">Simulation quality-investment scatter at the final simulation state (year 1199 CE). Each point represents one group; size proportional to population. Orange: core great houses; blue: outlier communities. Dashed line shows the theoretical Spence equilibrium</w:t>
      </w:r>
      <w:r>
        <w:t xml:space="preserve"> </w:t>
      </w:r>
      <m:oMath>
        <m:sSup>
          <m:e>
            <m:r>
              <m:t>x</m:t>
            </m:r>
          </m:e>
          <m:sup>
            <m:r>
              <m:rPr>
                <m:sty m:val="p"/>
              </m:rPr>
              <m:t>*</m:t>
            </m:r>
          </m:sup>
        </m:sSup>
        <m:r>
          <m:rPr>
            <m:sty m:val="p"/>
          </m:rPr>
          <m:t>(</m:t>
        </m:r>
        <m:r>
          <m:t>q</m:t>
        </m:r>
        <m:r>
          <m:rPr>
            <m:sty m:val="p"/>
          </m:rPr>
          <m:t>)</m:t>
        </m:r>
      </m:oMath>
      <w:r>
        <w:t xml:space="preserve"> </w:t>
      </w:r>
      <w:r>
        <w:t xml:space="preserve">at the final-year lambda value. The monotonic quality-investment gradient predicted by the Spence condition is realized in the simulation, with core houses (higher q) accumulating substantially more monument stock than outliers.</w:t>
      </w:r>
    </w:p>
    <w:p>
      <w:pPr>
        <w:pStyle w:val="BodyText"/>
      </w:pPr>
      <w:r>
        <w:rPr>
          <w:b/>
          <w:bCs/>
        </w:rPr>
        <w:t xml:space="preserve">Figure 14.</w:t>
      </w:r>
      <w:r>
        <w:t xml:space="preserve"> </w:t>
      </w:r>
      <w:r>
        <w:t xml:space="preserve">Annual-resolution PMDI-construction correlation using 2,973 dated timber specimens from the Chaco Research Archive tree-ring database (24 sites, 800-1200 CE). (a) Annual timber cutting dates (bars) with 10-year moving sum (line). Construction peaks in the 1030s-1110s. (b) PMDI values (blue/cyan fill) and 30-year rolling variance (green line). (c) Scatter of PMDI variance vs. construction activity (20-year moving sums) colored by year. The correlation is negative (r = -0.15, p = 0.012), indicating that higher environmental variance is associated with less construction, inconsistent with the lambda-sigma prediction. PMDI level correlates positively with construction (r = +0.43, p &lt; 0.0001), consistent with the surplus model for construction timing.</w:t>
      </w:r>
    </w:p>
    <w:p>
      <w:pPr>
        <w:pStyle w:val="BodyText"/>
      </w:pPr>
      <w:r>
        <w:rPr>
          <w:b/>
          <w:bCs/>
        </w:rPr>
        <w:t xml:space="preserve">Figure 15.</w:t>
      </w:r>
      <w:r>
        <w:t xml:space="preserve"> </w:t>
      </w:r>
      <w:r>
        <w:t xml:space="preserve">Comprehensive tree-ring analysis (2,973 dated specimens, 24 sites, Chaco Research Archive). (a) P1 quality-investment test: Spearman rho = 0.87 (p &lt; 0.001) between room count and timber specimens; convergent with surplus models. (b) P5 mean-PMDI test: construction tracks wetness (r = +0.43, p &lt; 0.0001), supporting surplus timing. (c) P8 collapse: Chaco construction drops from the 1080s while Aztec Ruins surges to 771 specimens in the 1110s, consistent with competitive displacement. (d) Post-collapse non-recovery: only 2 Chaco timbers after 1160 CE despite improving PMDI, inconsistent with surplus model. (e) Site-level trajectories showing independent construction pulses at major great houses, with Aztec rising as Chaco falls.</w:t>
      </w:r>
    </w:p>
    <w:p>
      <w:pPr>
        <w:pStyle w:val="BodyText"/>
      </w:pPr>
      <w:r>
        <w:rPr>
          <w:b/>
          <w:bCs/>
        </w:rPr>
        <w:t xml:space="preserve">Figure 16.</w:t>
      </w:r>
      <w:r>
        <w:t xml:space="preserve"> </w:t>
      </w:r>
      <w:r>
        <w:t xml:space="preserve">Bayesian model comparison and parameter estimation. (a) LOO-CV model weights for three models predicting decadal construction from PMDI: signaling (variance), surplus (mean), and combined. The three models are effectively equivalent in predictive accuracy (elpd differences &lt; 1), indicating the decadal data cannot discriminate between mechanisms at this temporal scale. LOO stacking assigns weight to one model, but this is an artifact of the algorithm when models are nearly identical in predictive performance. (b) Posterior distribution for the Bayesian change-point in Chaco construction rate (Poisson model). The changepoint concentrates at AD 1082 (P(before 1130 megadrought) = 1.000), confirming pre-drought signal degradation. (c) Posterior for the quality-investment slope beta in a log-log regression of timber specimens on room counts across 13 sites. Mean beta = 1.67 (94% HDI: 0.84-2.45), P(beta &gt; 0) = 0.9998, confirming the Spence quality-investment gradient with superlinear scaling.</w:t>
      </w:r>
    </w:p>
    <w:bookmarkEnd w:id="49"/>
    <w:bookmarkStart w:id="55" w:name="appendix-a-mathematical-derivations"/>
    <w:p>
      <w:pPr>
        <w:pStyle w:val="Heading2"/>
      </w:pPr>
      <w:r>
        <w:t xml:space="preserve">Appendix A: Mathematical Derivations</w:t>
      </w:r>
    </w:p>
    <w:bookmarkStart w:id="50" w:name="a.1-equilibrium-existence-and-uniqueness"/>
    <w:p>
      <w:pPr>
        <w:pStyle w:val="Heading3"/>
      </w:pPr>
      <w:r>
        <w:t xml:space="preserve">A.1 Equilibrium Existence and Uniqueness</w:t>
      </w:r>
    </w:p>
    <w:p>
      <w:pPr>
        <w:pStyle w:val="FirstParagraph"/>
      </w:pPr>
      <w:r>
        <w:t xml:space="preserve">We derive the unique separating equilibrium for the individual signaling game defined in Section 2.2.</w:t>
      </w:r>
    </w:p>
    <w:p>
      <w:pPr>
        <w:pStyle w:val="BodyText"/>
      </w:pPr>
      <w:r>
        <w:rPr>
          <w:b/>
          <w:bCs/>
        </w:rPr>
        <w:t xml:space="preserve">Setup.</w:t>
      </w:r>
      <w:r>
        <w:t xml:space="preserve"> </w:t>
      </w:r>
      <w:r>
        <w:t xml:space="preserve">An agent of quality</w:t>
      </w:r>
      <w:r>
        <w:t xml:space="preserve"> </w:t>
      </w:r>
      <m:oMath>
        <m:r>
          <m:t>q</m:t>
        </m:r>
        <m:r>
          <m:rPr>
            <m:sty m:val="p"/>
          </m:rPr>
          <m:t>∈</m:t>
        </m:r>
        <m:r>
          <m:rPr>
            <m:sty m:val="p"/>
          </m:rPr>
          <m:t>[</m:t>
        </m:r>
        <m:sSub>
          <m:e>
            <m:r>
              <m:t>q</m:t>
            </m:r>
          </m:e>
          <m:sub>
            <m:r>
              <m:rPr>
                <m:sty m:val="p"/>
              </m:rPr>
              <m:t>min</m:t>
            </m:r>
          </m:sub>
        </m:sSub>
        <m:r>
          <m:rPr>
            <m:sty m:val="p"/>
          </m:rPr>
          <m:t>,</m:t>
        </m:r>
        <m:sSub>
          <m:e>
            <m:r>
              <m:t>q</m:t>
            </m:r>
          </m:e>
          <m:sub>
            <m:r>
              <m:rPr>
                <m:sty m:val="p"/>
              </m:rPr>
              <m:t>max</m:t>
            </m:r>
          </m:sub>
        </m:sSub>
        <m:r>
          <m:rPr>
            <m:sty m:val="p"/>
          </m:rPr>
          <m:t>]</m:t>
        </m:r>
      </m:oMath>
      <w:r>
        <w:t xml:space="preserve"> </w:t>
      </w:r>
      <w:r>
        <w:t xml:space="preserve">chooses signaling investment</w:t>
      </w:r>
      <w:r>
        <w:t xml:space="preserve"> </w:t>
      </w:r>
      <m:oMath>
        <m:r>
          <m:t>x</m:t>
        </m:r>
        <m:r>
          <m:rPr>
            <m:sty m:val="p"/>
          </m:rPr>
          <m:t>≥</m:t>
        </m:r>
        <m:r>
          <m:t>0</m:t>
        </m:r>
      </m:oMath>
      <w:r>
        <w:t xml:space="preserve">. The cost function is</w:t>
      </w:r>
      <w:r>
        <w:t xml:space="preserve"> </w:t>
      </w:r>
      <m:oMath>
        <m:r>
          <m:t>c</m:t>
        </m:r>
        <m:r>
          <m:rPr>
            <m:sty m:val="p"/>
          </m:rPr>
          <m:t>(</m:t>
        </m:r>
        <m:r>
          <m:t>x</m:t>
        </m:r>
        <m:r>
          <m:rPr>
            <m:sty m:val="p"/>
          </m:rPr>
          <m:t>,</m:t>
        </m:r>
        <m:r>
          <m:t>q</m:t>
        </m:r>
        <m:r>
          <m:rPr>
            <m:sty m:val="p"/>
          </m:rPr>
          <m:t>)</m:t>
        </m:r>
        <m:r>
          <m:rPr>
            <m:sty m:val="p"/>
          </m:rPr>
          <m:t>=</m:t>
        </m:r>
        <m:sSup>
          <m:e>
            <m:r>
              <m:t>x</m:t>
            </m:r>
          </m:e>
          <m:sup>
            <m:r>
              <m:t>2</m:t>
            </m:r>
          </m:sup>
        </m:sSup>
        <m:r>
          <m:rPr>
            <m:sty m:val="p"/>
          </m:rPr>
          <m:t>/</m:t>
        </m:r>
        <m:r>
          <m:rPr>
            <m:sty m:val="p"/>
          </m:rPr>
          <m:t>(</m:t>
        </m:r>
        <m:r>
          <m:t>2</m:t>
        </m:r>
        <m:r>
          <m:t>q</m:t>
        </m:r>
        <m:r>
          <m:rPr>
            <m:sty m:val="p"/>
          </m:rPr>
          <m:t>)</m:t>
        </m:r>
      </m:oMath>
      <w:r>
        <w:t xml:space="preserve">. A receiver observes</w:t>
      </w:r>
      <w:r>
        <w:t xml:space="preserve"> </w:t>
      </w:r>
      <m:oMath>
        <m:r>
          <m:t>x</m:t>
        </m:r>
      </m:oMath>
      <w:r>
        <w:t xml:space="preserve"> </w:t>
      </w:r>
      <w:r>
        <w:t xml:space="preserve">and forms a belief</w:t>
      </w:r>
      <w:r>
        <w:t xml:space="preserve"> </w:t>
      </w:r>
      <m:oMath>
        <m:acc>
          <m:accPr>
            <m:chr m:val="̂"/>
          </m:accPr>
          <m:e>
            <m:r>
              <m:t>q</m:t>
            </m:r>
          </m:e>
        </m:acc>
        <m:r>
          <m:rPr>
            <m:sty m:val="p"/>
          </m:rPr>
          <m:t>(</m:t>
        </m:r>
        <m:r>
          <m:t>x</m:t>
        </m:r>
        <m:r>
          <m:rPr>
            <m:sty m:val="p"/>
          </m:rPr>
          <m:t>)</m:t>
        </m:r>
      </m:oMath>
      <w:r>
        <w:t xml:space="preserve"> </w:t>
      </w:r>
      <w:r>
        <w:t xml:space="preserve">about the sender’s quality. The sender’s payoff is:</w:t>
      </w:r>
    </w:p>
    <w:p>
      <w:pPr>
        <w:pStyle w:val="BodyText"/>
      </w:pPr>
      <m:oMathPara>
        <m:oMathParaPr>
          <m:jc m:val="center"/>
        </m:oMathParaPr>
        <m:oMath>
          <m:r>
            <m:t>u</m:t>
          </m:r>
          <m:r>
            <m:rPr>
              <m:sty m:val="p"/>
            </m:rPr>
            <m:t>(</m:t>
          </m:r>
          <m:r>
            <m:t>x</m:t>
          </m:r>
          <m:r>
            <m:rPr>
              <m:sty m:val="p"/>
            </m:rPr>
            <m:t>,</m:t>
          </m:r>
          <m:r>
            <m:t>q</m:t>
          </m:r>
          <m:r>
            <m:rPr>
              <m:sty m:val="p"/>
            </m:rPr>
            <m:t>)</m:t>
          </m:r>
          <m:r>
            <m:rPr>
              <m:sty m:val="p"/>
            </m:rPr>
            <m:t>=</m:t>
          </m:r>
          <m:r>
            <m:t>λ</m:t>
          </m:r>
          <m:r>
            <m:rPr>
              <m:sty m:val="p"/>
            </m:rPr>
            <m:t>⋅</m:t>
          </m:r>
          <m:acc>
            <m:accPr>
              <m:chr m:val="̂"/>
            </m:accPr>
            <m:e>
              <m:r>
                <m:t>q</m:t>
              </m:r>
            </m:e>
          </m:acc>
          <m:r>
            <m:rPr>
              <m:sty m:val="p"/>
            </m:rPr>
            <m:t>(</m:t>
          </m:r>
          <m:r>
            <m:t>x</m:t>
          </m:r>
          <m:r>
            <m:rPr>
              <m:sty m:val="p"/>
            </m:rPr>
            <m:t>)</m:t>
          </m:r>
          <m:r>
            <m:rPr>
              <m:sty m:val="p"/>
            </m:rPr>
            <m:t>−</m:t>
          </m:r>
          <m:f>
            <m:fPr>
              <m:type m:val="bar"/>
            </m:fPr>
            <m:num>
              <m:sSup>
                <m:e>
                  <m:r>
                    <m:t>x</m:t>
                  </m:r>
                </m:e>
                <m:sup>
                  <m:r>
                    <m:t>2</m:t>
                  </m:r>
                </m:sup>
              </m:sSup>
            </m:num>
            <m:den>
              <m:r>
                <m:t>2</m:t>
              </m:r>
              <m:r>
                <m:t>q</m:t>
              </m:r>
            </m:den>
          </m:f>
        </m:oMath>
      </m:oMathPara>
    </w:p>
    <w:p>
      <w:pPr>
        <w:pStyle w:val="FirstParagraph"/>
      </w:pPr>
      <w:r>
        <w:t xml:space="preserve">where</w:t>
      </w:r>
      <w:r>
        <w:t xml:space="preserve"> </w:t>
      </w:r>
      <m:oMath>
        <m:r>
          <m:t>λ</m:t>
        </m:r>
        <m:r>
          <m:rPr>
            <m:sty m:val="p"/>
          </m:rPr>
          <m:t>&gt;</m:t>
        </m:r>
        <m:r>
          <m:t>0</m:t>
        </m:r>
      </m:oMath>
      <w:r>
        <w:t xml:space="preserve"> </w:t>
      </w:r>
      <w:r>
        <w:t xml:space="preserve">represents the fitness return to perceived quality.</w:t>
      </w:r>
    </w:p>
    <w:p>
      <w:pPr>
        <w:pStyle w:val="BodyText"/>
      </w:pPr>
      <w:r>
        <w:rPr>
          <w:b/>
          <w:bCs/>
        </w:rPr>
        <w:t xml:space="preserve">Proposition 1 (Separating Equilibrium).</w:t>
      </w:r>
      <w:r>
        <w:t xml:space="preserve"> </w:t>
      </w:r>
      <w:r>
        <w:t xml:space="preserve">Under the cost function</w:t>
      </w:r>
      <w:r>
        <w:t xml:space="preserve"> </w:t>
      </w:r>
      <m:oMath>
        <m:r>
          <m:t>c</m:t>
        </m:r>
        <m:r>
          <m:rPr>
            <m:sty m:val="p"/>
          </m:rPr>
          <m:t>(</m:t>
        </m:r>
        <m:r>
          <m:t>x</m:t>
        </m:r>
        <m:r>
          <m:rPr>
            <m:sty m:val="p"/>
          </m:rPr>
          <m:t>,</m:t>
        </m:r>
        <m:r>
          <m:t>q</m:t>
        </m:r>
        <m:r>
          <m:rPr>
            <m:sty m:val="p"/>
          </m:rPr>
          <m:t>)</m:t>
        </m:r>
        <m:r>
          <m:rPr>
            <m:sty m:val="p"/>
          </m:rPr>
          <m:t>=</m:t>
        </m:r>
        <m:sSup>
          <m:e>
            <m:r>
              <m:t>x</m:t>
            </m:r>
          </m:e>
          <m:sup>
            <m:r>
              <m:t>2</m:t>
            </m:r>
          </m:sup>
        </m:sSup>
        <m:r>
          <m:rPr>
            <m:sty m:val="p"/>
          </m:rPr>
          <m:t>/</m:t>
        </m:r>
        <m:r>
          <m:rPr>
            <m:sty m:val="p"/>
          </m:rPr>
          <m:t>(</m:t>
        </m:r>
        <m:r>
          <m:t>2</m:t>
        </m:r>
        <m:r>
          <m:t>q</m:t>
        </m:r>
        <m:r>
          <m:rPr>
            <m:sty m:val="p"/>
          </m:rPr>
          <m:t>)</m:t>
        </m:r>
      </m:oMath>
      <w:r>
        <w:t xml:space="preserve">, the unique separating equilibrium is characterized by the investment function:</w:t>
      </w:r>
    </w:p>
    <w:p>
      <w:pPr>
        <w:pStyle w:val="BodyText"/>
      </w:pPr>
      <m:oMathPara>
        <m:oMathParaPr>
          <m:jc m:val="center"/>
        </m:oMathParaPr>
        <m:oMath>
          <m:sSup>
            <m:e>
              <m:r>
                <m:t>x</m:t>
              </m:r>
            </m:e>
            <m:sup>
              <m:r>
                <m:rPr>
                  <m:sty m:val="p"/>
                </m:rPr>
                <m:t>*</m:t>
              </m:r>
            </m:sup>
          </m:sSup>
          <m:r>
            <m:rPr>
              <m:sty m:val="p"/>
            </m:rPr>
            <m:t>(</m:t>
          </m:r>
          <m:r>
            <m:t>q</m:t>
          </m:r>
          <m:r>
            <m:rPr>
              <m:sty m:val="p"/>
            </m:rPr>
            <m:t>)</m:t>
          </m:r>
          <m:r>
            <m:rPr>
              <m:sty m:val="p"/>
            </m:rPr>
            <m:t>=</m:t>
          </m:r>
          <m:rad>
            <m:radPr>
              <m:degHide m:val="on"/>
            </m:radPr>
            <m:deg/>
            <m:e>
              <m:r>
                <m:t>λ</m:t>
              </m:r>
              <m:r>
                <m:rPr>
                  <m:sty m:val="p"/>
                </m:rPr>
                <m:t>(</m:t>
              </m:r>
              <m:sSup>
                <m:e>
                  <m:r>
                    <m:t>q</m:t>
                  </m:r>
                </m:e>
                <m:sup>
                  <m:r>
                    <m:t>2</m:t>
                  </m:r>
                </m:sup>
              </m:sSup>
              <m:r>
                <m:rPr>
                  <m:sty m:val="p"/>
                </m:rPr>
                <m:t>−</m:t>
              </m:r>
              <m:sSubSup>
                <m:e>
                  <m:r>
                    <m:t>q</m:t>
                  </m:r>
                </m:e>
                <m:sub>
                  <m:r>
                    <m:rPr>
                      <m:sty m:val="p"/>
                    </m:rPr>
                    <m:t>min</m:t>
                  </m:r>
                </m:sub>
                <m:sup>
                  <m:r>
                    <m:t>2</m:t>
                  </m:r>
                </m:sup>
              </m:sSubSup>
              <m:r>
                <m:rPr>
                  <m:sty m:val="p"/>
                </m:rPr>
                <m:t>)</m:t>
              </m:r>
            </m:e>
          </m:rad>
        </m:oMath>
      </m:oMathPara>
    </w:p>
    <w:p>
      <w:pPr>
        <w:pStyle w:val="FirstParagraph"/>
      </w:pPr>
      <w:r>
        <w:rPr>
          <w:i/>
          <w:iCs/>
        </w:rPr>
        <w:t xml:space="preserve">Proof.</w:t>
      </w:r>
      <w:r>
        <w:t xml:space="preserve"> </w:t>
      </w:r>
      <w:r>
        <w:t xml:space="preserve">In a separating equilibrium, the receiver correctly infers quality:</w:t>
      </w:r>
      <w:r>
        <w:t xml:space="preserve"> </w:t>
      </w:r>
      <m:oMath>
        <m:acc>
          <m:accPr>
            <m:chr m:val="̂"/>
          </m:accPr>
          <m:e>
            <m:r>
              <m:t>q</m:t>
            </m:r>
          </m:e>
        </m:acc>
        <m:r>
          <m:rPr>
            <m:sty m:val="p"/>
          </m:rPr>
          <m:t>(</m:t>
        </m:r>
        <m:sSup>
          <m:e>
            <m:r>
              <m:t>x</m:t>
            </m:r>
          </m:e>
          <m:sup>
            <m:r>
              <m:rPr>
                <m:sty m:val="p"/>
              </m:rPr>
              <m:t>*</m:t>
            </m:r>
          </m:sup>
        </m:sSup>
        <m:r>
          <m:rPr>
            <m:sty m:val="p"/>
          </m:rPr>
          <m:t>(</m:t>
        </m:r>
        <m:r>
          <m:t>q</m:t>
        </m:r>
        <m:r>
          <m:rPr>
            <m:sty m:val="p"/>
          </m:rPr>
          <m:t>)</m:t>
        </m:r>
        <m:r>
          <m:rPr>
            <m:sty m:val="p"/>
          </m:rPr>
          <m:t>)</m:t>
        </m:r>
        <m:r>
          <m:rPr>
            <m:sty m:val="p"/>
          </m:rPr>
          <m:t>=</m:t>
        </m:r>
        <m:r>
          <m:t>q</m:t>
        </m:r>
      </m:oMath>
      <w:r>
        <w:t xml:space="preserve">. The incentive compatibility condition requires that no type</w:t>
      </w:r>
      <w:r>
        <w:t xml:space="preserve"> </w:t>
      </w:r>
      <m:oMath>
        <m:r>
          <m:t>q</m:t>
        </m:r>
      </m:oMath>
      <w:r>
        <w:t xml:space="preserve"> </w:t>
      </w:r>
      <w:r>
        <w:t xml:space="preserve">prefers to mimic another type</w:t>
      </w:r>
      <w:r>
        <w:t xml:space="preserve"> </w:t>
      </w:r>
      <m:oMath>
        <m:sSup>
          <m:e>
            <m:r>
              <m:t>q</m:t>
            </m:r>
          </m:e>
          <m:sup>
            <m:r>
              <m:rPr>
                <m:sty m:val="p"/>
              </m:rPr>
              <m:t>′</m:t>
            </m:r>
          </m:sup>
        </m:sSup>
      </m:oMath>
      <w:r>
        <w:t xml:space="preserve">:</w:t>
      </w:r>
    </w:p>
    <w:p>
      <w:pPr>
        <w:pStyle w:val="BodyText"/>
      </w:pPr>
      <m:oMathPara>
        <m:oMathParaPr>
          <m:jc m:val="center"/>
        </m:oMathParaPr>
        <m:oMath>
          <m:r>
            <m:t>λ</m:t>
          </m:r>
          <m:r>
            <m:t>q</m:t>
          </m:r>
          <m:r>
            <m:rPr>
              <m:sty m:val="p"/>
            </m:rPr>
            <m:t>−</m:t>
          </m:r>
          <m:f>
            <m:fPr>
              <m:type m:val="bar"/>
            </m:fPr>
            <m:num>
              <m:r>
                <m:rPr>
                  <m:sty m:val="p"/>
                </m:rPr>
                <m:t>[</m:t>
              </m:r>
              <m:sSup>
                <m:e>
                  <m:r>
                    <m:t>x</m:t>
                  </m:r>
                </m:e>
                <m:sup>
                  <m:r>
                    <m:rPr>
                      <m:sty m:val="p"/>
                    </m:rPr>
                    <m:t>*</m:t>
                  </m:r>
                </m:sup>
              </m:sSup>
              <m:r>
                <m:rPr>
                  <m:sty m:val="p"/>
                </m:rPr>
                <m:t>(</m:t>
              </m:r>
              <m:r>
                <m:t>q</m:t>
              </m:r>
              <m:r>
                <m:rPr>
                  <m:sty m:val="p"/>
                </m:rPr>
                <m:t>)</m:t>
              </m:r>
              <m:sSup>
                <m:e>
                  <m:r>
                    <m:rPr>
                      <m:sty m:val="p"/>
                    </m:rPr>
                    <m:t>]</m:t>
                  </m:r>
                </m:e>
                <m:sup>
                  <m:r>
                    <m:t>2</m:t>
                  </m:r>
                </m:sup>
              </m:sSup>
            </m:num>
            <m:den>
              <m:r>
                <m:t>2</m:t>
              </m:r>
              <m:r>
                <m:t>q</m:t>
              </m:r>
            </m:den>
          </m:f>
          <m:r>
            <m:rPr>
              <m:sty m:val="p"/>
            </m:rPr>
            <m:t>≥</m:t>
          </m:r>
          <m:r>
            <m:t>λ</m:t>
          </m:r>
          <m:sSup>
            <m:e>
              <m:r>
                <m:t>q</m:t>
              </m:r>
            </m:e>
            <m:sup>
              <m:r>
                <m:rPr>
                  <m:sty m:val="p"/>
                </m:rPr>
                <m:t>′</m:t>
              </m:r>
            </m:sup>
          </m:sSup>
          <m:r>
            <m:rPr>
              <m:sty m:val="p"/>
            </m:rPr>
            <m:t>−</m:t>
          </m:r>
          <m:f>
            <m:fPr>
              <m:type m:val="bar"/>
            </m:fPr>
            <m:num>
              <m:r>
                <m:rPr>
                  <m:sty m:val="p"/>
                </m:rPr>
                <m:t>[</m:t>
              </m:r>
              <m:sSup>
                <m:e>
                  <m:r>
                    <m:t>x</m:t>
                  </m:r>
                </m:e>
                <m:sup>
                  <m:r>
                    <m:rPr>
                      <m:sty m:val="p"/>
                    </m:rPr>
                    <m:t>*</m:t>
                  </m:r>
                </m:sup>
              </m:sSup>
              <m:r>
                <m:rPr>
                  <m:sty m:val="p"/>
                </m:rPr>
                <m:t>(</m:t>
              </m:r>
              <m:sSup>
                <m:e>
                  <m:r>
                    <m:t>q</m:t>
                  </m:r>
                </m:e>
                <m:sup>
                  <m:r>
                    <m:rPr>
                      <m:sty m:val="p"/>
                    </m:rPr>
                    <m:t>′</m:t>
                  </m:r>
                </m:sup>
              </m:sSup>
              <m:r>
                <m:rPr>
                  <m:sty m:val="p"/>
                </m:rPr>
                <m:t>)</m:t>
              </m:r>
              <m:sSup>
                <m:e>
                  <m:r>
                    <m:rPr>
                      <m:sty m:val="p"/>
                    </m:rPr>
                    <m:t>]</m:t>
                  </m:r>
                </m:e>
                <m:sup>
                  <m:r>
                    <m:t>2</m:t>
                  </m:r>
                </m:sup>
              </m:sSup>
            </m:num>
            <m:den>
              <m:r>
                <m:t>2</m:t>
              </m:r>
              <m:r>
                <m:t>q</m:t>
              </m:r>
            </m:den>
          </m:f>
          <m:r>
            <m:t> </m:t>
          </m:r>
          <m:r>
            <m:rPr>
              <m:sty m:val="p"/>
            </m:rPr>
            <m:t>∀</m:t>
          </m:r>
          <m:r>
            <m:t>q</m:t>
          </m:r>
          <m:r>
            <m:rPr>
              <m:sty m:val="p"/>
            </m:rPr>
            <m:t>,</m:t>
          </m:r>
          <m:sSup>
            <m:e>
              <m:r>
                <m:t>q</m:t>
              </m:r>
            </m:e>
            <m:sup>
              <m:r>
                <m:rPr>
                  <m:sty m:val="p"/>
                </m:rPr>
                <m:t>′</m:t>
              </m:r>
            </m:sup>
          </m:sSup>
        </m:oMath>
      </m:oMathPara>
    </w:p>
    <w:p>
      <w:pPr>
        <w:pStyle w:val="FirstParagraph"/>
      </w:pPr>
      <w:r>
        <w:t xml:space="preserve">Taking the first-order condition by differentiating with respect to</w:t>
      </w:r>
      <w:r>
        <w:t xml:space="preserve"> </w:t>
      </w:r>
      <m:oMath>
        <m:sSup>
          <m:e>
            <m:r>
              <m:t>q</m:t>
            </m:r>
          </m:e>
          <m:sup>
            <m:r>
              <m:rPr>
                <m:sty m:val="p"/>
              </m:rPr>
              <m:t>′</m:t>
            </m:r>
          </m:sup>
        </m:sSup>
      </m:oMath>
      <w:r>
        <w:t xml:space="preserve"> </w:t>
      </w:r>
      <w:r>
        <w:t xml:space="preserve">and evaluating at</w:t>
      </w:r>
      <w:r>
        <w:t xml:space="preserve"> </w:t>
      </w:r>
      <m:oMath>
        <m:sSup>
          <m:e>
            <m:r>
              <m:t>q</m:t>
            </m:r>
          </m:e>
          <m:sup>
            <m:r>
              <m:rPr>
                <m:sty m:val="p"/>
              </m:rPr>
              <m:t>′</m:t>
            </m:r>
          </m:sup>
        </m:sSup>
        <m:r>
          <m:rPr>
            <m:sty m:val="p"/>
          </m:rPr>
          <m:t>=</m:t>
        </m:r>
        <m:r>
          <m:t>q</m:t>
        </m:r>
      </m:oMath>
      <w:r>
        <w:t xml:space="preserve">:</w:t>
      </w:r>
    </w:p>
    <w:p>
      <w:pPr>
        <w:pStyle w:val="BodyText"/>
      </w:pPr>
      <m:oMathPara>
        <m:oMathParaPr>
          <m:jc m:val="center"/>
        </m:oMathParaPr>
        <m:oMath>
          <m:r>
            <m:t>λ</m:t>
          </m:r>
          <m:f>
            <m:fPr>
              <m:type m:val="bar"/>
            </m:fPr>
            <m:num>
              <m:r>
                <m:t>d</m:t>
              </m:r>
              <m:sSup>
                <m:e>
                  <m:r>
                    <m:t>q</m:t>
                  </m:r>
                </m:e>
                <m:sup>
                  <m:r>
                    <m:rPr>
                      <m:sty m:val="p"/>
                    </m:rPr>
                    <m:t>′</m:t>
                  </m:r>
                </m:sup>
              </m:sSup>
            </m:num>
            <m:den>
              <m:r>
                <m:t>d</m:t>
              </m:r>
              <m:r>
                <m:t>x</m:t>
              </m:r>
            </m:den>
          </m:f>
          <m:r>
            <m:rPr>
              <m:sty m:val="p"/>
            </m:rPr>
            <m:t>=</m:t>
          </m:r>
          <m:f>
            <m:fPr>
              <m:type m:val="bar"/>
            </m:fPr>
            <m:num>
              <m:sSup>
                <m:e>
                  <m:r>
                    <m:t>x</m:t>
                  </m:r>
                </m:e>
                <m:sup>
                  <m:r>
                    <m:rPr>
                      <m:sty m:val="p"/>
                    </m:rPr>
                    <m:t>*</m:t>
                  </m:r>
                </m:sup>
              </m:sSup>
              <m:r>
                <m:rPr>
                  <m:sty m:val="p"/>
                </m:rPr>
                <m:t>(</m:t>
              </m:r>
              <m:r>
                <m:t>q</m:t>
              </m:r>
              <m:r>
                <m:rPr>
                  <m:sty m:val="p"/>
                </m:rPr>
                <m:t>)</m:t>
              </m:r>
            </m:num>
            <m:den>
              <m:r>
                <m:t>q</m:t>
              </m:r>
            </m:den>
          </m:f>
          <m:r>
            <m:rPr>
              <m:sty m:val="p"/>
            </m:rPr>
            <m:t>⋅</m:t>
          </m:r>
          <m:f>
            <m:fPr>
              <m:type m:val="bar"/>
            </m:fPr>
            <m:num>
              <m:r>
                <m:t>d</m:t>
              </m:r>
              <m:sSup>
                <m:e>
                  <m:r>
                    <m:t>x</m:t>
                  </m:r>
                </m:e>
                <m:sup>
                  <m:r>
                    <m:rPr>
                      <m:sty m:val="p"/>
                    </m:rPr>
                    <m:t>*</m:t>
                  </m:r>
                </m:sup>
              </m:sSup>
            </m:num>
            <m:den>
              <m:r>
                <m:t>d</m:t>
              </m:r>
              <m:r>
                <m:t>q</m:t>
              </m:r>
            </m:den>
          </m:f>
        </m:oMath>
      </m:oMathPara>
    </w:p>
    <w:p>
      <w:pPr>
        <w:pStyle w:val="FirstParagraph"/>
      </w:pPr>
      <w:r>
        <w:t xml:space="preserve">Since</w:t>
      </w:r>
      <w:r>
        <w:t xml:space="preserve"> </w:t>
      </w:r>
      <m:oMath>
        <m:acc>
          <m:accPr>
            <m:chr m:val="̂"/>
          </m:accPr>
          <m:e>
            <m:r>
              <m:t>q</m:t>
            </m:r>
          </m:e>
        </m:acc>
        <m:r>
          <m:rPr>
            <m:sty m:val="p"/>
          </m:rPr>
          <m:t>(</m:t>
        </m:r>
        <m:r>
          <m:t>x</m:t>
        </m:r>
        <m:r>
          <m:rPr>
            <m:sty m:val="p"/>
          </m:rPr>
          <m:t>)</m:t>
        </m:r>
        <m:r>
          <m:rPr>
            <m:sty m:val="p"/>
          </m:rPr>
          <m:t>=</m:t>
        </m:r>
        <m:r>
          <m:t>q</m:t>
        </m:r>
      </m:oMath>
      <w:r>
        <w:t xml:space="preserve"> </w:t>
      </w:r>
      <w:r>
        <w:t xml:space="preserve">in a separating equilibrium, the receiver’s marginal valuation is</w:t>
      </w:r>
      <w:r>
        <w:t xml:space="preserve"> </w:t>
      </w:r>
      <m:oMath>
        <m:r>
          <m:t>λ</m:t>
        </m:r>
      </m:oMath>
      <w:r>
        <w:t xml:space="preserve">. The differential equation governing the equilibrium investment schedule is:</w:t>
      </w:r>
    </w:p>
    <w:p>
      <w:pPr>
        <w:pStyle w:val="BodyText"/>
      </w:pPr>
      <m:oMathPara>
        <m:oMathParaPr>
          <m:jc m:val="center"/>
        </m:oMathParaPr>
        <m:oMath>
          <m:f>
            <m:fPr>
              <m:type m:val="bar"/>
            </m:fPr>
            <m:num>
              <m:r>
                <m:t>d</m:t>
              </m:r>
              <m:sSup>
                <m:e>
                  <m:r>
                    <m:t>x</m:t>
                  </m:r>
                </m:e>
                <m:sup>
                  <m:r>
                    <m:rPr>
                      <m:sty m:val="p"/>
                    </m:rPr>
                    <m:t>*</m:t>
                  </m:r>
                </m:sup>
              </m:sSup>
            </m:num>
            <m:den>
              <m:r>
                <m:t>d</m:t>
              </m:r>
              <m:r>
                <m:t>q</m:t>
              </m:r>
            </m:den>
          </m:f>
          <m:r>
            <m:rPr>
              <m:sty m:val="p"/>
            </m:rPr>
            <m:t>=</m:t>
          </m:r>
          <m:f>
            <m:fPr>
              <m:type m:val="bar"/>
            </m:fPr>
            <m:num>
              <m:r>
                <m:t>λ</m:t>
              </m:r>
              <m:r>
                <m:t>q</m:t>
              </m:r>
            </m:num>
            <m:den>
              <m:sSup>
                <m:e>
                  <m:r>
                    <m:t>x</m:t>
                  </m:r>
                </m:e>
                <m:sup>
                  <m:r>
                    <m:rPr>
                      <m:sty m:val="p"/>
                    </m:rPr>
                    <m:t>*</m:t>
                  </m:r>
                </m:sup>
              </m:sSup>
              <m:r>
                <m:rPr>
                  <m:sty m:val="p"/>
                </m:rPr>
                <m:t>(</m:t>
              </m:r>
              <m:r>
                <m:t>q</m:t>
              </m:r>
              <m:r>
                <m:rPr>
                  <m:sty m:val="p"/>
                </m:rPr>
                <m:t>)</m:t>
              </m:r>
            </m:den>
          </m:f>
        </m:oMath>
      </m:oMathPara>
    </w:p>
    <w:p>
      <w:pPr>
        <w:pStyle w:val="FirstParagraph"/>
      </w:pPr>
      <w:r>
        <w:t xml:space="preserve">with the boundary condition</w:t>
      </w:r>
      <w:r>
        <w:t xml:space="preserve"> </w:t>
      </w:r>
      <m:oMath>
        <m:sSup>
          <m:e>
            <m:r>
              <m:t>x</m:t>
            </m:r>
          </m:e>
          <m:sup>
            <m:r>
              <m:rPr>
                <m:sty m:val="p"/>
              </m:rPr>
              <m:t>*</m:t>
            </m:r>
          </m:sup>
        </m:sSup>
        <m:r>
          <m:rPr>
            <m:sty m:val="p"/>
          </m:rPr>
          <m:t>(</m:t>
        </m:r>
        <m:sSub>
          <m:e>
            <m:r>
              <m:t>q</m:t>
            </m:r>
          </m:e>
          <m:sub>
            <m:r>
              <m:rPr>
                <m:sty m:val="p"/>
              </m:rPr>
              <m:t>min</m:t>
            </m:r>
          </m:sub>
        </m:sSub>
        <m:r>
          <m:rPr>
            <m:sty m:val="p"/>
          </m:rPr>
          <m:t>)</m:t>
        </m:r>
        <m:r>
          <m:rPr>
            <m:sty m:val="p"/>
          </m:rPr>
          <m:t>=</m:t>
        </m:r>
        <m:r>
          <m:t>0</m:t>
        </m:r>
      </m:oMath>
      <w:r>
        <w:t xml:space="preserve"> </w:t>
      </w:r>
      <w:r>
        <w:t xml:space="preserve">(the lowest type has no incentive to signal). Solving this ODE:</w:t>
      </w:r>
    </w:p>
    <w:p>
      <w:pPr>
        <w:pStyle w:val="BodyText"/>
      </w:pPr>
      <m:oMathPara>
        <m:oMathParaPr>
          <m:jc m:val="center"/>
        </m:oMathParaPr>
        <m:oMath>
          <m:sSup>
            <m:e>
              <m:r>
                <m:t>x</m:t>
              </m:r>
            </m:e>
            <m:sup>
              <m:r>
                <m:rPr>
                  <m:sty m:val="p"/>
                </m:rPr>
                <m:t>*</m:t>
              </m:r>
            </m:sup>
          </m:sSup>
          <m:r>
            <m:t> </m:t>
          </m:r>
          <m:r>
            <m:t>d</m:t>
          </m:r>
          <m:sSup>
            <m:e>
              <m:r>
                <m:t>x</m:t>
              </m:r>
            </m:e>
            <m:sup>
              <m:r>
                <m:rPr>
                  <m:sty m:val="p"/>
                </m:rPr>
                <m:t>*</m:t>
              </m:r>
            </m:sup>
          </m:sSup>
          <m:r>
            <m:rPr>
              <m:sty m:val="p"/>
            </m:rPr>
            <m:t>=</m:t>
          </m:r>
          <m:r>
            <m:t>λ</m:t>
          </m:r>
          <m:r>
            <m:t>q</m:t>
          </m:r>
          <m:r>
            <m:t> </m:t>
          </m:r>
          <m:r>
            <m:t>d</m:t>
          </m:r>
          <m:r>
            <m:t>q</m:t>
          </m:r>
        </m:oMath>
      </m:oMathPara>
    </w:p>
    <w:p>
      <w:pPr>
        <w:pStyle w:val="FirstParagraph"/>
      </w:pPr>
      <m:oMathPara>
        <m:oMathParaPr>
          <m:jc m:val="center"/>
        </m:oMathParaPr>
        <m:oMath>
          <m:f>
            <m:fPr>
              <m:type m:val="bar"/>
            </m:fPr>
            <m:num>
              <m:r>
                <m:rPr>
                  <m:sty m:val="p"/>
                </m:rPr>
                <m:t>[</m:t>
              </m:r>
              <m:sSup>
                <m:e>
                  <m:r>
                    <m:t>x</m:t>
                  </m:r>
                </m:e>
                <m:sup>
                  <m:r>
                    <m:rPr>
                      <m:sty m:val="p"/>
                    </m:rPr>
                    <m:t>*</m:t>
                  </m:r>
                </m:sup>
              </m:sSup>
              <m:sSup>
                <m:e>
                  <m:r>
                    <m:rPr>
                      <m:sty m:val="p"/>
                    </m:rPr>
                    <m:t>]</m:t>
                  </m:r>
                </m:e>
                <m:sup>
                  <m:r>
                    <m:t>2</m:t>
                  </m:r>
                </m:sup>
              </m:sSup>
            </m:num>
            <m:den>
              <m:r>
                <m:t>2</m:t>
              </m:r>
            </m:den>
          </m:f>
          <m:r>
            <m:rPr>
              <m:sty m:val="p"/>
            </m:rPr>
            <m:t>=</m:t>
          </m:r>
          <m:f>
            <m:fPr>
              <m:type m:val="bar"/>
            </m:fPr>
            <m:num>
              <m:r>
                <m:t>λ</m:t>
              </m:r>
              <m:sSup>
                <m:e>
                  <m:r>
                    <m:t>q</m:t>
                  </m:r>
                </m:e>
                <m:sup>
                  <m:r>
                    <m:t>2</m:t>
                  </m:r>
                </m:sup>
              </m:sSup>
            </m:num>
            <m:den>
              <m:r>
                <m:t>2</m:t>
              </m:r>
            </m:den>
          </m:f>
          <m:r>
            <m:rPr>
              <m:sty m:val="p"/>
            </m:rPr>
            <m:t>+</m:t>
          </m:r>
          <m:r>
            <m:t>C</m:t>
          </m:r>
        </m:oMath>
      </m:oMathPara>
    </w:p>
    <w:p>
      <w:pPr>
        <w:pStyle w:val="FirstParagraph"/>
      </w:pPr>
      <w:r>
        <w:t xml:space="preserve">Applying the boundary condition:</w:t>
      </w:r>
      <w:r>
        <w:t xml:space="preserve"> </w:t>
      </w:r>
      <m:oMath>
        <m:r>
          <m:t>C</m:t>
        </m:r>
        <m:r>
          <m:rPr>
            <m:sty m:val="p"/>
          </m:rPr>
          <m:t>=</m:t>
        </m:r>
        <m:r>
          <m:rPr>
            <m:sty m:val="p"/>
          </m:rPr>
          <m:t>−</m:t>
        </m:r>
        <m:r>
          <m:t>λ</m:t>
        </m:r>
        <m:sSubSup>
          <m:e>
            <m:r>
              <m:t>q</m:t>
            </m:r>
          </m:e>
          <m:sub>
            <m:r>
              <m:rPr>
                <m:sty m:val="p"/>
              </m:rPr>
              <m:t>min</m:t>
            </m:r>
          </m:sub>
          <m:sup>
            <m:r>
              <m:t>2</m:t>
            </m:r>
          </m:sup>
        </m:sSubSup>
        <m:r>
          <m:rPr>
            <m:sty m:val="p"/>
          </m:rPr>
          <m:t>/</m:t>
        </m:r>
        <m:r>
          <m:t>2</m:t>
        </m:r>
      </m:oMath>
      <w:r>
        <w:t xml:space="preserve">. Therefore:</w:t>
      </w:r>
    </w:p>
    <w:p>
      <w:pPr>
        <w:pStyle w:val="BodyText"/>
      </w:pPr>
      <m:oMathPara>
        <m:oMathParaPr>
          <m:jc m:val="center"/>
        </m:oMathParaPr>
        <m:oMath>
          <m:sSup>
            <m:e>
              <m:r>
                <m:t>x</m:t>
              </m:r>
            </m:e>
            <m:sup>
              <m:r>
                <m:rPr>
                  <m:sty m:val="p"/>
                </m:rPr>
                <m:t>*</m:t>
              </m:r>
            </m:sup>
          </m:sSup>
          <m:r>
            <m:rPr>
              <m:sty m:val="p"/>
            </m:rPr>
            <m:t>(</m:t>
          </m:r>
          <m:r>
            <m:t>q</m:t>
          </m:r>
          <m:r>
            <m:rPr>
              <m:sty m:val="p"/>
            </m:rPr>
            <m:t>)</m:t>
          </m:r>
          <m:r>
            <m:rPr>
              <m:sty m:val="p"/>
            </m:rPr>
            <m:t>=</m:t>
          </m:r>
          <m:rad>
            <m:radPr>
              <m:degHide m:val="on"/>
            </m:radPr>
            <m:deg/>
            <m:e>
              <m:r>
                <m:t>λ</m:t>
              </m:r>
              <m:r>
                <m:rPr>
                  <m:sty m:val="p"/>
                </m:rPr>
                <m:t>(</m:t>
              </m:r>
              <m:sSup>
                <m:e>
                  <m:r>
                    <m:t>q</m:t>
                  </m:r>
                </m:e>
                <m:sup>
                  <m:r>
                    <m:t>2</m:t>
                  </m:r>
                </m:sup>
              </m:sSup>
              <m:r>
                <m:rPr>
                  <m:sty m:val="p"/>
                </m:rPr>
                <m:t>−</m:t>
              </m:r>
              <m:sSubSup>
                <m:e>
                  <m:r>
                    <m:t>q</m:t>
                  </m:r>
                </m:e>
                <m:sub>
                  <m:r>
                    <m:rPr>
                      <m:sty m:val="p"/>
                    </m:rPr>
                    <m:t>min</m:t>
                  </m:r>
                </m:sub>
                <m:sup>
                  <m:r>
                    <m:t>2</m:t>
                  </m:r>
                </m:sup>
              </m:sSubSup>
              <m:r>
                <m:rPr>
                  <m:sty m:val="p"/>
                </m:rPr>
                <m:t>)</m:t>
              </m:r>
            </m:e>
          </m:rad>
        </m:oMath>
      </m:oMathPara>
    </w:p>
    <w:p>
      <w:pPr>
        <w:pStyle w:val="FirstParagraph"/>
      </w:pPr>
      <w:r>
        <w:rPr>
          <w:b/>
          <w:bCs/>
        </w:rPr>
        <w:t xml:space="preserve">Uniqueness</w:t>
      </w:r>
      <w:r>
        <w:t xml:space="preserve"> </w:t>
      </w:r>
      <w:r>
        <w:t xml:space="preserve">follows from the single-crossing property:</w:t>
      </w:r>
      <w:r>
        <w:t xml:space="preserve"> </w:t>
      </w:r>
      <m:oMath>
        <m:sSup>
          <m:e>
            <m:r>
              <m:rPr>
                <m:sty m:val="p"/>
              </m:rPr>
              <m:t>∂</m:t>
            </m:r>
          </m:e>
          <m:sup>
            <m:r>
              <m:t>2</m:t>
            </m:r>
          </m:sup>
        </m:sSup>
        <m:r>
          <m:t>c</m:t>
        </m:r>
        <m:r>
          <m:rPr>
            <m:sty m:val="p"/>
          </m:rPr>
          <m:t>/</m:t>
        </m:r>
        <m:r>
          <m:rPr>
            <m:sty m:val="p"/>
          </m:rPr>
          <m:t>∂</m:t>
        </m:r>
        <m:r>
          <m:t>x</m:t>
        </m:r>
        <m:r>
          <m:rPr>
            <m:sty m:val="p"/>
          </m:rPr>
          <m:t>∂</m:t>
        </m:r>
        <m:r>
          <m:t>q</m:t>
        </m:r>
        <m:r>
          <m:rPr>
            <m:sty m:val="p"/>
          </m:rPr>
          <m:t>=</m:t>
        </m:r>
        <m:r>
          <m:rPr>
            <m:sty m:val="p"/>
          </m:rPr>
          <m:t>−</m:t>
        </m:r>
        <m:r>
          <m:t>x</m:t>
        </m:r>
        <m:r>
          <m:rPr>
            <m:sty m:val="p"/>
          </m:rPr>
          <m:t>/</m:t>
        </m:r>
        <m:sSup>
          <m:e>
            <m:r>
              <m:t>q</m:t>
            </m:r>
          </m:e>
          <m:sup>
            <m:r>
              <m:t>2</m:t>
            </m:r>
          </m:sup>
        </m:sSup>
        <m:r>
          <m:rPr>
            <m:sty m:val="p"/>
          </m:rPr>
          <m:t>&lt;</m:t>
        </m:r>
        <m:r>
          <m:t>0</m:t>
        </m:r>
      </m:oMath>
      <w:r>
        <w:t xml:space="preserve"> </w:t>
      </w:r>
      <w:r>
        <w:t xml:space="preserve">for</w:t>
      </w:r>
      <w:r>
        <w:t xml:space="preserve"> </w:t>
      </w:r>
      <m:oMath>
        <m:r>
          <m:t>x</m:t>
        </m:r>
        <m:r>
          <m:rPr>
            <m:sty m:val="p"/>
          </m:rPr>
          <m:t>&gt;</m:t>
        </m:r>
        <m:r>
          <m:t>0</m:t>
        </m:r>
      </m:oMath>
      <w:r>
        <w:t xml:space="preserve">, which ensures that indifference curves of different types cross at most once in</w:t>
      </w:r>
      <w:r>
        <w:t xml:space="preserve"> </w:t>
      </w:r>
      <m:oMath>
        <m:r>
          <m:rPr>
            <m:sty m:val="p"/>
          </m:rPr>
          <m:t>(</m:t>
        </m:r>
        <m:r>
          <m:t>x</m:t>
        </m:r>
        <m:r>
          <m:rPr>
            <m:sty m:val="p"/>
          </m:rPr>
          <m:t>,</m:t>
        </m:r>
        <m:acc>
          <m:accPr>
            <m:chr m:val="̂"/>
          </m:accPr>
          <m:e>
            <m:r>
              <m:t>q</m:t>
            </m:r>
          </m:e>
        </m:acc>
        <m:r>
          <m:rPr>
            <m:sty m:val="p"/>
          </m:rPr>
          <m:t>)</m:t>
        </m:r>
      </m:oMath>
      <w:r>
        <w:t xml:space="preserve"> </w:t>
      </w:r>
      <w:r>
        <w:t xml:space="preserve">space. By the Mailath (1987) theorem, the single-crossing condition combined with a connected type space yields a unique separating equilibrium.</w:t>
      </w:r>
      <w:r>
        <w:t xml:space="preserve"> </w:t>
      </w:r>
      <m:oMath>
        <m:r>
          <m:rPr>
            <m:sty m:val="p"/>
          </m:rPr>
          <m:t>▫</m:t>
        </m:r>
      </m:oMath>
    </w:p>
    <w:p>
      <w:pPr>
        <w:pStyle w:val="BodyText"/>
      </w:pPr>
      <w:r>
        <w:rPr>
          <w:b/>
          <w:bCs/>
        </w:rPr>
        <w:t xml:space="preserve">Fitness gain.</w:t>
      </w:r>
      <w:r>
        <w:t xml:space="preserve"> </w:t>
      </w:r>
      <w:r>
        <w:t xml:space="preserve">The fitness of type</w:t>
      </w:r>
      <w:r>
        <w:t xml:space="preserve"> </w:t>
      </w:r>
      <m:oMath>
        <m:r>
          <m:t>q</m:t>
        </m:r>
      </m:oMath>
      <w:r>
        <w:t xml:space="preserve"> </w:t>
      </w:r>
      <w:r>
        <w:t xml:space="preserve">in the separating equilibrium relative to not signaling (and being perceived as</w:t>
      </w:r>
      <w:r>
        <w:t xml:space="preserve"> </w:t>
      </w:r>
      <m:oMath>
        <m:sSub>
          <m:e>
            <m:r>
              <m:t>q</m:t>
            </m:r>
          </m:e>
          <m:sub>
            <m:r>
              <m:rPr>
                <m:sty m:val="p"/>
              </m:rPr>
              <m:t>min</m:t>
            </m:r>
          </m:sub>
        </m:sSub>
      </m:oMath>
      <w:r>
        <w:t xml:space="preserve">) is:</w:t>
      </w:r>
    </w:p>
    <w:p>
      <w:pPr>
        <w:pStyle w:val="BodyText"/>
      </w:pPr>
      <m:oMathPara>
        <m:oMathParaPr>
          <m:jc m:val="center"/>
        </m:oMathParaPr>
        <m:oMath>
          <m:r>
            <m:rPr>
              <m:sty m:val="p"/>
            </m:rPr>
            <m:t>Δ</m:t>
          </m:r>
          <m:r>
            <m:t>w</m:t>
          </m:r>
          <m:r>
            <m:rPr>
              <m:sty m:val="p"/>
            </m:rPr>
            <m:t>(</m:t>
          </m:r>
          <m:r>
            <m:t>q</m:t>
          </m:r>
          <m:r>
            <m:rPr>
              <m:sty m:val="p"/>
            </m:rPr>
            <m:t>)</m:t>
          </m:r>
          <m:r>
            <m:rPr>
              <m:sty m:val="p"/>
            </m:rPr>
            <m:t>=</m:t>
          </m:r>
          <m:r>
            <m:t>λ</m:t>
          </m:r>
          <m:r>
            <m:rPr>
              <m:sty m:val="p"/>
            </m:rPr>
            <m:t>(</m:t>
          </m:r>
          <m:r>
            <m:t>q</m:t>
          </m:r>
          <m:r>
            <m:rPr>
              <m:sty m:val="p"/>
            </m:rPr>
            <m:t>−</m:t>
          </m:r>
          <m:sSub>
            <m:e>
              <m:r>
                <m:t>q</m:t>
              </m:r>
            </m:e>
            <m:sub>
              <m:r>
                <m:rPr>
                  <m:sty m:val="p"/>
                </m:rPr>
                <m:t>min</m:t>
              </m:r>
            </m:sub>
          </m:sSub>
          <m:r>
            <m:rPr>
              <m:sty m:val="p"/>
            </m:rPr>
            <m:t>)</m:t>
          </m:r>
          <m:r>
            <m:rPr>
              <m:sty m:val="p"/>
            </m:rPr>
            <m:t>−</m:t>
          </m:r>
          <m:f>
            <m:fPr>
              <m:type m:val="bar"/>
            </m:fPr>
            <m:num>
              <m:r>
                <m:t>λ</m:t>
              </m:r>
              <m:r>
                <m:rPr>
                  <m:sty m:val="p"/>
                </m:rPr>
                <m:t>(</m:t>
              </m:r>
              <m:sSup>
                <m:e>
                  <m:r>
                    <m:t>q</m:t>
                  </m:r>
                </m:e>
                <m:sup>
                  <m:r>
                    <m:t>2</m:t>
                  </m:r>
                </m:sup>
              </m:sSup>
              <m:r>
                <m:rPr>
                  <m:sty m:val="p"/>
                </m:rPr>
                <m:t>−</m:t>
              </m:r>
              <m:sSubSup>
                <m:e>
                  <m:r>
                    <m:t>q</m:t>
                  </m:r>
                </m:e>
                <m:sub>
                  <m:r>
                    <m:rPr>
                      <m:sty m:val="p"/>
                    </m:rPr>
                    <m:t>min</m:t>
                  </m:r>
                </m:sub>
                <m:sup>
                  <m:r>
                    <m:t>2</m:t>
                  </m:r>
                </m:sup>
              </m:sSubSup>
              <m:r>
                <m:rPr>
                  <m:sty m:val="p"/>
                </m:rPr>
                <m:t>)</m:t>
              </m:r>
            </m:num>
            <m:den>
              <m:r>
                <m:t>2</m:t>
              </m:r>
              <m:r>
                <m:t>q</m:t>
              </m:r>
            </m:den>
          </m:f>
          <m:r>
            <m:rPr>
              <m:sty m:val="p"/>
            </m:rPr>
            <m:t>=</m:t>
          </m:r>
          <m:f>
            <m:fPr>
              <m:type m:val="bar"/>
            </m:fPr>
            <m:num>
              <m:r>
                <m:t>λ</m:t>
              </m:r>
              <m:r>
                <m:rPr>
                  <m:sty m:val="p"/>
                </m:rPr>
                <m:t>(</m:t>
              </m:r>
              <m:r>
                <m:t>q</m:t>
              </m:r>
              <m:r>
                <m:rPr>
                  <m:sty m:val="p"/>
                </m:rPr>
                <m:t>−</m:t>
              </m:r>
              <m:sSub>
                <m:e>
                  <m:r>
                    <m:t>q</m:t>
                  </m:r>
                </m:e>
                <m:sub>
                  <m:r>
                    <m:rPr>
                      <m:sty m:val="p"/>
                    </m:rPr>
                    <m:t>min</m:t>
                  </m:r>
                </m:sub>
              </m:sSub>
              <m:sSup>
                <m:e>
                  <m:r>
                    <m:rPr>
                      <m:sty m:val="p"/>
                    </m:rPr>
                    <m:t>)</m:t>
                  </m:r>
                </m:e>
                <m:sup>
                  <m:r>
                    <m:t>2</m:t>
                  </m:r>
                </m:sup>
              </m:sSup>
            </m:num>
            <m:den>
              <m:r>
                <m:t>2</m:t>
              </m:r>
              <m:r>
                <m:t>q</m:t>
              </m:r>
            </m:den>
          </m:f>
          <m:r>
            <m:rPr>
              <m:sty m:val="p"/>
            </m:rPr>
            <m:t>&gt;</m:t>
          </m:r>
          <m:r>
            <m:t>0</m:t>
          </m:r>
          <m:r>
            <m:t> </m:t>
          </m:r>
          <m:r>
            <m:rPr>
              <m:nor/>
              <m:sty m:val="p"/>
            </m:rPr>
            <m:t>for all </m:t>
          </m:r>
          <m:r>
            <m:t>q</m:t>
          </m:r>
          <m:r>
            <m:rPr>
              <m:sty m:val="p"/>
            </m:rPr>
            <m:t>&gt;</m:t>
          </m:r>
          <m:sSub>
            <m:e>
              <m:r>
                <m:t>q</m:t>
              </m:r>
            </m:e>
            <m:sub>
              <m:r>
                <m:rPr>
                  <m:sty m:val="p"/>
                </m:rPr>
                <m:t>min</m:t>
              </m:r>
            </m:sub>
          </m:sSub>
        </m:oMath>
      </m:oMathPara>
    </w:p>
    <w:p>
      <w:pPr>
        <w:pStyle w:val="FirstParagraph"/>
      </w:pPr>
      <w:r>
        <w:t xml:space="preserve">Every type above minimum quality gains strictly positive fitness from participating, confirming that signaling is individually rational.</w:t>
      </w:r>
    </w:p>
    <w:bookmarkEnd w:id="50"/>
    <w:bookmarkStart w:id="51" w:name="a.2-ess-conditions"/>
    <w:p>
      <w:pPr>
        <w:pStyle w:val="Heading3"/>
      </w:pPr>
      <w:r>
        <w:t xml:space="preserve">A.2 ESS Conditions</w:t>
      </w:r>
    </w:p>
    <w:p>
      <w:pPr>
        <w:pStyle w:val="FirstParagraph"/>
      </w:pPr>
      <w:r>
        <w:t xml:space="preserve">The separating equilibrium is an evolutionarily stable strategy (ESS) if no mutant strategy can invade a population playing the equilibrium. Two potential deviations must be checked:</w:t>
      </w:r>
    </w:p>
    <w:p>
      <w:pPr>
        <w:numPr>
          <w:ilvl w:val="0"/>
          <w:numId w:val="1001"/>
        </w:numPr>
      </w:pPr>
      <w:r>
        <w:rPr>
          <w:b/>
          <w:bCs/>
        </w:rPr>
        <w:t xml:space="preserve">Pooling deviation:</w:t>
      </w:r>
      <w:r>
        <w:t xml:space="preserve"> </w:t>
      </w:r>
      <w:r>
        <w:t xml:space="preserve">All types invest the same amount</w:t>
      </w:r>
      <w:r>
        <w:t xml:space="preserve"> </w:t>
      </w:r>
      <m:oMath>
        <m:acc>
          <m:accPr>
            <m:chr m:val="‾"/>
          </m:accPr>
          <m:e>
            <m:r>
              <m:t>x</m:t>
            </m:r>
          </m:e>
        </m:acc>
      </m:oMath>
      <w:r>
        <w:t xml:space="preserve">. Under pooling, the receiver’s posterior equals the prior mean</w:t>
      </w:r>
      <w:r>
        <w:t xml:space="preserve"> </w:t>
      </w:r>
      <m:oMath>
        <m:r>
          <m:t>E</m:t>
        </m:r>
        <m:r>
          <m:rPr>
            <m:sty m:val="p"/>
          </m:rPr>
          <m:t>[</m:t>
        </m:r>
        <m:r>
          <m:t>q</m:t>
        </m:r>
        <m:r>
          <m:rPr>
            <m:sty m:val="p"/>
          </m:rPr>
          <m:t>]</m:t>
        </m:r>
      </m:oMath>
      <w:r>
        <w:t xml:space="preserve">. A high-quality type</w:t>
      </w:r>
      <w:r>
        <w:t xml:space="preserve"> </w:t>
      </w:r>
      <m:oMath>
        <m:r>
          <m:t>q</m:t>
        </m:r>
        <m:r>
          <m:rPr>
            <m:sty m:val="p"/>
          </m:rPr>
          <m:t>&gt;</m:t>
        </m:r>
        <m:r>
          <m:t>E</m:t>
        </m:r>
        <m:r>
          <m:rPr>
            <m:sty m:val="p"/>
          </m:rPr>
          <m:t>[</m:t>
        </m:r>
        <m:r>
          <m:t>q</m:t>
        </m:r>
        <m:r>
          <m:rPr>
            <m:sty m:val="p"/>
          </m:rPr>
          <m:t>]</m:t>
        </m:r>
      </m:oMath>
      <w:r>
        <w:t xml:space="preserve"> </w:t>
      </w:r>
      <w:r>
        <w:t xml:space="preserve">gains</w:t>
      </w:r>
      <w:r>
        <w:t xml:space="preserve"> </w:t>
      </w:r>
      <m:oMath>
        <m:r>
          <m:t>λ</m:t>
        </m:r>
        <m:r>
          <m:t>E</m:t>
        </m:r>
        <m:r>
          <m:rPr>
            <m:sty m:val="p"/>
          </m:rPr>
          <m:t>[</m:t>
        </m:r>
        <m:r>
          <m:t>q</m:t>
        </m:r>
        <m:r>
          <m:rPr>
            <m:sty m:val="p"/>
          </m:rPr>
          <m:t>]</m:t>
        </m:r>
        <m:r>
          <m:rPr>
            <m:sty m:val="p"/>
          </m:rPr>
          <m:t>−</m:t>
        </m:r>
        <m:sSup>
          <m:e>
            <m:acc>
              <m:accPr>
                <m:chr m:val="‾"/>
              </m:accPr>
              <m:e>
                <m:r>
                  <m:t>x</m:t>
                </m:r>
              </m:e>
            </m:acc>
          </m:e>
          <m:sup>
            <m:r>
              <m:t>2</m:t>
            </m:r>
          </m:sup>
        </m:sSup>
        <m:r>
          <m:rPr>
            <m:sty m:val="p"/>
          </m:rPr>
          <m:t>/</m:t>
        </m:r>
        <m:r>
          <m:rPr>
            <m:sty m:val="p"/>
          </m:rPr>
          <m:t>(</m:t>
        </m:r>
        <m:r>
          <m:t>2</m:t>
        </m:r>
        <m:r>
          <m:t>q</m:t>
        </m:r>
        <m:r>
          <m:rPr>
            <m:sty m:val="p"/>
          </m:rPr>
          <m:t>)</m:t>
        </m:r>
      </m:oMath>
      <w:r>
        <w:t xml:space="preserve"> </w:t>
      </w:r>
      <w:r>
        <w:t xml:space="preserve">under pooling versus</w:t>
      </w:r>
      <w:r>
        <w:t xml:space="preserve"> </w:t>
      </w:r>
      <m:oMath>
        <m:r>
          <m:t>λ</m:t>
        </m:r>
        <m:r>
          <m:t>q</m:t>
        </m:r>
        <m:r>
          <m:rPr>
            <m:sty m:val="p"/>
          </m:rPr>
          <m:t>−</m:t>
        </m:r>
        <m:r>
          <m:t>λ</m:t>
        </m:r>
        <m:r>
          <m:rPr>
            <m:sty m:val="p"/>
          </m:rPr>
          <m:t>(</m:t>
        </m:r>
        <m:sSup>
          <m:e>
            <m:r>
              <m:t>q</m:t>
            </m:r>
          </m:e>
          <m:sup>
            <m:r>
              <m:t>2</m:t>
            </m:r>
          </m:sup>
        </m:sSup>
        <m:r>
          <m:rPr>
            <m:sty m:val="p"/>
          </m:rPr>
          <m:t>−</m:t>
        </m:r>
        <m:sSubSup>
          <m:e>
            <m:r>
              <m:t>q</m:t>
            </m:r>
          </m:e>
          <m:sub>
            <m:r>
              <m:rPr>
                <m:sty m:val="p"/>
              </m:rPr>
              <m:t>min</m:t>
            </m:r>
          </m:sub>
          <m:sup>
            <m:r>
              <m:t>2</m:t>
            </m:r>
          </m:sup>
        </m:sSubSup>
        <m:r>
          <m:rPr>
            <m:sty m:val="p"/>
          </m:rPr>
          <m:t>)</m:t>
        </m:r>
        <m:r>
          <m:rPr>
            <m:sty m:val="p"/>
          </m:rPr>
          <m:t>/</m:t>
        </m:r>
        <m:r>
          <m:rPr>
            <m:sty m:val="p"/>
          </m:rPr>
          <m:t>(</m:t>
        </m:r>
        <m:r>
          <m:t>2</m:t>
        </m:r>
        <m:r>
          <m:t>q</m:t>
        </m:r>
        <m:r>
          <m:rPr>
            <m:sty m:val="p"/>
          </m:rPr>
          <m:t>)</m:t>
        </m:r>
      </m:oMath>
      <w:r>
        <w:t xml:space="preserve"> </w:t>
      </w:r>
      <w:r>
        <w:t xml:space="preserve">under separation. The separation payoff exceeds the pooling payoff for sufficiently high</w:t>
      </w:r>
      <w:r>
        <w:t xml:space="preserve"> </w:t>
      </w:r>
      <m:oMath>
        <m:r>
          <m:t>q</m:t>
        </m:r>
      </m:oMath>
      <w:r>
        <w:t xml:space="preserve"> </w:t>
      </w:r>
      <w:r>
        <w:t xml:space="preserve">whenever</w:t>
      </w:r>
      <w:r>
        <w:t xml:space="preserve"> </w:t>
      </w:r>
      <m:oMath>
        <m:r>
          <m:t>λ</m:t>
        </m:r>
        <m:r>
          <m:rPr>
            <m:sty m:val="p"/>
          </m:rPr>
          <m:t>&gt;</m:t>
        </m:r>
        <m:r>
          <m:t>0</m:t>
        </m:r>
      </m:oMath>
      <w:r>
        <w:t xml:space="preserve"> </w:t>
      </w:r>
      <w:r>
        <w:t xml:space="preserve">and the type distribution has positive variance.</w:t>
      </w:r>
    </w:p>
    <w:p>
      <w:pPr>
        <w:numPr>
          <w:ilvl w:val="0"/>
          <w:numId w:val="1001"/>
        </w:numPr>
      </w:pPr>
      <w:r>
        <w:rPr>
          <w:b/>
          <w:bCs/>
        </w:rPr>
        <w:t xml:space="preserve">Over-signaling deviation:</w:t>
      </w:r>
      <w:r>
        <w:t xml:space="preserve"> </w:t>
      </w:r>
      <w:r>
        <w:t xml:space="preserve">A type</w:t>
      </w:r>
      <w:r>
        <w:t xml:space="preserve"> </w:t>
      </w:r>
      <m:oMath>
        <m:r>
          <m:t>q</m:t>
        </m:r>
      </m:oMath>
      <w:r>
        <w:t xml:space="preserve"> </w:t>
      </w:r>
      <w:r>
        <w:t xml:space="preserve">invests at the level</w:t>
      </w:r>
      <w:r>
        <w:t xml:space="preserve"> </w:t>
      </w:r>
      <m:oMath>
        <m:sSup>
          <m:e>
            <m:r>
              <m:t>x</m:t>
            </m:r>
          </m:e>
          <m:sup>
            <m:r>
              <m:rPr>
                <m:sty m:val="p"/>
              </m:rPr>
              <m:t>*</m:t>
            </m:r>
          </m:sup>
        </m:sSup>
        <m:r>
          <m:rPr>
            <m:sty m:val="p"/>
          </m:rPr>
          <m:t>(</m:t>
        </m:r>
        <m:sSup>
          <m:e>
            <m:r>
              <m:t>q</m:t>
            </m:r>
          </m:e>
          <m:sup>
            <m:r>
              <m:rPr>
                <m:sty m:val="p"/>
              </m:rPr>
              <m:t>′</m:t>
            </m:r>
          </m:sup>
        </m:sSup>
        <m:r>
          <m:rPr>
            <m:sty m:val="p"/>
          </m:rPr>
          <m:t>)</m:t>
        </m:r>
      </m:oMath>
      <w:r>
        <w:t xml:space="preserve"> </w:t>
      </w:r>
      <w:r>
        <w:t xml:space="preserve">for some</w:t>
      </w:r>
      <w:r>
        <w:t xml:space="preserve"> </w:t>
      </w:r>
      <m:oMath>
        <m:sSup>
          <m:e>
            <m:r>
              <m:t>q</m:t>
            </m:r>
          </m:e>
          <m:sup>
            <m:r>
              <m:rPr>
                <m:sty m:val="p"/>
              </m:rPr>
              <m:t>′</m:t>
            </m:r>
          </m:sup>
        </m:sSup>
        <m:r>
          <m:rPr>
            <m:sty m:val="p"/>
          </m:rPr>
          <m:t>&gt;</m:t>
        </m:r>
        <m:r>
          <m:t>q</m:t>
        </m:r>
      </m:oMath>
      <w:r>
        <w:t xml:space="preserve">. The cost of this deviation is</w:t>
      </w:r>
      <w:r>
        <w:t xml:space="preserve"> </w:t>
      </w:r>
      <m:oMath>
        <m:r>
          <m:rPr>
            <m:sty m:val="p"/>
          </m:rPr>
          <m:t>[</m:t>
        </m:r>
        <m:sSup>
          <m:e>
            <m:r>
              <m:t>x</m:t>
            </m:r>
          </m:e>
          <m:sup>
            <m:r>
              <m:rPr>
                <m:sty m:val="p"/>
              </m:rPr>
              <m:t>*</m:t>
            </m:r>
          </m:sup>
        </m:sSup>
        <m:r>
          <m:rPr>
            <m:sty m:val="p"/>
          </m:rPr>
          <m:t>(</m:t>
        </m:r>
        <m:sSup>
          <m:e>
            <m:r>
              <m:t>q</m:t>
            </m:r>
          </m:e>
          <m:sup>
            <m:r>
              <m:rPr>
                <m:sty m:val="p"/>
              </m:rPr>
              <m:t>′</m:t>
            </m:r>
          </m:sup>
        </m:sSup>
        <m:r>
          <m:rPr>
            <m:sty m:val="p"/>
          </m:rPr>
          <m:t>)</m:t>
        </m:r>
        <m:sSup>
          <m:e>
            <m:r>
              <m:rPr>
                <m:sty m:val="p"/>
              </m:rPr>
              <m:t>]</m:t>
            </m:r>
          </m:e>
          <m:sup>
            <m:r>
              <m:t>2</m:t>
            </m:r>
          </m:sup>
        </m:sSup>
        <m:r>
          <m:rPr>
            <m:sty m:val="p"/>
          </m:rPr>
          <m:t>/</m:t>
        </m:r>
        <m:r>
          <m:rPr>
            <m:sty m:val="p"/>
          </m:rPr>
          <m:t>(</m:t>
        </m:r>
        <m:r>
          <m:t>2</m:t>
        </m:r>
        <m:r>
          <m:t>q</m:t>
        </m:r>
        <m:r>
          <m:rPr>
            <m:sty m:val="p"/>
          </m:rPr>
          <m:t>)</m:t>
        </m:r>
      </m:oMath>
      <w:r>
        <w:t xml:space="preserve"> </w:t>
      </w:r>
      <w:r>
        <w:t xml:space="preserve">while the benefit is</w:t>
      </w:r>
      <w:r>
        <w:t xml:space="preserve"> </w:t>
      </w:r>
      <m:oMath>
        <m:r>
          <m:t>λ</m:t>
        </m:r>
        <m:sSup>
          <m:e>
            <m:r>
              <m:t>q</m:t>
            </m:r>
          </m:e>
          <m:sup>
            <m:r>
              <m:rPr>
                <m:sty m:val="p"/>
              </m:rPr>
              <m:t>′</m:t>
            </m:r>
          </m:sup>
        </m:sSup>
      </m:oMath>
      <w:r>
        <w:t xml:space="preserve">. The net payoff is</w:t>
      </w:r>
      <w:r>
        <w:t xml:space="preserve"> </w:t>
      </w:r>
      <m:oMath>
        <m:r>
          <m:t>λ</m:t>
        </m:r>
        <m:sSup>
          <m:e>
            <m:r>
              <m:t>q</m:t>
            </m:r>
          </m:e>
          <m:sup>
            <m:r>
              <m:rPr>
                <m:sty m:val="p"/>
              </m:rPr>
              <m:t>′</m:t>
            </m:r>
          </m:sup>
        </m:sSup>
        <m:r>
          <m:rPr>
            <m:sty m:val="p"/>
          </m:rPr>
          <m:t>−</m:t>
        </m:r>
        <m:r>
          <m:t>λ</m:t>
        </m:r>
        <m:r>
          <m:rPr>
            <m:sty m:val="p"/>
          </m:rPr>
          <m:t>(</m:t>
        </m:r>
        <m:sSup>
          <m:e>
            <m:r>
              <m:t>q</m:t>
            </m:r>
          </m:e>
          <m:sup>
            <m:r>
              <m:rPr>
                <m:sty m:val="p"/>
              </m:rPr>
              <m:t>′</m:t>
            </m:r>
          </m:sup>
        </m:sSup>
        <m:sSup>
          <m:e>
            <m:r>
              <m:t>​</m:t>
            </m:r>
          </m:e>
          <m:sup>
            <m:r>
              <m:t>2</m:t>
            </m:r>
          </m:sup>
        </m:sSup>
        <m:r>
          <m:rPr>
            <m:sty m:val="p"/>
          </m:rPr>
          <m:t>−</m:t>
        </m:r>
        <m:sSubSup>
          <m:e>
            <m:r>
              <m:t>q</m:t>
            </m:r>
          </m:e>
          <m:sub>
            <m:r>
              <m:rPr>
                <m:sty m:val="p"/>
              </m:rPr>
              <m:t>min</m:t>
            </m:r>
          </m:sub>
          <m:sup>
            <m:r>
              <m:t>2</m:t>
            </m:r>
          </m:sup>
        </m:sSubSup>
        <m:r>
          <m:rPr>
            <m:sty m:val="p"/>
          </m:rPr>
          <m:t>)</m:t>
        </m:r>
        <m:r>
          <m:rPr>
            <m:sty m:val="p"/>
          </m:rPr>
          <m:t>/</m:t>
        </m:r>
        <m:r>
          <m:rPr>
            <m:sty m:val="p"/>
          </m:rPr>
          <m:t>(</m:t>
        </m:r>
        <m:r>
          <m:t>2</m:t>
        </m:r>
        <m:r>
          <m:t>q</m:t>
        </m:r>
        <m:r>
          <m:rPr>
            <m:sty m:val="p"/>
          </m:rPr>
          <m:t>)</m:t>
        </m:r>
      </m:oMath>
      <w:r>
        <w:t xml:space="preserve">, which decreases in</w:t>
      </w:r>
      <w:r>
        <w:t xml:space="preserve"> </w:t>
      </w:r>
      <m:oMath>
        <m:sSup>
          <m:e>
            <m:r>
              <m:t>q</m:t>
            </m:r>
          </m:e>
          <m:sup>
            <m:r>
              <m:rPr>
                <m:sty m:val="p"/>
              </m:rPr>
              <m:t>′</m:t>
            </m:r>
          </m:sup>
        </m:sSup>
      </m:oMath>
      <w:r>
        <w:t xml:space="preserve"> </w:t>
      </w:r>
      <w:r>
        <w:t xml:space="preserve">for</w:t>
      </w:r>
      <w:r>
        <w:t xml:space="preserve"> </w:t>
      </w:r>
      <m:oMath>
        <m:sSup>
          <m:e>
            <m:r>
              <m:t>q</m:t>
            </m:r>
          </m:e>
          <m:sup>
            <m:r>
              <m:rPr>
                <m:sty m:val="p"/>
              </m:rPr>
              <m:t>′</m:t>
            </m:r>
          </m:sup>
        </m:sSup>
        <m:r>
          <m:rPr>
            <m:sty m:val="p"/>
          </m:rPr>
          <m:t>&gt;</m:t>
        </m:r>
        <m:r>
          <m:t>q</m:t>
        </m:r>
      </m:oMath>
      <w:r>
        <w:t xml:space="preserve"> </w:t>
      </w:r>
      <w:r>
        <w:t xml:space="preserve">when</w:t>
      </w:r>
      <w:r>
        <w:t xml:space="preserve"> </w:t>
      </w:r>
      <m:oMath>
        <m:sSup>
          <m:e>
            <m:r>
              <m:t>q</m:t>
            </m:r>
          </m:e>
          <m:sup>
            <m:r>
              <m:rPr>
                <m:sty m:val="p"/>
              </m:rPr>
              <m:t>′</m:t>
            </m:r>
          </m:sup>
        </m:sSup>
        <m:r>
          <m:rPr>
            <m:sty m:val="p"/>
          </m:rPr>
          <m:t>&gt;</m:t>
        </m:r>
        <m:r>
          <m:t>q</m:t>
        </m:r>
      </m:oMath>
      <w:r>
        <w:t xml:space="preserve"> </w:t>
      </w:r>
      <w:r>
        <w:t xml:space="preserve">(since the marginal cost</w:t>
      </w:r>
      <w:r>
        <w:t xml:space="preserve"> </w:t>
      </w:r>
      <m:oMath>
        <m:r>
          <m:t>λ</m:t>
        </m:r>
        <m:sSup>
          <m:e>
            <m:r>
              <m:t>q</m:t>
            </m:r>
          </m:e>
          <m:sup>
            <m:r>
              <m:rPr>
                <m:sty m:val="p"/>
              </m:rPr>
              <m:t>′</m:t>
            </m:r>
          </m:sup>
        </m:sSup>
        <m:r>
          <m:rPr>
            <m:sty m:val="p"/>
          </m:rPr>
          <m:t>/</m:t>
        </m:r>
        <m:r>
          <m:t>q</m:t>
        </m:r>
      </m:oMath>
      <w:r>
        <w:t xml:space="preserve"> </w:t>
      </w:r>
      <w:r>
        <w:t xml:space="preserve">exceeds the marginal benefit</w:t>
      </w:r>
      <w:r>
        <w:t xml:space="preserve"> </w:t>
      </w:r>
      <m:oMath>
        <m:r>
          <m:t>λ</m:t>
        </m:r>
      </m:oMath>
      <w:r>
        <w:t xml:space="preserve"> </w:t>
      </w:r>
      <w:r>
        <w:t xml:space="preserve">whenever</w:t>
      </w:r>
      <w:r>
        <w:t xml:space="preserve"> </w:t>
      </w:r>
      <m:oMath>
        <m:sSup>
          <m:e>
            <m:r>
              <m:t>q</m:t>
            </m:r>
          </m:e>
          <m:sup>
            <m:r>
              <m:rPr>
                <m:sty m:val="p"/>
              </m:rPr>
              <m:t>′</m:t>
            </m:r>
          </m:sup>
        </m:sSup>
        <m:r>
          <m:rPr>
            <m:sty m:val="p"/>
          </m:rPr>
          <m:t>&gt;</m:t>
        </m:r>
        <m:r>
          <m:t>q</m:t>
        </m:r>
      </m:oMath>
      <w:r>
        <w:t xml:space="preserve">). Over-signaling is therefore unprofitable.</w:t>
      </w:r>
    </w:p>
    <w:bookmarkEnd w:id="51"/>
    <w:bookmarkStart w:id="52" w:name="a.3-survival-function-robustness"/>
    <w:p>
      <w:pPr>
        <w:pStyle w:val="Heading3"/>
      </w:pPr>
      <w:r>
        <w:t xml:space="preserve">A.3 Survival Function Robustness</w:t>
      </w:r>
    </w:p>
    <w:p>
      <w:pPr>
        <w:pStyle w:val="FirstParagraph"/>
      </w:pPr>
      <w:r>
        <w:t xml:space="preserve">The main text uses the exponential survival function</w:t>
      </w:r>
      <w:r>
        <w:t xml:space="preserve"> </w:t>
      </w:r>
      <m:oMath>
        <m:r>
          <m:t>S</m:t>
        </m:r>
        <m:r>
          <m:rPr>
            <m:sty m:val="p"/>
          </m:rPr>
          <m:t>(</m:t>
        </m:r>
        <m:r>
          <m:t>σ</m:t>
        </m:r>
        <m:r>
          <m:rPr>
            <m:sty m:val="p"/>
          </m:rPr>
          <m:t>,</m:t>
        </m:r>
        <m:r>
          <m:t>k</m:t>
        </m:r>
        <m:r>
          <m:rPr>
            <m:sty m:val="p"/>
          </m:rPr>
          <m:t>)</m:t>
        </m:r>
        <m:r>
          <m:rPr>
            <m:sty m:val="p"/>
          </m:rPr>
          <m:t>=</m:t>
        </m:r>
        <m:r>
          <m:rPr>
            <m:sty m:val="p"/>
          </m:rPr>
          <m:t>exp</m:t>
        </m:r>
        <m:r>
          <m:rPr>
            <m:sty m:val="p"/>
          </m:rPr>
          <m:t>(</m:t>
        </m:r>
        <m:r>
          <m:rPr>
            <m:sty m:val="p"/>
          </m:rPr>
          <m:t>−</m:t>
        </m:r>
        <m:r>
          <m:t>σ</m:t>
        </m:r>
        <m:r>
          <m:rPr>
            <m:sty m:val="p"/>
          </m:rPr>
          <m:t>/</m:t>
        </m:r>
        <m:r>
          <m:rPr>
            <m:sty m:val="p"/>
          </m:rPr>
          <m:t>(</m:t>
        </m:r>
        <m:r>
          <m:t>1</m:t>
        </m:r>
        <m:r>
          <m:rPr>
            <m:sty m:val="p"/>
          </m:rPr>
          <m:t>+</m:t>
        </m:r>
        <m:r>
          <m:t>γ</m:t>
        </m:r>
        <m:r>
          <m:t>k</m:t>
        </m:r>
        <m:r>
          <m:rPr>
            <m:sty m:val="p"/>
          </m:rPr>
          <m:t>)</m:t>
        </m:r>
        <m:r>
          <m:rPr>
            <m:sty m:val="p"/>
          </m:rPr>
          <m:t>)</m:t>
        </m:r>
      </m:oMath>
      <w:r>
        <w:t xml:space="preserve">. We verify that the qualitative predictions are robust to this choice.</w:t>
      </w:r>
    </w:p>
    <w:p>
      <w:pPr>
        <w:pStyle w:val="BodyText"/>
      </w:pPr>
      <w:r>
        <w:t xml:space="preserve">Consider a general survival function</w:t>
      </w:r>
      <w:r>
        <w:t xml:space="preserve"> </w:t>
      </w:r>
      <m:oMath>
        <m:r>
          <m:t>S</m:t>
        </m:r>
        <m:r>
          <m:rPr>
            <m:sty m:val="p"/>
          </m:rPr>
          <m:t>(</m:t>
        </m:r>
        <m:r>
          <m:t>σ</m:t>
        </m:r>
        <m:r>
          <m:rPr>
            <m:sty m:val="p"/>
          </m:rPr>
          <m:t>,</m:t>
        </m:r>
        <m:r>
          <m:t>k</m:t>
        </m:r>
        <m:r>
          <m:rPr>
            <m:sty m:val="p"/>
          </m:rPr>
          <m:t>)</m:t>
        </m:r>
        <m:r>
          <m:rPr>
            <m:sty m:val="p"/>
          </m:rPr>
          <m:t>=</m:t>
        </m:r>
        <m:r>
          <m:t>g</m:t>
        </m:r>
        <m:r>
          <m:rPr>
            <m:sty m:val="p"/>
          </m:rPr>
          <m:t>(</m:t>
        </m:r>
        <m:r>
          <m:t>σ</m:t>
        </m:r>
        <m:r>
          <m:rPr>
            <m:sty m:val="p"/>
          </m:rPr>
          <m:t>/</m:t>
        </m:r>
        <m:r>
          <m:rPr>
            <m:sty m:val="p"/>
          </m:rPr>
          <m:t>(</m:t>
        </m:r>
        <m:r>
          <m:t>1</m:t>
        </m:r>
        <m:r>
          <m:rPr>
            <m:sty m:val="p"/>
          </m:rPr>
          <m:t>+</m:t>
        </m:r>
        <m:r>
          <m:t>γ</m:t>
        </m:r>
        <m:r>
          <m:t>k</m:t>
        </m:r>
        <m:r>
          <m:rPr>
            <m:sty m:val="p"/>
          </m:rPr>
          <m:t>)</m:t>
        </m:r>
        <m:r>
          <m:rPr>
            <m:sty m:val="p"/>
          </m:rPr>
          <m:t>)</m:t>
        </m:r>
      </m:oMath>
      <w:r>
        <w:t xml:space="preserve"> </w:t>
      </w:r>
      <w:r>
        <w:t xml:space="preserve">where</w:t>
      </w:r>
      <w:r>
        <w:t xml:space="preserve"> </w:t>
      </w:r>
      <m:oMath>
        <m:r>
          <m:t>g</m:t>
        </m:r>
      </m:oMath>
      <w:r>
        <w:t xml:space="preserve"> </w:t>
      </w:r>
      <w:r>
        <w:t xml:space="preserve">is a decreasing function mapping</w:t>
      </w:r>
      <w:r>
        <w:t xml:space="preserve"> </w:t>
      </w:r>
      <m:oMath>
        <m:r>
          <m:rPr>
            <m:sty m:val="p"/>
          </m:rPr>
          <m:t>[</m:t>
        </m:r>
        <m:r>
          <m:t>0</m:t>
        </m:r>
        <m:r>
          <m:rPr>
            <m:sty m:val="p"/>
          </m:rPr>
          <m:t>,</m:t>
        </m:r>
        <m:r>
          <m:rPr>
            <m:sty m:val="p"/>
          </m:rPr>
          <m:t>∞</m:t>
        </m:r>
        <m:r>
          <m:rPr>
            <m:sty m:val="p"/>
          </m:rPr>
          <m:t>)</m:t>
        </m:r>
        <m:r>
          <m:rPr>
            <m:sty m:val="p"/>
          </m:rPr>
          <m:t>→</m:t>
        </m:r>
        <m:r>
          <m:rPr>
            <m:sty m:val="p"/>
          </m:rPr>
          <m:t>(</m:t>
        </m:r>
        <m:r>
          <m:t>0</m:t>
        </m:r>
        <m:r>
          <m:rPr>
            <m:sty m:val="p"/>
          </m:rPr>
          <m:t>,</m:t>
        </m:r>
        <m:r>
          <m:t>1</m:t>
        </m:r>
        <m:r>
          <m:rPr>
            <m:sty m:val="p"/>
          </m:rPr>
          <m:t>]</m:t>
        </m:r>
      </m:oMath>
      <w:r>
        <w:t xml:space="preserve"> </w:t>
      </w:r>
      <w:r>
        <w:t xml:space="preserve">with</w:t>
      </w:r>
      <w:r>
        <w:t xml:space="preserve"> </w:t>
      </w:r>
      <m:oMath>
        <m:r>
          <m:t>g</m:t>
        </m:r>
        <m:r>
          <m:rPr>
            <m:sty m:val="p"/>
          </m:rPr>
          <m:t>(</m:t>
        </m:r>
        <m:r>
          <m:t>0</m:t>
        </m:r>
        <m:r>
          <m:rPr>
            <m:sty m:val="p"/>
          </m:rPr>
          <m:t>)</m:t>
        </m:r>
        <m:r>
          <m:rPr>
            <m:sty m:val="p"/>
          </m:rPr>
          <m:t>=</m:t>
        </m:r>
        <m:r>
          <m:t>1</m:t>
        </m:r>
      </m:oMath>
      <w:r>
        <w:t xml:space="preserve">. The marginal value of an additional exchange partner is:</w:t>
      </w:r>
    </w:p>
    <w:p>
      <w:pPr>
        <w:pStyle w:val="BodyText"/>
      </w:pPr>
      <m:oMathPara>
        <m:oMathParaPr>
          <m:jc m:val="center"/>
        </m:oMathParaPr>
        <m:oMath>
          <m:f>
            <m:fPr>
              <m:type m:val="bar"/>
            </m:fPr>
            <m:num>
              <m:r>
                <m:rPr>
                  <m:sty m:val="p"/>
                </m:rPr>
                <m:t>∂</m:t>
              </m:r>
              <m:r>
                <m:t>S</m:t>
              </m:r>
            </m:num>
            <m:den>
              <m:r>
                <m:rPr>
                  <m:sty m:val="p"/>
                </m:rPr>
                <m:t>∂</m:t>
              </m:r>
              <m:r>
                <m:t>k</m:t>
              </m:r>
            </m:den>
          </m:f>
          <m:r>
            <m:rPr>
              <m:sty m:val="p"/>
            </m:rPr>
            <m:t>=</m:t>
          </m:r>
          <m:r>
            <m:rPr>
              <m:sty m:val="p"/>
            </m:rPr>
            <m:t>−</m:t>
          </m:r>
          <m:sSup>
            <m:e>
              <m:r>
                <m:t>g</m:t>
              </m:r>
            </m:e>
            <m:sup>
              <m:r>
                <m:rPr>
                  <m:sty m:val="p"/>
                </m:rPr>
                <m:t>′</m:t>
              </m:r>
            </m:sup>
          </m:sSup>
          <m:d>
            <m:dPr>
              <m:begChr m:val="("/>
              <m:sepChr m:val=""/>
              <m:endChr m:val=")"/>
              <m:grow/>
            </m:dPr>
            <m:e>
              <m:f>
                <m:fPr>
                  <m:type m:val="bar"/>
                </m:fPr>
                <m:num>
                  <m:r>
                    <m:t>σ</m:t>
                  </m:r>
                </m:num>
                <m:den>
                  <m:r>
                    <m:t>1</m:t>
                  </m:r>
                  <m:r>
                    <m:rPr>
                      <m:sty m:val="p"/>
                    </m:rPr>
                    <m:t>+</m:t>
                  </m:r>
                  <m:r>
                    <m:t>γ</m:t>
                  </m:r>
                  <m:r>
                    <m:t>k</m:t>
                  </m:r>
                </m:den>
              </m:f>
            </m:e>
          </m:d>
          <m:r>
            <m:rPr>
              <m:sty m:val="p"/>
            </m:rPr>
            <m:t>⋅</m:t>
          </m:r>
          <m:f>
            <m:fPr>
              <m:type m:val="bar"/>
            </m:fPr>
            <m:num>
              <m:r>
                <m:t>σ</m:t>
              </m:r>
              <m:r>
                <m:t>γ</m:t>
              </m:r>
            </m:num>
            <m:den>
              <m:r>
                <m:rPr>
                  <m:sty m:val="p"/>
                </m:rPr>
                <m:t>(</m:t>
              </m:r>
              <m:r>
                <m:t>1</m:t>
              </m:r>
              <m:r>
                <m:rPr>
                  <m:sty m:val="p"/>
                </m:rPr>
                <m:t>+</m:t>
              </m:r>
              <m:r>
                <m:t>γ</m:t>
              </m:r>
              <m:r>
                <m:t>k</m:t>
              </m:r>
              <m:sSup>
                <m:e>
                  <m:r>
                    <m:rPr>
                      <m:sty m:val="p"/>
                    </m:rPr>
                    <m:t>)</m:t>
                  </m:r>
                </m:e>
                <m:sup>
                  <m:r>
                    <m:t>2</m:t>
                  </m:r>
                </m:sup>
              </m:sSup>
            </m:den>
          </m:f>
        </m:oMath>
      </m:oMathPara>
    </w:p>
    <w:p>
      <w:pPr>
        <w:pStyle w:val="FirstParagraph"/>
      </w:pPr>
      <w:r>
        <w:t xml:space="preserve">This is positive (since</w:t>
      </w:r>
      <w:r>
        <w:t xml:space="preserve"> </w:t>
      </w:r>
      <m:oMath>
        <m:sSup>
          <m:e>
            <m:r>
              <m:t>g</m:t>
            </m:r>
          </m:e>
          <m:sup>
            <m:r>
              <m:rPr>
                <m:sty m:val="p"/>
              </m:rPr>
              <m:t>′</m:t>
            </m:r>
          </m:sup>
        </m:sSup>
        <m:r>
          <m:rPr>
            <m:sty m:val="p"/>
          </m:rPr>
          <m:t>&lt;</m:t>
        </m:r>
        <m:r>
          <m:t>0</m:t>
        </m:r>
      </m:oMath>
      <w:r>
        <w:t xml:space="preserve">) for any valid</w:t>
      </w:r>
      <w:r>
        <w:t xml:space="preserve"> </w:t>
      </w:r>
      <m:oMath>
        <m:r>
          <m:t>g</m:t>
        </m:r>
      </m:oMath>
      <w:r>
        <w:t xml:space="preserve">, confirming that additional partners always increase survival. The key qualitative prediction, that the marginal value of partners increases with</w:t>
      </w:r>
      <w:r>
        <w:t xml:space="preserve"> </w:t>
      </w:r>
      <m:oMath>
        <m:r>
          <m:t>σ</m:t>
        </m:r>
      </m:oMath>
      <w:r>
        <w:t xml:space="preserve">, holds whenever</w:t>
      </w:r>
      <w:r>
        <w:t xml:space="preserve"> </w:t>
      </w:r>
      <m:oMath>
        <m:r>
          <m:t>g</m:t>
        </m:r>
      </m:oMath>
      <w:r>
        <w:t xml:space="preserve"> </w:t>
      </w:r>
      <w:r>
        <w:t xml:space="preserve">is convex (including the exponential case</w:t>
      </w:r>
      <w:r>
        <w:t xml:space="preserve"> </w:t>
      </w:r>
      <m:oMath>
        <m:r>
          <m:t>g</m:t>
        </m:r>
        <m:r>
          <m:rPr>
            <m:sty m:val="p"/>
          </m:rPr>
          <m:t>(</m:t>
        </m:r>
        <m:r>
          <m:t>z</m:t>
        </m:r>
        <m:r>
          <m:rPr>
            <m:sty m:val="p"/>
          </m:rPr>
          <m:t>)</m:t>
        </m:r>
        <m:r>
          <m:rPr>
            <m:sty m:val="p"/>
          </m:rPr>
          <m:t>=</m:t>
        </m:r>
        <m:sSup>
          <m:e>
            <m:r>
              <m:t>e</m:t>
            </m:r>
          </m:e>
          <m:sup>
            <m:r>
              <m:rPr>
                <m:sty m:val="p"/>
              </m:rPr>
              <m:t>−</m:t>
            </m:r>
            <m:r>
              <m:t>z</m:t>
            </m:r>
          </m:sup>
        </m:sSup>
      </m:oMath>
      <w:r>
        <w:t xml:space="preserve"> </w:t>
      </w:r>
      <w:r>
        <w:t xml:space="preserve">and the linear case</w:t>
      </w:r>
      <w:r>
        <w:t xml:space="preserve"> </w:t>
      </w:r>
      <m:oMath>
        <m:r>
          <m:t>g</m:t>
        </m:r>
        <m:r>
          <m:rPr>
            <m:sty m:val="p"/>
          </m:rPr>
          <m:t>(</m:t>
        </m:r>
        <m:r>
          <m:t>z</m:t>
        </m:r>
        <m:r>
          <m:rPr>
            <m:sty m:val="p"/>
          </m:rPr>
          <m:t>)</m:t>
        </m:r>
        <m:r>
          <m:rPr>
            <m:sty m:val="p"/>
          </m:rPr>
          <m:t>=</m:t>
        </m:r>
        <m:r>
          <m:rPr>
            <m:sty m:val="p"/>
          </m:rPr>
          <m:t>max</m:t>
        </m:r>
        <m:r>
          <m:rPr>
            <m:sty m:val="p"/>
          </m:rPr>
          <m:t>(</m:t>
        </m:r>
        <m:r>
          <m:t>0</m:t>
        </m:r>
        <m:r>
          <m:rPr>
            <m:sty m:val="p"/>
          </m:rPr>
          <m:t>,</m:t>
        </m:r>
        <m:r>
          <m:t>1</m:t>
        </m:r>
        <m:r>
          <m:rPr>
            <m:sty m:val="p"/>
          </m:rPr>
          <m:t>−</m:t>
        </m:r>
        <m:r>
          <m:t>z</m:t>
        </m:r>
        <m:r>
          <m:rPr>
            <m:sty m:val="p"/>
          </m:rPr>
          <m:t>)</m:t>
        </m:r>
      </m:oMath>
      <w:r>
        <w:t xml:space="preserve">). The lambda-sigma feedback, in which higher uncertainty increases the returns to signaling through the increased value of cooperation networks, is therefore robust across this family of survival functions.</w:t>
      </w:r>
    </w:p>
    <w:bookmarkEnd w:id="52"/>
    <w:bookmarkStart w:id="53" w:name="a.4-channel-selection"/>
    <w:p>
      <w:pPr>
        <w:pStyle w:val="Heading3"/>
      </w:pPr>
      <w:r>
        <w:t xml:space="preserve">A.4 Channel Selection</w:t>
      </w:r>
    </w:p>
    <w:p>
      <w:pPr>
        <w:pStyle w:val="FirstParagraph"/>
      </w:pPr>
      <w:r>
        <w:t xml:space="preserve">When multiple signaling channels are available (monuments, exotic goods, feasting), the equilibrium allocation depends on the signal fidelity of each channel. Define fidelity</w:t>
      </w:r>
      <w:r>
        <w:t xml:space="preserve"> </w:t>
      </w:r>
      <m:oMath>
        <m:sSub>
          <m:e>
            <m:r>
              <m:t>ρ</m:t>
            </m:r>
          </m:e>
          <m:sub>
            <m:r>
              <m:t>j</m:t>
            </m:r>
          </m:sub>
        </m:sSub>
      </m:oMath>
      <w:r>
        <w:t xml:space="preserve"> </w:t>
      </w:r>
      <w:r>
        <w:t xml:space="preserve">for channel</w:t>
      </w:r>
      <w:r>
        <w:t xml:space="preserve"> </w:t>
      </w:r>
      <m:oMath>
        <m:r>
          <m:t>j</m:t>
        </m:r>
      </m:oMath>
      <w:r>
        <w:t xml:space="preserve"> </w:t>
      </w:r>
      <w:r>
        <w:t xml:space="preserve">as the correlation between the sender’s quality</w:t>
      </w:r>
      <w:r>
        <w:t xml:space="preserve"> </w:t>
      </w:r>
      <m:oMath>
        <m:r>
          <m:t>q</m:t>
        </m:r>
      </m:oMath>
      <w:r>
        <w:t xml:space="preserve"> </w:t>
      </w:r>
      <w:r>
        <w:t xml:space="preserve">and the receiver’s posterior belief</w:t>
      </w:r>
      <w:r>
        <w:t xml:space="preserve"> </w:t>
      </w:r>
      <m:oMath>
        <m:sSub>
          <m:e>
            <m:acc>
              <m:accPr>
                <m:chr m:val="̂"/>
              </m:accPr>
              <m:e>
                <m:r>
                  <m:t>q</m:t>
                </m:r>
              </m:e>
            </m:acc>
          </m:e>
          <m:sub>
            <m:r>
              <m:t>j</m:t>
            </m:r>
          </m:sub>
        </m:sSub>
      </m:oMath>
      <w:r>
        <w:t xml:space="preserve"> </w:t>
      </w:r>
      <w:r>
        <w:t xml:space="preserve">after observing the signal through channel</w:t>
      </w:r>
      <w:r>
        <w:t xml:space="preserve"> </w:t>
      </w:r>
      <m:oMath>
        <m:r>
          <m:t>j</m:t>
        </m:r>
      </m:oMath>
      <w:r>
        <w:t xml:space="preserve">. We do not assign numerical values to</w:t>
      </w:r>
      <w:r>
        <w:t xml:space="preserve"> </w:t>
      </w:r>
      <m:oMath>
        <m:sSub>
          <m:e>
            <m:r>
              <m:t>ρ</m:t>
            </m:r>
          </m:e>
          <m:sub>
            <m:r>
              <m:t>j</m:t>
            </m:r>
          </m:sub>
        </m:sSub>
      </m:oMath>
      <w:r>
        <w:t xml:space="preserve"> </w:t>
      </w:r>
      <w:r>
        <w:t xml:space="preserve">because no empirical estimation procedure currently exists for these quantities. The load-bearing assumption is the qualitative ordering:</w:t>
      </w:r>
      <w:r>
        <w:t xml:space="preserve"> </w:t>
      </w:r>
      <m:oMath>
        <m:sSub>
          <m:e>
            <m:r>
              <m:t>ρ</m:t>
            </m:r>
          </m:e>
          <m:sub>
            <m:r>
              <m:rPr>
                <m:nor/>
                <m:sty m:val="p"/>
              </m:rPr>
              <m:t>monument</m:t>
            </m:r>
          </m:sub>
        </m:sSub>
        <m:r>
          <m:rPr>
            <m:sty m:val="p"/>
          </m:rPr>
          <m:t>&gt;</m:t>
        </m:r>
        <m:sSub>
          <m:e>
            <m:r>
              <m:t>ρ</m:t>
            </m:r>
          </m:e>
          <m:sub>
            <m:r>
              <m:rPr>
                <m:nor/>
                <m:sty m:val="p"/>
              </m:rPr>
              <m:t>exotics</m:t>
            </m:r>
          </m:sub>
        </m:sSub>
      </m:oMath>
      <w:r>
        <w:t xml:space="preserve">.</w:t>
      </w:r>
    </w:p>
    <w:p>
      <w:pPr>
        <w:pStyle w:val="BodyText"/>
      </w:pPr>
      <w:r>
        <w:t xml:space="preserve">This ordering is justified by the structural properties of the two channels. Monument construction achieves high fidelity because the primary input (organized labor over sustained periods) is strongly correlated with the quality being signaled (productive capacity), and no shortcut exists: one cannot fake the organizational capacity required to build a 350-room masonry structure. Exotic goods have lower fidelity because procurement can be partially subsidized by stochastic events (a single successful trading expedition, an unusually productive source) that are uncorrelated with systematic productive capacity.</w:t>
      </w:r>
    </w:p>
    <w:p>
      <w:pPr>
        <w:pStyle w:val="BodyText"/>
      </w:pPr>
      <w:r>
        <w:t xml:space="preserve">When the signal audience values accuracy (as in partner assessment for cooperative relationships), the higher-fidelity channel dominates. When the audience values impressiveness (as in intra-elite display competition where the audience has independent information about the signaler), lower-fidelity channels can persist as complementary signals. This explains the dual-channel structure at Chaco: monuments dominate for intergroup and inter-community communication, while exotic goods persist for intra-elite competition. The conclusion is robust to any fidelity values satisfying the ordering assumption.</w:t>
      </w:r>
    </w:p>
    <w:bookmarkEnd w:id="53"/>
    <w:bookmarkStart w:id="54" w:name="a.5-lambda-sigma-sensitivity"/>
    <w:p>
      <w:pPr>
        <w:pStyle w:val="Heading3"/>
      </w:pPr>
      <w:r>
        <w:t xml:space="preserve">A.5 Lambda-Sigma Sensitivity</w:t>
      </w:r>
    </w:p>
    <w:p>
      <w:pPr>
        <w:pStyle w:val="FirstParagraph"/>
      </w:pPr>
      <w:r>
        <w:t xml:space="preserve">The main text specifies</w:t>
      </w:r>
      <w:r>
        <w:t xml:space="preserve"> </w:t>
      </w:r>
      <m:oMath>
        <m:r>
          <m:t>λ</m:t>
        </m:r>
        <m:r>
          <m:rPr>
            <m:sty m:val="p"/>
          </m:rPr>
          <m:t>(</m:t>
        </m:r>
        <m:r>
          <m:t>σ</m:t>
        </m:r>
        <m:r>
          <m:rPr>
            <m:sty m:val="p"/>
          </m:rPr>
          <m:t>)</m:t>
        </m:r>
        <m:r>
          <m:rPr>
            <m:sty m:val="p"/>
          </m:rPr>
          <m:t>=</m:t>
        </m:r>
        <m:sSub>
          <m:e>
            <m:r>
              <m:t>λ</m:t>
            </m:r>
          </m:e>
          <m:sub>
            <m:r>
              <m:t>0</m:t>
            </m:r>
          </m:sub>
        </m:sSub>
        <m:r>
          <m:rPr>
            <m:sty m:val="p"/>
          </m:rPr>
          <m:t>+</m:t>
        </m:r>
        <m:sSub>
          <m:e>
            <m:r>
              <m:t>λ</m:t>
            </m:r>
          </m:e>
          <m:sub>
            <m:r>
              <m:t>1</m:t>
            </m:r>
          </m:sub>
        </m:sSub>
        <m:r>
          <m:rPr>
            <m:sty m:val="p"/>
          </m:rPr>
          <m:t>⋅</m:t>
        </m:r>
        <m:r>
          <m:t>σ</m:t>
        </m:r>
      </m:oMath>
      <w:r>
        <w:t xml:space="preserve"> </w:t>
      </w:r>
      <w:r>
        <w:t xml:space="preserve">as the simplest monotonically increasing form. We verify robustness to the family</w:t>
      </w:r>
      <w:r>
        <w:t xml:space="preserve"> </w:t>
      </w:r>
      <m:oMath>
        <m:r>
          <m:t>λ</m:t>
        </m:r>
        <m:r>
          <m:rPr>
            <m:sty m:val="p"/>
          </m:rPr>
          <m:t>(</m:t>
        </m:r>
        <m:r>
          <m:t>σ</m:t>
        </m:r>
        <m:r>
          <m:rPr>
            <m:sty m:val="p"/>
          </m:rPr>
          <m:t>)</m:t>
        </m:r>
        <m:r>
          <m:rPr>
            <m:sty m:val="p"/>
          </m:rPr>
          <m:t>=</m:t>
        </m:r>
        <m:sSub>
          <m:e>
            <m:r>
              <m:t>λ</m:t>
            </m:r>
          </m:e>
          <m:sub>
            <m:r>
              <m:t>0</m:t>
            </m:r>
          </m:sub>
        </m:sSub>
        <m:r>
          <m:rPr>
            <m:sty m:val="p"/>
          </m:rPr>
          <m:t>+</m:t>
        </m:r>
        <m:sSub>
          <m:e>
            <m:r>
              <m:t>λ</m:t>
            </m:r>
          </m:e>
          <m:sub>
            <m:r>
              <m:t>1</m:t>
            </m:r>
          </m:sub>
        </m:sSub>
        <m:r>
          <m:rPr>
            <m:sty m:val="p"/>
          </m:rPr>
          <m:t>⋅</m:t>
        </m:r>
        <m:sSup>
          <m:e>
            <m:r>
              <m:t>σ</m:t>
            </m:r>
          </m:e>
          <m:sup>
            <m:r>
              <m:t>α</m:t>
            </m:r>
          </m:sup>
        </m:sSup>
      </m:oMath>
      <w:r>
        <w:t xml:space="preserve"> </w:t>
      </w:r>
      <w:r>
        <w:t xml:space="preserve">for</w:t>
      </w:r>
      <w:r>
        <w:t xml:space="preserve"> </w:t>
      </w:r>
      <m:oMath>
        <m:r>
          <m:t>α</m:t>
        </m:r>
        <m:r>
          <m:rPr>
            <m:sty m:val="p"/>
          </m:rPr>
          <m:t>∈</m:t>
        </m:r>
        <m:r>
          <m:rPr>
            <m:sty m:val="p"/>
          </m:rPr>
          <m:t>(</m:t>
        </m:r>
        <m:r>
          <m:t>0</m:t>
        </m:r>
        <m:r>
          <m:rPr>
            <m:sty m:val="p"/>
          </m:rPr>
          <m:t>,</m:t>
        </m:r>
        <m:r>
          <m:t>2</m:t>
        </m:r>
        <m:r>
          <m:rPr>
            <m:sty m:val="p"/>
          </m:rPr>
          <m:t>]</m:t>
        </m:r>
      </m:oMath>
      <w:r>
        <w:t xml:space="preserve">.</w:t>
      </w:r>
    </w:p>
    <w:p>
      <w:pPr>
        <w:pStyle w:val="BodyText"/>
      </w:pPr>
      <w:r>
        <w:t xml:space="preserve">The equilibrium investment function becomes</w:t>
      </w:r>
      <w:r>
        <w:t xml:space="preserve"> </w:t>
      </w:r>
      <m:oMath>
        <m:sSup>
          <m:e>
            <m:r>
              <m:t>x</m:t>
            </m:r>
          </m:e>
          <m:sup>
            <m:r>
              <m:rPr>
                <m:sty m:val="p"/>
              </m:rPr>
              <m:t>*</m:t>
            </m:r>
          </m:sup>
        </m:sSup>
        <m:r>
          <m:rPr>
            <m:sty m:val="p"/>
          </m:rPr>
          <m:t>(</m:t>
        </m:r>
        <m:r>
          <m:t>q</m:t>
        </m:r>
        <m:r>
          <m:rPr>
            <m:sty m:val="p"/>
          </m:rPr>
          <m:t>,</m:t>
        </m:r>
        <m:r>
          <m:t>σ</m:t>
        </m:r>
        <m:r>
          <m:rPr>
            <m:sty m:val="p"/>
          </m:rPr>
          <m:t>)</m:t>
        </m:r>
        <m:r>
          <m:rPr>
            <m:sty m:val="p"/>
          </m:rPr>
          <m:t>=</m:t>
        </m:r>
        <m:rad>
          <m:radPr>
            <m:degHide m:val="on"/>
          </m:radPr>
          <m:deg/>
          <m:e>
            <m:r>
              <m:rPr>
                <m:sty m:val="p"/>
              </m:rPr>
              <m:t>(</m:t>
            </m:r>
            <m:sSub>
              <m:e>
                <m:r>
                  <m:t>λ</m:t>
                </m:r>
              </m:e>
              <m:sub>
                <m:r>
                  <m:t>0</m:t>
                </m:r>
              </m:sub>
            </m:sSub>
            <m:r>
              <m:rPr>
                <m:sty m:val="p"/>
              </m:rPr>
              <m:t>+</m:t>
            </m:r>
            <m:sSub>
              <m:e>
                <m:r>
                  <m:t>λ</m:t>
                </m:r>
              </m:e>
              <m:sub>
                <m:r>
                  <m:t>1</m:t>
                </m:r>
              </m:sub>
            </m:sSub>
            <m:sSup>
              <m:e>
                <m:r>
                  <m:t>σ</m:t>
                </m:r>
              </m:e>
              <m:sup>
                <m:r>
                  <m:t>α</m:t>
                </m:r>
              </m:sup>
            </m:sSup>
            <m:r>
              <m:rPr>
                <m:sty m:val="p"/>
              </m:rPr>
              <m:t>)</m:t>
            </m:r>
            <m:r>
              <m:rPr>
                <m:sty m:val="p"/>
              </m:rPr>
              <m:t>(</m:t>
            </m:r>
            <m:sSup>
              <m:e>
                <m:r>
                  <m:t>q</m:t>
                </m:r>
              </m:e>
              <m:sup>
                <m:r>
                  <m:t>2</m:t>
                </m:r>
              </m:sup>
            </m:sSup>
            <m:r>
              <m:rPr>
                <m:sty m:val="p"/>
              </m:rPr>
              <m:t>−</m:t>
            </m:r>
            <m:sSubSup>
              <m:e>
                <m:r>
                  <m:t>q</m:t>
                </m:r>
              </m:e>
              <m:sub>
                <m:r>
                  <m:rPr>
                    <m:sty m:val="p"/>
                  </m:rPr>
                  <m:t>min</m:t>
                </m:r>
              </m:sub>
              <m:sup>
                <m:r>
                  <m:t>2</m:t>
                </m:r>
              </m:sup>
            </m:sSubSup>
            <m:r>
              <m:rPr>
                <m:sty m:val="p"/>
              </m:rPr>
              <m:t>)</m:t>
            </m:r>
          </m:e>
        </m:rad>
      </m:oMath>
      <w:r>
        <w:t xml:space="preserve">. The key qualitative predictions are:</w:t>
      </w:r>
    </w:p>
    <w:p>
      <w:pPr>
        <w:pStyle w:val="Compact"/>
        <w:numPr>
          <w:ilvl w:val="0"/>
          <w:numId w:val="1002"/>
        </w:numPr>
      </w:pPr>
      <w:r>
        <w:rPr>
          <w:b/>
          <w:bCs/>
        </w:rPr>
        <w:t xml:space="preserve">Investment increases with uncertainty</w:t>
      </w:r>
      <w:r>
        <w:t xml:space="preserve"> </w:t>
      </w:r>
      <w:r>
        <w:t xml:space="preserve">(</w:t>
      </w:r>
      <m:oMath>
        <m:r>
          <m:rPr>
            <m:sty m:val="p"/>
          </m:rPr>
          <m:t>∂</m:t>
        </m:r>
        <m:sSup>
          <m:e>
            <m:r>
              <m:t>x</m:t>
            </m:r>
          </m:e>
          <m:sup>
            <m:r>
              <m:rPr>
                <m:sty m:val="p"/>
              </m:rPr>
              <m:t>*</m:t>
            </m:r>
          </m:sup>
        </m:sSup>
        <m:r>
          <m:rPr>
            <m:sty m:val="p"/>
          </m:rPr>
          <m:t>/</m:t>
        </m:r>
        <m:r>
          <m:rPr>
            <m:sty m:val="p"/>
          </m:rPr>
          <m:t>∂</m:t>
        </m:r>
        <m:r>
          <m:t>σ</m:t>
        </m:r>
        <m:r>
          <m:rPr>
            <m:sty m:val="p"/>
          </m:rPr>
          <m:t>&gt;</m:t>
        </m:r>
        <m:r>
          <m:t>0</m:t>
        </m:r>
      </m:oMath>
      <w:r>
        <w:t xml:space="preserve">): holds for all</w:t>
      </w:r>
      <w:r>
        <w:t xml:space="preserve"> </w:t>
      </w:r>
      <m:oMath>
        <m:r>
          <m:t>α</m:t>
        </m:r>
        <m:r>
          <m:rPr>
            <m:sty m:val="p"/>
          </m:rPr>
          <m:t>&gt;</m:t>
        </m:r>
        <m:r>
          <m:t>0</m:t>
        </m:r>
      </m:oMath>
      <w:r>
        <w:t xml:space="preserve">.</w:t>
      </w:r>
    </w:p>
    <w:p>
      <w:pPr>
        <w:pStyle w:val="Compact"/>
        <w:numPr>
          <w:ilvl w:val="0"/>
          <w:numId w:val="1002"/>
        </w:numPr>
      </w:pPr>
      <w:r>
        <w:rPr>
          <w:b/>
          <w:bCs/>
        </w:rPr>
        <w:t xml:space="preserve">Higher-quality types invest more</w:t>
      </w:r>
      <w:r>
        <w:t xml:space="preserve"> </w:t>
      </w:r>
      <w:r>
        <w:t xml:space="preserve">(</w:t>
      </w:r>
      <m:oMath>
        <m:r>
          <m:rPr>
            <m:sty m:val="p"/>
          </m:rPr>
          <m:t>∂</m:t>
        </m:r>
        <m:sSup>
          <m:e>
            <m:r>
              <m:t>x</m:t>
            </m:r>
          </m:e>
          <m:sup>
            <m:r>
              <m:rPr>
                <m:sty m:val="p"/>
              </m:rPr>
              <m:t>*</m:t>
            </m:r>
          </m:sup>
        </m:sSup>
        <m:r>
          <m:rPr>
            <m:sty m:val="p"/>
          </m:rPr>
          <m:t>/</m:t>
        </m:r>
        <m:r>
          <m:rPr>
            <m:sty m:val="p"/>
          </m:rPr>
          <m:t>∂</m:t>
        </m:r>
        <m:r>
          <m:t>q</m:t>
        </m:r>
        <m:r>
          <m:rPr>
            <m:sty m:val="p"/>
          </m:rPr>
          <m:t>&gt;</m:t>
        </m:r>
        <m:r>
          <m:t>0</m:t>
        </m:r>
      </m:oMath>
      <w:r>
        <w:t xml:space="preserve">): holds for all</w:t>
      </w:r>
      <w:r>
        <w:t xml:space="preserve"> </w:t>
      </w:r>
      <m:oMath>
        <m:r>
          <m:t>α</m:t>
        </m:r>
        <m:r>
          <m:rPr>
            <m:sty m:val="p"/>
          </m:rPr>
          <m:t>&gt;</m:t>
        </m:r>
        <m:r>
          <m:t>0</m:t>
        </m:r>
      </m:oMath>
      <w:r>
        <w:t xml:space="preserve">.</w:t>
      </w:r>
    </w:p>
    <w:p>
      <w:pPr>
        <w:pStyle w:val="Compact"/>
        <w:numPr>
          <w:ilvl w:val="0"/>
          <w:numId w:val="1002"/>
        </w:numPr>
      </w:pPr>
      <w:r>
        <w:rPr>
          <w:b/>
          <w:bCs/>
        </w:rPr>
        <w:t xml:space="preserve">System collapse when sigma exceeds buffering</w:t>
      </w:r>
      <w:r>
        <w:t xml:space="preserve">: for</w:t>
      </w:r>
      <w:r>
        <w:t xml:space="preserve"> </w:t>
      </w:r>
      <m:oMath>
        <m:r>
          <m:t>α</m:t>
        </m:r>
        <m:r>
          <m:rPr>
            <m:sty m:val="p"/>
          </m:rPr>
          <m:t>&lt;</m:t>
        </m:r>
        <m:r>
          <m:t>1</m:t>
        </m:r>
      </m:oMath>
      <w:r>
        <w:t xml:space="preserve"> </w:t>
      </w:r>
      <w:r>
        <w:t xml:space="preserve">(concave), the marginal return to signaling diminishes at high</w:t>
      </w:r>
      <w:r>
        <w:t xml:space="preserve"> </w:t>
      </w:r>
      <m:oMath>
        <m:r>
          <m:t>σ</m:t>
        </m:r>
      </m:oMath>
      <w:r>
        <w:t xml:space="preserve">, predicting that investment should plateau before collapse. For</w:t>
      </w:r>
      <w:r>
        <w:t xml:space="preserve"> </w:t>
      </w:r>
      <m:oMath>
        <m:r>
          <m:t>α</m:t>
        </m:r>
        <m:r>
          <m:rPr>
            <m:sty m:val="p"/>
          </m:rPr>
          <m:t>&gt;</m:t>
        </m:r>
        <m:r>
          <m:t>1</m:t>
        </m:r>
      </m:oMath>
      <w:r>
        <w:t xml:space="preserve"> </w:t>
      </w:r>
      <w:r>
        <w:t xml:space="preserve">(convex), returns accelerate, predicting abrupt collapse. The linear case (</w:t>
      </w:r>
      <m:oMath>
        <m:r>
          <m:t>α</m:t>
        </m:r>
        <m:r>
          <m:rPr>
            <m:sty m:val="p"/>
          </m:rPr>
          <m:t>=</m:t>
        </m:r>
        <m:r>
          <m:t>1</m:t>
        </m:r>
      </m:oMath>
      <w:r>
        <w:t xml:space="preserve">) is intermediate. The Chaco evidence, with its pre-drought construction decline, may be more consistent with</w:t>
      </w:r>
      <w:r>
        <w:t xml:space="preserve"> </w:t>
      </w:r>
      <m:oMath>
        <m:r>
          <m:t>α</m:t>
        </m:r>
        <m:r>
          <m:rPr>
            <m:sty m:val="p"/>
          </m:rPr>
          <m:t>&lt;</m:t>
        </m:r>
        <m:r>
          <m:t>1</m:t>
        </m:r>
      </m:oMath>
      <w:r>
        <w:t xml:space="preserve">.</w:t>
      </w:r>
    </w:p>
    <w:p>
      <w:pPr>
        <w:pStyle w:val="FirstParagraph"/>
      </w:pPr>
      <w:r>
        <w:t xml:space="preserve">Distinguishing among values of</w:t>
      </w:r>
      <w:r>
        <w:t xml:space="preserve"> </w:t>
      </w:r>
      <m:oMath>
        <m:r>
          <m:t>α</m:t>
        </m:r>
      </m:oMath>
      <w:r>
        <w:t xml:space="preserve"> </w:t>
      </w:r>
      <w:r>
        <w:t xml:space="preserve">requires the annual-resolution construction-PMDI correlation analysis specified in Section 6.6.</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2026-03-26T21:50:19Z</dcterms:created>
  <dcterms:modified xsi:type="dcterms:W3CDTF">2026-03-26T21:50:19Z</dcterms:modified>
</cp:coreProperties>
</file>

<file path=docProps/custom.xml><?xml version="1.0" encoding="utf-8"?>
<Properties xmlns="http://schemas.openxmlformats.org/officeDocument/2006/custom-properties" xmlns:vt="http://schemas.openxmlformats.org/officeDocument/2006/docPropsVTypes"/>
</file>