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5BD7" w:rsidRDefault="00BB5350">
      <w:pPr>
        <w:pStyle w:val="Title"/>
      </w:pPr>
      <w:r>
        <w:t>Rapa Nui Mataa Morphometric Analyses</w:t>
      </w:r>
    </w:p>
    <w:p w:rsidR="00B25BD7" w:rsidRDefault="00BB5350">
      <w:pPr>
        <w:pStyle w:val="Author"/>
      </w:pPr>
      <w:r>
        <w:t>Carl P. Lipo, Rene Horneman, Mark E. Madsen, Terry L. Hunt, Vincent Bonhomme</w:t>
      </w:r>
    </w:p>
    <w:p w:rsidR="00B25BD7" w:rsidRDefault="00BB5350">
      <w:pPr>
        <w:pStyle w:val="Date"/>
      </w:pPr>
      <w:r>
        <w:t>7 September 2014</w:t>
      </w:r>
    </w:p>
    <w:p w:rsidR="00B25BD7" w:rsidRDefault="00BB5350">
      <w:pPr>
        <w:pStyle w:val="Heading1"/>
      </w:pPr>
      <w:bookmarkStart w:id="0" w:name="introduction"/>
      <w:bookmarkEnd w:id="0"/>
      <w:r>
        <w:t>Introduction</w:t>
      </w:r>
    </w:p>
    <w:p w:rsidR="00B25BD7" w:rsidRDefault="00BB5350">
      <w:r>
        <w:t>Rapa Nui (Easter Island, Chile) is a tiny island located in a remote corner of Eastern Polynesia, more than 2000 km from the nearest inhabited body of land. The island was first colonized by Polynesians who sailed from central East Polynesia in voyaging ca</w:t>
      </w:r>
      <w:r>
        <w:t xml:space="preserve">noes during the 13th century AD (Hunt &amp; Lipo 2006; Wilmshurst </w:t>
      </w:r>
      <w:r>
        <w:rPr>
          <w:i/>
        </w:rPr>
        <w:t>et al.</w:t>
      </w:r>
      <w:r>
        <w:t xml:space="preserve"> 2011). Depsite the island's diminuitive size, remoteness, and limited natural resources, the archaeological record of Rapa Nui is well-known for its nearly 1000 multi-ton statues known as</w:t>
      </w:r>
      <w:r>
        <w:t xml:space="preserve"> </w:t>
      </w:r>
      <w:r>
        <w:rPr>
          <w:i/>
        </w:rPr>
        <w:t>moai</w:t>
      </w:r>
      <w:r>
        <w:t xml:space="preserve"> that once sat atop massive stone platforms known as </w:t>
      </w:r>
      <w:r>
        <w:rPr>
          <w:i/>
        </w:rPr>
        <w:t>ahu</w:t>
      </w:r>
      <w:r>
        <w:t xml:space="preserve"> (Hunt &amp; Lipo 2011a).</w:t>
      </w:r>
    </w:p>
    <w:p w:rsidR="00B25BD7" w:rsidRDefault="00BB5350">
      <w:r>
        <w:t>The dramatic prehistoric investment in monumental architecture stand in marked contrast to the Rapa Nui's environment and historically observed population levels. Even at th</w:t>
      </w:r>
      <w:r>
        <w:t>e first point of European contact, the tiny island was largely devoid of trees and population sizes were just about 3000 individuals (Hunt &amp; Lipo 2011a: XXX). While earlier researchers (e.g., Heyerdahl &amp; Ferdon 1965; Heyerdahl 1989) believed the depleted a</w:t>
      </w:r>
      <w:r>
        <w:t>nd depauperate state of the island was due to conflict between Polynesians and elite from South America, more recent reseachers have interepreted the contrast between the spectacular nature of the archaeological record and the sparse enviornment of the isl</w:t>
      </w:r>
      <w:r>
        <w:t>and as the outcome of a prehistoric environmental catastrophe (Bahn &amp; Flenley 1992; Flenley &amp; Bahn 2003). These researchers argue that based largely on oral traditions, that prehistoric populations grew in numbers until resource use exceeded the carrying c</w:t>
      </w:r>
      <w:r>
        <w:t>apacity and the island underwent catastropic demographic collapse. This account has been popularlized as the "collapse" scenario (Diamond 1995; 2005).</w:t>
      </w:r>
    </w:p>
    <w:p w:rsidR="00BB5350" w:rsidRDefault="00BB5350">
      <w:r>
        <w:rPr>
          <w:rFonts w:ascii="Consolas" w:hAnsi="Consolas"/>
          <w:b/>
          <w:noProof/>
          <w:color w:val="204A87"/>
          <w:sz w:val="22"/>
          <w:shd w:val="clear" w:color="auto" w:fill="F8F8F8"/>
        </w:rPr>
        <w:lastRenderedPageBreak/>
        <w:drawing>
          <wp:inline distT="0" distB="0" distL="0" distR="0" wp14:anchorId="566DFA6E" wp14:editId="542D2819">
            <wp:extent cx="5486400" cy="423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df"/>
                    <pic:cNvPicPr/>
                  </pic:nvPicPr>
                  <pic:blipFill>
                    <a:blip r:embed="rId6">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rsidR="00B25BD7" w:rsidRDefault="00BB5350">
      <w:r>
        <w:t>New research, however, has challenged this notion with empirical evidence generated from the archaeologic</w:t>
      </w:r>
      <w:r>
        <w:t>al record that the Rapanui flourished on the island until AD 1722 when Europeans brought diseases and other social disruptions (Hunt 2007; Hunt &amp; Lipo 2007; Hunt &amp; Lipo 2009a; Hunt &amp; Lipo 2009b; Hunt &amp; Lipo 2011a; Hunt &amp; Lipo 2011b; Lipo &amp; Hunt 2009; Mulro</w:t>
      </w:r>
      <w:r>
        <w:t xml:space="preserve">oney </w:t>
      </w:r>
      <w:r>
        <w:rPr>
          <w:i/>
        </w:rPr>
        <w:t>et al.</w:t>
      </w:r>
      <w:r>
        <w:t xml:space="preserve"> 2009; Mulrooney 2012; Rainbird 2002). Investigations on Rapa Nui's settelement patterns demonstrates that the island's inhabitants lived in a dispersed pattern in a low density fashion (Hunt &amp; Lipo 2011a; Morrison 2012). In addition, studies sh</w:t>
      </w:r>
      <w:r>
        <w:t xml:space="preserve">ow that subsistence was largely based on extensive but marginally productive lithic mulch gardens to boost the nutrient-poor soil to a level that sustained sweet potato cultivation (Bork </w:t>
      </w:r>
      <w:r>
        <w:rPr>
          <w:i/>
        </w:rPr>
        <w:t>et al.</w:t>
      </w:r>
      <w:r>
        <w:t xml:space="preserve"> 2004; Ladefoged </w:t>
      </w:r>
      <w:r>
        <w:rPr>
          <w:i/>
        </w:rPr>
        <w:t>et al.</w:t>
      </w:r>
      <w:r>
        <w:t xml:space="preserve"> 2005; Ladefoged </w:t>
      </w:r>
      <w:r>
        <w:rPr>
          <w:i/>
        </w:rPr>
        <w:t>et al.</w:t>
      </w:r>
      <w:r>
        <w:t xml:space="preserve"> 2010; Ladefoged </w:t>
      </w:r>
      <w:r>
        <w:rPr>
          <w:i/>
        </w:rPr>
        <w:t>et al.</w:t>
      </w:r>
      <w:r>
        <w:t xml:space="preserve"> 2013; Mieth </w:t>
      </w:r>
      <w:r>
        <w:rPr>
          <w:i/>
        </w:rPr>
        <w:t>et al.</w:t>
      </w:r>
      <w:r>
        <w:t xml:space="preserve"> 2010; Stevenson &amp; Haoa 2002; Stevenson </w:t>
      </w:r>
      <w:r>
        <w:rPr>
          <w:i/>
        </w:rPr>
        <w:t>et al.</w:t>
      </w:r>
      <w:r>
        <w:t xml:space="preserve"> 2006). Finally, demise of the once extensive palm tree forest appears to have had little to do with statue construction or changes in carry capacity (Hunt &amp; Lipo 2011a; Lipo </w:t>
      </w:r>
      <w:r>
        <w:rPr>
          <w:i/>
        </w:rPr>
        <w:t>et al.</w:t>
      </w:r>
      <w:r>
        <w:t xml:space="preserve"> 201</w:t>
      </w:r>
      <w:r>
        <w:t>3).</w:t>
      </w:r>
    </w:p>
    <w:p w:rsidR="00B25BD7" w:rsidRDefault="00BB5350">
      <w:r>
        <w:t>One of the claims that persists that is thought to support the "collapse" scenario is the idea that prehistoric Rapa Nui populations experienced intense warfare during late prehistory when resources became increasingly scarce (Bahn &amp; Flenley 1992; Diam</w:t>
      </w:r>
      <w:r>
        <w:t>ond 1995, Diamond (2005); Flenley &amp; Bahn 2003). Oral traditions are known that attribute the toppling of stone statues to intertribal prehistorc warfare (</w:t>
      </w:r>
      <w:r>
        <w:rPr>
          <w:b/>
        </w:rPr>
        <w:t>???</w:t>
      </w:r>
      <w:r>
        <w:t>). But the existence of fallen statues alone does not necessarily imply warfare since other natural</w:t>
      </w:r>
      <w:r>
        <w:t xml:space="preserve"> explanations are more likely (</w:t>
      </w:r>
      <w:r>
        <w:rPr>
          <w:b/>
        </w:rPr>
        <w:t>???</w:t>
      </w:r>
      <w:r>
        <w:t xml:space="preserve">). Indeed, the existing evidence points to the toppling of statues as as </w:t>
      </w:r>
      <w:r>
        <w:lastRenderedPageBreak/>
        <w:t xml:space="preserve">series of post-contact historic events rather than prehistory (Hunt &amp; Lipo 2011a). Most significantly, examples of defensive structures are entirely </w:t>
      </w:r>
      <w:r>
        <w:t>lacking in the island's archaeological record (Hunt &amp; Lipo 2011a; Lipo &amp; Hunt 2014). Overall, much of the evidence for prehistoric warfare among the inhabitants of Rapa Nui comes from oral traditions recorded in the 20th century (e.g., Routledge 1919). The</w:t>
      </w:r>
      <w:r>
        <w:t xml:space="preserve"> oral traditions, however, have an unknown relation to prehistory. Metraux [</w:t>
      </w:r>
      <w:hyperlink r:id="rId7">
        <w:r>
          <w:rPr>
            <w:rStyle w:val="Link"/>
          </w:rPr>
          <w:t>-@1940</w:t>
        </w:r>
      </w:hyperlink>
      <w:r>
        <w:t>:aa, p. XXX], for example, argues that most of the traditions are likely recent and thus likely do not reflect prehistoric events.</w:t>
      </w:r>
    </w:p>
    <w:p w:rsidR="00B25BD7" w:rsidRDefault="00BB5350">
      <w:r>
        <w:t>The one ex</w:t>
      </w:r>
      <w:r>
        <w:t xml:space="preserve">ample of empirical evidence used to support arguments about prehistoric warfare on Rapa Nui is the presence of </w:t>
      </w:r>
      <w:r>
        <w:rPr>
          <w:i/>
        </w:rPr>
        <w:t>mata’a</w:t>
      </w:r>
      <w:r>
        <w:t xml:space="preserve">, flaked obsidian stemmed tools. </w:t>
      </w:r>
      <w:r>
        <w:rPr>
          <w:i/>
        </w:rPr>
        <w:t>Mata’a</w:t>
      </w:r>
      <w:r>
        <w:t xml:space="preserve"> are a class of hafted flaked obsidian artifacts that are found commonly on Rapa Nui. As relatively </w:t>
      </w:r>
      <w:r>
        <w:t xml:space="preserve">simple stemmed obsidian tools with wide blades, their form is similar to artifacts known as </w:t>
      </w:r>
      <w:r>
        <w:rPr>
          <w:i/>
        </w:rPr>
        <w:t>mata</w:t>
      </w:r>
      <w:r>
        <w:t xml:space="preserve"> found on other Polynesian islands such the basalt artifacts found on New Zealand, Pitcairn and the Chatham Islands (Balfour 1917; Metraux 1957: 232; Skinner 19</w:t>
      </w:r>
      <w:r>
        <w:t xml:space="preserve">58) as well as New Britain, Papua New Guinea (e.g., Araho 1997; Specht </w:t>
      </w:r>
      <w:r>
        <w:rPr>
          <w:i/>
        </w:rPr>
        <w:t>et al.</w:t>
      </w:r>
      <w:r>
        <w:t xml:space="preserve"> 1988; Torrence, Swadling, &amp; Ambrose</w:t>
      </w:r>
      <w:r>
        <w:rPr>
          <w:i/>
        </w:rPr>
        <w:t>et al.</w:t>
      </w:r>
      <w:r>
        <w:t xml:space="preserve"> 2009; Torrence, Swadling, &amp; Kononenko</w:t>
      </w:r>
      <w:r>
        <w:rPr>
          <w:i/>
        </w:rPr>
        <w:t>et al.</w:t>
      </w:r>
      <w:r>
        <w:t xml:space="preserve"> 2009; Torrence </w:t>
      </w:r>
      <w:r>
        <w:rPr>
          <w:i/>
        </w:rPr>
        <w:t>et al.</w:t>
      </w:r>
      <w:r>
        <w:t xml:space="preserve"> 2013).</w:t>
      </w:r>
    </w:p>
    <w:p w:rsidR="00B25BD7" w:rsidRDefault="00BB5350">
      <w:r>
        <w:t>In the current analysis, we seek to explore whether there exist</w:t>
      </w:r>
      <w:r>
        <w:t xml:space="preserve">s variability in the shape of </w:t>
      </w:r>
      <w:r>
        <w:rPr>
          <w:i/>
        </w:rPr>
        <w:t>mata'a</w:t>
      </w:r>
      <w:r>
        <w:t xml:space="preserve"> that sheds provides information about the fucntional environment in which these artifacts interacted. Using a large image database of 'r numberOfMataa' </w:t>
      </w:r>
      <w:r>
        <w:rPr>
          <w:i/>
        </w:rPr>
        <w:t>mata'a</w:t>
      </w:r>
      <w:r>
        <w:t xml:space="preserve"> from Rapa Nu, we conduct quantitative morphometric analyses </w:t>
      </w:r>
      <w:r>
        <w:t xml:space="preserve">to further investigate whether specific tool classes might be identifiable in the range of shapes in which these artifacts are found. Morphometric analyses enable on to explore shape as a continuous property of objects rather than requiring us treat shape </w:t>
      </w:r>
      <w:r>
        <w:t xml:space="preserve">as nominal categories. In this way we can use principal components analyses to see of particular kinds of shapes map to particular locations, environments or source material. In addition, we can examine the relative patterns </w:t>
      </w:r>
      <w:r>
        <w:rPr>
          <w:i/>
        </w:rPr>
        <w:t>mata’a</w:t>
      </w:r>
      <w:r>
        <w:t xml:space="preserve"> shape variability and to</w:t>
      </w:r>
      <w:r>
        <w:t xml:space="preserve"> look for areas of shape that are constrained versus those that were more free to vary. Overall, our results conclude that mata’a were only functionally constrained in terms of the haft and had signficant variation on the distal end and blade. These result</w:t>
      </w:r>
      <w:r>
        <w:t xml:space="preserve">s continue to support the alternative hypotheses that these artifacts were not used as weapons. The degree of similarity, however, of the haft portion of </w:t>
      </w:r>
      <w:r>
        <w:rPr>
          <w:i/>
        </w:rPr>
        <w:t>mata'a</w:t>
      </w:r>
      <w:r>
        <w:t xml:space="preserve"> and the low degree of constraint in the blade poses an intriguing puzzle: we have yet to identi</w:t>
      </w:r>
      <w:r>
        <w:t>fy the role(s) that these objects played in Rapa Nui subsistence and settlement.</w:t>
      </w:r>
    </w:p>
    <w:p w:rsidR="00B25BD7" w:rsidRDefault="00BB5350">
      <w:pPr>
        <w:pStyle w:val="Heading1"/>
      </w:pPr>
      <w:bookmarkStart w:id="1" w:name="approach"/>
      <w:bookmarkEnd w:id="1"/>
      <w:r>
        <w:t>Approach</w:t>
      </w:r>
    </w:p>
    <w:p w:rsidR="00B25BD7" w:rsidRDefault="00BB5350">
      <w:r>
        <w:t xml:space="preserve">On the surface landscape of Rapa Nui, </w:t>
      </w:r>
      <w:r>
        <w:rPr>
          <w:i/>
        </w:rPr>
        <w:t>mata'a</w:t>
      </w:r>
      <w:r>
        <w:t xml:space="preserve"> are one of the most numerous shaped artifact classes. </w:t>
      </w:r>
      <w:r>
        <w:rPr>
          <w:i/>
        </w:rPr>
        <w:t>Mata'a</w:t>
      </w:r>
      <w:r>
        <w:t xml:space="preserve"> have been noted since the earliest European visitors describ</w:t>
      </w:r>
      <w:r>
        <w:t xml:space="preserve">ed the island. Members of Cook's expedition to the island commented that the islanders “had lances or spears made of thin ill-shaped sticks, and pointed with a sharp triangular piece of black glassy lava” (Saher 1990: 35). </w:t>
      </w:r>
      <w:r>
        <w:rPr>
          <w:i/>
        </w:rPr>
        <w:t>Mata'a</w:t>
      </w:r>
      <w:r>
        <w:t xml:space="preserve"> are often assumed to be "s</w:t>
      </w:r>
      <w:r>
        <w:t xml:space="preserve">pears" largely because of their resemblance to European varieties rather than any direct observation of their use. Scars noted by early European observers are also believed to have been inflicted by </w:t>
      </w:r>
      <w:r>
        <w:rPr>
          <w:i/>
        </w:rPr>
        <w:t>mata'a</w:t>
      </w:r>
      <w:r>
        <w:t xml:space="preserve"> though there is no clear evidence that their use w</w:t>
      </w:r>
      <w:r>
        <w:t xml:space="preserve">as lethal. For example, in his voyage to Rapa Nui in 1770, Captain Don Felipe González (Haedo &amp; </w:t>
      </w:r>
      <w:r>
        <w:lastRenderedPageBreak/>
        <w:t>Roggeveen 1908: (13):99) remarked that "they [Rapanui] possess no arms, and although in some we observed sundry wounds on the body, which we thought to have bee</w:t>
      </w:r>
      <w:r>
        <w:t>n inflicted by cutting instruments of iron or steel, we found that they proceeded from stones, which are their only [weapons of] defence and offence, and as most of these are sharp edged they produce the injury referred to."</w:t>
      </w:r>
    </w:p>
    <w:p w:rsidR="00B25BD7" w:rsidRDefault="00BB5350">
      <w:r>
        <w:t>Even if we had direct observati</w:t>
      </w:r>
      <w:r>
        <w:t>ons of these objects being used in "spear-like" fashion, the unavoidable tendency for these European observers to interpret what they saw through their own preconceptions requires us examine the physical evidence available on mata'a. In this way we can lea</w:t>
      </w:r>
      <w:r>
        <w:t>rn not only the range of interactions that the objects had with the environment but also determine if there is variablity in their use through time or over space.</w:t>
      </w:r>
    </w:p>
    <w:p w:rsidR="00B25BD7" w:rsidRDefault="00BB5350">
      <w:r>
        <w:t xml:space="preserve">Overall, </w:t>
      </w:r>
      <w:r>
        <w:rPr>
          <w:i/>
        </w:rPr>
        <w:t>mata'a</w:t>
      </w:r>
      <w:r>
        <w:t xml:space="preserve"> vary greatly in size and shape, but average 6-10 cm in width and length. Tech</w:t>
      </w:r>
      <w:r>
        <w:t xml:space="preserve">nologically, they are formed from unifacial flakes derived trough hard hammer percussion on obsidian cores quarried from one of the island's obsidian sources. Most of the shaping of the </w:t>
      </w:r>
      <w:r>
        <w:rPr>
          <w:i/>
        </w:rPr>
        <w:t>mata'a</w:t>
      </w:r>
      <w:r>
        <w:t xml:space="preserve"> occurs during the creation of a stem that presumably serves as </w:t>
      </w:r>
      <w:r>
        <w:t xml:space="preserve">a haft. The stem is formed from one of the lateral margins of the original flake where blade constitutes the remaining distal and opposite lateral margins. </w:t>
      </w:r>
      <w:r>
        <w:rPr>
          <w:i/>
        </w:rPr>
        <w:t>Mata'a</w:t>
      </w:r>
      <w:r>
        <w:t xml:space="preserve"> stems and shoulders are formed by unifacial flaking and are generally lenticular in cross sec</w:t>
      </w:r>
      <w:r>
        <w:t>tion. Overall, the blade shape is dominated by the shape of the parent flake though some shaping through secondary flaking is sometimes evident. Often, large areas of cortex still cover much of one face.</w:t>
      </w:r>
    </w:p>
    <w:p w:rsidR="00B25BD7" w:rsidRDefault="00BB5350">
      <w:r>
        <w:t xml:space="preserve">In exploring the the way in which </w:t>
      </w:r>
      <w:r>
        <w:rPr>
          <w:i/>
        </w:rPr>
        <w:t>mata'a</w:t>
      </w:r>
      <w:r>
        <w:t xml:space="preserve"> </w:t>
      </w:r>
      <w:r>
        <w:t xml:space="preserve">forms vary, researchers have noted that there is a great diversity of shape and this feature has remained one particularly puzzling aspect of </w:t>
      </w:r>
      <w:r>
        <w:rPr>
          <w:i/>
        </w:rPr>
        <w:t>mata</w:t>
      </w:r>
      <w:r>
        <w:rPr>
          <w:rStyle w:val="VerbatimChar"/>
          <w:i/>
        </w:rPr>
        <w:t>a* [@Mulloy:1961aa]. *Mata</w:t>
      </w:r>
      <w:r>
        <w:rPr>
          <w:i/>
        </w:rPr>
        <w:t>a</w:t>
      </w:r>
      <w:r>
        <w:t xml:space="preserve"> shapes are highly inconsistent and vary from rounded to subangluar to angular to c</w:t>
      </w:r>
      <w:r>
        <w:t>omplex. Early researchers assigned mata`a shape variation to what they conceived as ethnographic categories based on Rapanui words (i.e., Routledge 1919). Later attempts to construct systematic classifications have also focused on identifying types based o</w:t>
      </w:r>
      <w:r>
        <w:t>n characterizations of overall shape. None of these classification efforts produced useful categories.</w:t>
      </w:r>
    </w:p>
    <w:p w:rsidR="00B25BD7" w:rsidRDefault="00BB5350">
      <w:r>
        <w:t>Mulloy (1961: 151), for example, argued that “no significant clustering or correlations could be extracted.... the material represents a continuous range</w:t>
      </w:r>
      <w:r>
        <w:t xml:space="preserve"> of variation without objective natural order, and that the only classification possible must involve the subjective selection of ideal types from infinite series of possibilities, and the arbitrary reference of intermediate for to one or another of these.</w:t>
      </w:r>
      <w:r>
        <w:t>” Mulloy concluded manufacturing procedures dictated shapes and differences in overall shape of mata’a were best explained by chance.</w:t>
      </w:r>
    </w:p>
    <w:p w:rsidR="00B25BD7" w:rsidRDefault="00BB5350">
      <w:r>
        <w:t xml:space="preserve">The overall shape of an object is rarely a useful dimension for problem-oriented classification (Dunnell 1986). The forms </w:t>
      </w:r>
      <w:r>
        <w:t>of objects are limited by technological constraints of the material, performance aspects that depend upon the range of environments in which the object is used, and simple idiosyncratic variability related to the manufacturer and the process of production.</w:t>
      </w:r>
      <w:r>
        <w:t xml:space="preserve"> In the case of </w:t>
      </w:r>
      <w:r>
        <w:rPr>
          <w:i/>
        </w:rPr>
        <w:t>mata’a</w:t>
      </w:r>
      <w:r>
        <w:t xml:space="preserve"> much of the variability in the overall blade shape can be explained by the contingent results involved in the stages of manufacture (Bollt </w:t>
      </w:r>
      <w:r>
        <w:rPr>
          <w:i/>
        </w:rPr>
        <w:t>et al.</w:t>
      </w:r>
      <w:r>
        <w:t xml:space="preserve"> 2006). The difference in shapes, therefore, may </w:t>
      </w:r>
      <w:r>
        <w:lastRenderedPageBreak/>
        <w:t>have structured functional variation re</w:t>
      </w:r>
      <w:r>
        <w:t xml:space="preserve">lated to the range and kinds of activities for which the tool was primarily used. Studies of use-wear found on </w:t>
      </w:r>
      <w:r>
        <w:rPr>
          <w:i/>
        </w:rPr>
        <w:t>mata'a</w:t>
      </w:r>
      <w:r>
        <w:t xml:space="preserve"> point to the tool being used primarily for scraping and cutting or some combination (Church &amp; Rigney 1994; Church &amp; Ellis 1996). A study o</w:t>
      </w:r>
      <w:r>
        <w:t xml:space="preserve">f </w:t>
      </w:r>
      <w:r>
        <w:rPr>
          <w:i/>
        </w:rPr>
        <w:t>mata'a</w:t>
      </w:r>
      <w:r>
        <w:t xml:space="preserve"> shape using stylistic classes as a means for examining how class frequencies changed over space and through time showed remarkably continuous change consistent with mata'a form being inherited through the passing on of manufacturing techniques and</w:t>
      </w:r>
      <w:r>
        <w:t xml:space="preserve"> not related to how the </w:t>
      </w:r>
      <w:r>
        <w:rPr>
          <w:i/>
        </w:rPr>
        <w:t>mata'a</w:t>
      </w:r>
      <w:r>
        <w:t xml:space="preserve"> performed in its use (Lipo </w:t>
      </w:r>
      <w:r>
        <w:rPr>
          <w:i/>
        </w:rPr>
        <w:t>et al.</w:t>
      </w:r>
      <w:r>
        <w:t xml:space="preserve"> 2010) Overall, our understanding of </w:t>
      </w:r>
      <w:r>
        <w:rPr>
          <w:i/>
        </w:rPr>
        <w:t>mata'a</w:t>
      </w:r>
      <w:r>
        <w:t xml:space="preserve"> variability continues to contradict claims of weapons and instead point to their use as either some kind of symbolic implement or their use in culti</w:t>
      </w:r>
      <w:r>
        <w:t xml:space="preserve">vation activities (Bollt </w:t>
      </w:r>
      <w:r>
        <w:rPr>
          <w:i/>
        </w:rPr>
        <w:t>et al.</w:t>
      </w:r>
      <w:r>
        <w:t xml:space="preserve"> 2006; Lipo </w:t>
      </w:r>
      <w:r>
        <w:rPr>
          <w:i/>
        </w:rPr>
        <w:t>et al.</w:t>
      </w:r>
      <w:r>
        <w:t xml:space="preserve"> 2010).</w:t>
      </w:r>
    </w:p>
    <w:p w:rsidR="00B25BD7" w:rsidRDefault="00BB5350">
      <w:r>
        <w:t xml:space="preserve">In our analysis here, we focus on </w:t>
      </w:r>
      <w:r>
        <w:rPr>
          <w:i/>
        </w:rPr>
        <w:t>mata'a</w:t>
      </w:r>
      <w:r>
        <w:t xml:space="preserve"> variability in the blade portion of the mata'a relative to the stem. We assume that as hafted objects the point at the center of the stem where it meets the b</w:t>
      </w:r>
      <w:r>
        <w:t xml:space="preserve">lade can be held constant for comparisons of shape. We then assume that due to performance the functional aspects of the tool will result in shape variability that is more constrained than the non-functional or stylistic attributes (Lipo </w:t>
      </w:r>
      <w:r>
        <w:rPr>
          <w:i/>
        </w:rPr>
        <w:t>et al.</w:t>
      </w:r>
      <w:r>
        <w:t xml:space="preserve"> 2012). The </w:t>
      </w:r>
      <w:r>
        <w:t>constraints are the result of natural selection that serves to sort shape variability in proportion to the benefits/drawbacks to performance. Based on this notion, we hypothesise that:</w:t>
      </w:r>
    </w:p>
    <w:p w:rsidR="00B25BD7" w:rsidRDefault="00BB5350">
      <w:pPr>
        <w:numPr>
          <w:ilvl w:val="0"/>
          <w:numId w:val="4"/>
        </w:numPr>
      </w:pPr>
      <w:r>
        <w:t xml:space="preserve">If </w:t>
      </w:r>
      <w:r>
        <w:rPr>
          <w:i/>
        </w:rPr>
        <w:t>mata’a</w:t>
      </w:r>
      <w:r>
        <w:t xml:space="preserve"> are weapons, the distal end of the artifact will be constrain</w:t>
      </w:r>
      <w:r>
        <w:t xml:space="preserve">ed. However, if </w:t>
      </w:r>
      <w:r>
        <w:rPr>
          <w:i/>
        </w:rPr>
        <w:t>mata’a</w:t>
      </w:r>
      <w:r>
        <w:t xml:space="preserve"> are not weapons, other areas of the tool will show greater constraint consistent with alternate functions.</w:t>
      </w:r>
    </w:p>
    <w:p w:rsidR="00B25BD7" w:rsidRDefault="00BB5350">
      <w:pPr>
        <w:numPr>
          <w:ilvl w:val="0"/>
          <w:numId w:val="4"/>
        </w:numPr>
      </w:pPr>
      <w:r>
        <w:t xml:space="preserve">If </w:t>
      </w:r>
      <w:r>
        <w:rPr>
          <w:i/>
        </w:rPr>
        <w:t>mata’a</w:t>
      </w:r>
      <w:r>
        <w:t xml:space="preserve"> are weapons, the distal end of the artifact will show a tendency towards a pointed spear-like shape that will penetr</w:t>
      </w:r>
      <w:r>
        <w:t xml:space="preserve">ate either enemies or prey. If </w:t>
      </w:r>
      <w:r>
        <w:rPr>
          <w:i/>
        </w:rPr>
        <w:t>mata’a</w:t>
      </w:r>
      <w:r>
        <w:t xml:space="preserve"> are not weapons, there will be no such constrictive tendency at the distal end of the tool.</w:t>
      </w:r>
    </w:p>
    <w:p w:rsidR="00B25BD7" w:rsidRDefault="00BB5350">
      <w:pPr>
        <w:numPr>
          <w:ilvl w:val="0"/>
          <w:numId w:val="4"/>
        </w:numPr>
      </w:pPr>
      <w:r>
        <w:t xml:space="preserve">If there was inter-tribal warfare, </w:t>
      </w:r>
      <w:r>
        <w:rPr>
          <w:i/>
        </w:rPr>
        <w:t>mata’a</w:t>
      </w:r>
      <w:r>
        <w:t xml:space="preserve"> from distinct areas may show stylistic traits of distinct groups. If natives were no</w:t>
      </w:r>
      <w:r>
        <w:t>t divided into warring groups, distinct stylistic traits may or may not be apparent.</w:t>
      </w:r>
    </w:p>
    <w:p w:rsidR="00B25BD7" w:rsidRDefault="00BB5350">
      <w:pPr>
        <w:pStyle w:val="SourceCode"/>
      </w:pPr>
      <w:r>
        <w:rPr>
          <w:rStyle w:val="NormalTok1"/>
        </w:rPr>
        <w:t>byCollection &lt;-</w:t>
      </w:r>
      <w:r>
        <w:rPr>
          <w:rStyle w:val="StringTok1"/>
        </w:rPr>
        <w:t xml:space="preserve"> </w:t>
      </w:r>
      <w:r>
        <w:rPr>
          <w:rStyle w:val="KeywordTok1"/>
        </w:rPr>
        <w:t>table</w:t>
      </w:r>
      <w:r>
        <w:rPr>
          <w:rStyle w:val="NormalTok1"/>
        </w:rPr>
        <w:t>(fac$Collection,fac$Site)</w:t>
      </w:r>
      <w:r>
        <w:br/>
      </w:r>
      <w:r>
        <w:br/>
      </w:r>
      <w:r>
        <w:rPr>
          <w:rStyle w:val="NormalTok1"/>
        </w:rPr>
        <w:t>bySource &lt;-</w:t>
      </w:r>
      <w:r>
        <w:rPr>
          <w:rStyle w:val="StringTok1"/>
        </w:rPr>
        <w:t xml:space="preserve"> </w:t>
      </w:r>
      <w:r>
        <w:rPr>
          <w:rStyle w:val="KeywordTok1"/>
        </w:rPr>
        <w:t>table</w:t>
      </w:r>
      <w:r>
        <w:rPr>
          <w:rStyle w:val="NormalTok1"/>
        </w:rPr>
        <w:t>(fac$Source,fac$Site)</w:t>
      </w:r>
      <w:r>
        <w:br/>
      </w:r>
      <w:r>
        <w:br/>
      </w:r>
      <w:r>
        <w:rPr>
          <w:rStyle w:val="KeywordTok1"/>
        </w:rPr>
        <w:t>kable</w:t>
      </w:r>
      <w:r>
        <w:rPr>
          <w:rStyle w:val="NormalTok1"/>
        </w:rPr>
        <w:t xml:space="preserve">(byCollection, </w:t>
      </w:r>
      <w:r>
        <w:rPr>
          <w:rStyle w:val="DataTypeTok1"/>
        </w:rPr>
        <w:t>digits=</w:t>
      </w:r>
      <w:r>
        <w:rPr>
          <w:rStyle w:val="DecValTok1"/>
        </w:rPr>
        <w:t>0</w:t>
      </w:r>
      <w:r>
        <w:rPr>
          <w:rStyle w:val="NormalTok1"/>
        </w:rPr>
        <w:t>)</w:t>
      </w:r>
    </w:p>
    <w:tbl>
      <w:tblPr>
        <w:tblW w:w="0" w:type="pct"/>
        <w:tblLook w:val="04A0" w:firstRow="1" w:lastRow="0" w:firstColumn="1" w:lastColumn="0" w:noHBand="0" w:noVBand="1"/>
      </w:tblPr>
      <w:tblGrid>
        <w:gridCol w:w="923"/>
        <w:gridCol w:w="1383"/>
        <w:gridCol w:w="723"/>
        <w:gridCol w:w="950"/>
        <w:gridCol w:w="1183"/>
        <w:gridCol w:w="1163"/>
      </w:tblGrid>
      <w:tr w:rsidR="00B25BD7">
        <w:tc>
          <w:tcPr>
            <w:tcW w:w="0" w:type="auto"/>
            <w:tcBorders>
              <w:bottom w:val="single" w:sz="0" w:space="0" w:color="auto"/>
            </w:tcBorders>
            <w:vAlign w:val="bottom"/>
          </w:tcPr>
          <w:p w:rsidR="00B25BD7" w:rsidRDefault="00B25BD7">
            <w:pPr>
              <w:pStyle w:val="Compact"/>
            </w:pPr>
          </w:p>
        </w:tc>
        <w:tc>
          <w:tcPr>
            <w:tcW w:w="0" w:type="auto"/>
            <w:tcBorders>
              <w:bottom w:val="single" w:sz="0" w:space="0" w:color="auto"/>
            </w:tcBorders>
            <w:vAlign w:val="bottom"/>
          </w:tcPr>
          <w:p w:rsidR="00B25BD7" w:rsidRDefault="00BB5350">
            <w:pPr>
              <w:pStyle w:val="Compact"/>
              <w:jc w:val="right"/>
            </w:pPr>
            <w:r>
              <w:t>Ahu Tautira</w:t>
            </w:r>
          </w:p>
        </w:tc>
        <w:tc>
          <w:tcPr>
            <w:tcW w:w="0" w:type="auto"/>
            <w:tcBorders>
              <w:bottom w:val="single" w:sz="0" w:space="0" w:color="auto"/>
            </w:tcBorders>
            <w:vAlign w:val="bottom"/>
          </w:tcPr>
          <w:p w:rsidR="00B25BD7" w:rsidRDefault="00BB5350">
            <w:pPr>
              <w:pStyle w:val="Compact"/>
              <w:jc w:val="right"/>
            </w:pPr>
            <w:r>
              <w:t>Orito</w:t>
            </w:r>
          </w:p>
        </w:tc>
        <w:tc>
          <w:tcPr>
            <w:tcW w:w="0" w:type="auto"/>
            <w:tcBorders>
              <w:bottom w:val="single" w:sz="0" w:space="0" w:color="auto"/>
            </w:tcBorders>
            <w:vAlign w:val="bottom"/>
          </w:tcPr>
          <w:p w:rsidR="00B25BD7" w:rsidRDefault="00BB5350">
            <w:pPr>
              <w:pStyle w:val="Compact"/>
              <w:jc w:val="right"/>
            </w:pPr>
            <w:r>
              <w:t>Orongo</w:t>
            </w:r>
          </w:p>
        </w:tc>
        <w:tc>
          <w:tcPr>
            <w:tcW w:w="0" w:type="auto"/>
            <w:tcBorders>
              <w:bottom w:val="single" w:sz="0" w:space="0" w:color="auto"/>
            </w:tcBorders>
            <w:vAlign w:val="bottom"/>
          </w:tcPr>
          <w:p w:rsidR="00B25BD7" w:rsidRDefault="00BB5350">
            <w:pPr>
              <w:pStyle w:val="Compact"/>
              <w:jc w:val="right"/>
            </w:pPr>
            <w:r>
              <w:t>Rano Kau</w:t>
            </w:r>
          </w:p>
        </w:tc>
        <w:tc>
          <w:tcPr>
            <w:tcW w:w="0" w:type="auto"/>
            <w:tcBorders>
              <w:bottom w:val="single" w:sz="0" w:space="0" w:color="auto"/>
            </w:tcBorders>
            <w:vAlign w:val="bottom"/>
          </w:tcPr>
          <w:p w:rsidR="00B25BD7" w:rsidRDefault="00BB5350">
            <w:pPr>
              <w:pStyle w:val="Compact"/>
              <w:jc w:val="right"/>
            </w:pPr>
            <w:r>
              <w:t>Unknown</w:t>
            </w:r>
          </w:p>
        </w:tc>
      </w:tr>
      <w:tr w:rsidR="00B25BD7">
        <w:tc>
          <w:tcPr>
            <w:tcW w:w="0" w:type="auto"/>
          </w:tcPr>
          <w:p w:rsidR="00B25BD7" w:rsidRDefault="00BB5350">
            <w:pPr>
              <w:pStyle w:val="Compact"/>
            </w:pPr>
            <w:r>
              <w:t>Bishop</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291</w:t>
            </w:r>
          </w:p>
        </w:tc>
      </w:tr>
      <w:tr w:rsidR="00B25BD7">
        <w:tc>
          <w:tcPr>
            <w:tcW w:w="0" w:type="auto"/>
          </w:tcPr>
          <w:p w:rsidR="00B25BD7" w:rsidRDefault="00BB5350">
            <w:pPr>
              <w:pStyle w:val="Compact"/>
            </w:pPr>
            <w:r>
              <w:t>Englert</w:t>
            </w:r>
          </w:p>
        </w:tc>
        <w:tc>
          <w:tcPr>
            <w:tcW w:w="0" w:type="auto"/>
          </w:tcPr>
          <w:p w:rsidR="00B25BD7" w:rsidRDefault="00BB5350">
            <w:pPr>
              <w:pStyle w:val="Compact"/>
              <w:jc w:val="right"/>
            </w:pPr>
            <w:r>
              <w:t>25</w:t>
            </w:r>
          </w:p>
        </w:tc>
        <w:tc>
          <w:tcPr>
            <w:tcW w:w="0" w:type="auto"/>
          </w:tcPr>
          <w:p w:rsidR="00B25BD7" w:rsidRDefault="00BB5350">
            <w:pPr>
              <w:pStyle w:val="Compact"/>
              <w:jc w:val="right"/>
            </w:pPr>
            <w:r>
              <w:t>31</w:t>
            </w:r>
          </w:p>
        </w:tc>
        <w:tc>
          <w:tcPr>
            <w:tcW w:w="0" w:type="auto"/>
          </w:tcPr>
          <w:p w:rsidR="00B25BD7" w:rsidRDefault="00BB5350">
            <w:pPr>
              <w:pStyle w:val="Compact"/>
              <w:jc w:val="right"/>
            </w:pPr>
            <w:r>
              <w:t>29</w:t>
            </w:r>
          </w:p>
        </w:tc>
        <w:tc>
          <w:tcPr>
            <w:tcW w:w="0" w:type="auto"/>
          </w:tcPr>
          <w:p w:rsidR="00B25BD7" w:rsidRDefault="00BB5350">
            <w:pPr>
              <w:pStyle w:val="Compact"/>
              <w:jc w:val="right"/>
            </w:pPr>
            <w:r>
              <w:t>33</w:t>
            </w:r>
          </w:p>
        </w:tc>
        <w:tc>
          <w:tcPr>
            <w:tcW w:w="0" w:type="auto"/>
          </w:tcPr>
          <w:p w:rsidR="00B25BD7" w:rsidRDefault="00BB5350">
            <w:pPr>
              <w:pStyle w:val="Compact"/>
              <w:jc w:val="right"/>
            </w:pPr>
            <w:r>
              <w:t>0</w:t>
            </w:r>
          </w:p>
        </w:tc>
      </w:tr>
    </w:tbl>
    <w:p w:rsidR="00B25BD7" w:rsidRDefault="00BB5350">
      <w:pPr>
        <w:pStyle w:val="SourceCode"/>
      </w:pPr>
      <w:r>
        <w:rPr>
          <w:rStyle w:val="KeywordTok1"/>
        </w:rPr>
        <w:t>kable</w:t>
      </w:r>
      <w:r>
        <w:rPr>
          <w:rStyle w:val="NormalTok1"/>
        </w:rPr>
        <w:t>(bySource,</w:t>
      </w:r>
      <w:r>
        <w:rPr>
          <w:rStyle w:val="DataTypeTok1"/>
        </w:rPr>
        <w:t>digits=</w:t>
      </w:r>
      <w:r>
        <w:rPr>
          <w:rStyle w:val="DecValTok1"/>
        </w:rPr>
        <w:t>0</w:t>
      </w:r>
      <w:r>
        <w:rPr>
          <w:rStyle w:val="NormalTok1"/>
        </w:rPr>
        <w:t>)</w:t>
      </w:r>
    </w:p>
    <w:tbl>
      <w:tblPr>
        <w:tblW w:w="0" w:type="pct"/>
        <w:tblLook w:val="04A0" w:firstRow="1" w:lastRow="0" w:firstColumn="1" w:lastColumn="0" w:noHBand="0" w:noVBand="1"/>
      </w:tblPr>
      <w:tblGrid>
        <w:gridCol w:w="1363"/>
        <w:gridCol w:w="1383"/>
        <w:gridCol w:w="723"/>
        <w:gridCol w:w="950"/>
        <w:gridCol w:w="1183"/>
        <w:gridCol w:w="1163"/>
      </w:tblGrid>
      <w:tr w:rsidR="00B25BD7">
        <w:tc>
          <w:tcPr>
            <w:tcW w:w="0" w:type="auto"/>
            <w:tcBorders>
              <w:bottom w:val="single" w:sz="0" w:space="0" w:color="auto"/>
            </w:tcBorders>
            <w:vAlign w:val="bottom"/>
          </w:tcPr>
          <w:p w:rsidR="00B25BD7" w:rsidRDefault="00B25BD7">
            <w:pPr>
              <w:pStyle w:val="Compact"/>
            </w:pPr>
          </w:p>
        </w:tc>
        <w:tc>
          <w:tcPr>
            <w:tcW w:w="0" w:type="auto"/>
            <w:tcBorders>
              <w:bottom w:val="single" w:sz="0" w:space="0" w:color="auto"/>
            </w:tcBorders>
            <w:vAlign w:val="bottom"/>
          </w:tcPr>
          <w:p w:rsidR="00B25BD7" w:rsidRDefault="00BB5350">
            <w:pPr>
              <w:pStyle w:val="Compact"/>
              <w:jc w:val="right"/>
            </w:pPr>
            <w:r>
              <w:t>Ahu Tautira</w:t>
            </w:r>
          </w:p>
        </w:tc>
        <w:tc>
          <w:tcPr>
            <w:tcW w:w="0" w:type="auto"/>
            <w:tcBorders>
              <w:bottom w:val="single" w:sz="0" w:space="0" w:color="auto"/>
            </w:tcBorders>
            <w:vAlign w:val="bottom"/>
          </w:tcPr>
          <w:p w:rsidR="00B25BD7" w:rsidRDefault="00BB5350">
            <w:pPr>
              <w:pStyle w:val="Compact"/>
              <w:jc w:val="right"/>
            </w:pPr>
            <w:r>
              <w:t>Orito</w:t>
            </w:r>
          </w:p>
        </w:tc>
        <w:tc>
          <w:tcPr>
            <w:tcW w:w="0" w:type="auto"/>
            <w:tcBorders>
              <w:bottom w:val="single" w:sz="0" w:space="0" w:color="auto"/>
            </w:tcBorders>
            <w:vAlign w:val="bottom"/>
          </w:tcPr>
          <w:p w:rsidR="00B25BD7" w:rsidRDefault="00BB5350">
            <w:pPr>
              <w:pStyle w:val="Compact"/>
              <w:jc w:val="right"/>
            </w:pPr>
            <w:r>
              <w:t>Orongo</w:t>
            </w:r>
          </w:p>
        </w:tc>
        <w:tc>
          <w:tcPr>
            <w:tcW w:w="0" w:type="auto"/>
            <w:tcBorders>
              <w:bottom w:val="single" w:sz="0" w:space="0" w:color="auto"/>
            </w:tcBorders>
            <w:vAlign w:val="bottom"/>
          </w:tcPr>
          <w:p w:rsidR="00B25BD7" w:rsidRDefault="00BB5350">
            <w:pPr>
              <w:pStyle w:val="Compact"/>
              <w:jc w:val="right"/>
            </w:pPr>
            <w:r>
              <w:t>Rano Kau</w:t>
            </w:r>
          </w:p>
        </w:tc>
        <w:tc>
          <w:tcPr>
            <w:tcW w:w="0" w:type="auto"/>
            <w:tcBorders>
              <w:bottom w:val="single" w:sz="0" w:space="0" w:color="auto"/>
            </w:tcBorders>
            <w:vAlign w:val="bottom"/>
          </w:tcPr>
          <w:p w:rsidR="00B25BD7" w:rsidRDefault="00BB5350">
            <w:pPr>
              <w:pStyle w:val="Compact"/>
              <w:jc w:val="right"/>
            </w:pPr>
            <w:r>
              <w:t>Unknown</w:t>
            </w:r>
          </w:p>
        </w:tc>
      </w:tr>
      <w:tr w:rsidR="00B25BD7">
        <w:tc>
          <w:tcPr>
            <w:tcW w:w="0" w:type="auto"/>
          </w:tcPr>
          <w:p w:rsidR="00B25BD7" w:rsidRDefault="00BB5350">
            <w:pPr>
              <w:pStyle w:val="Compact"/>
            </w:pPr>
            <w:r>
              <w:t>Motu Iti</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5</w:t>
            </w:r>
          </w:p>
        </w:tc>
      </w:tr>
      <w:tr w:rsidR="00B25BD7">
        <w:tc>
          <w:tcPr>
            <w:tcW w:w="0" w:type="auto"/>
          </w:tcPr>
          <w:p w:rsidR="00B25BD7" w:rsidRDefault="00BB5350">
            <w:pPr>
              <w:pStyle w:val="Compact"/>
            </w:pPr>
            <w:r>
              <w:t>Orito</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279</w:t>
            </w:r>
          </w:p>
        </w:tc>
      </w:tr>
      <w:tr w:rsidR="00B25BD7">
        <w:tc>
          <w:tcPr>
            <w:tcW w:w="0" w:type="auto"/>
          </w:tcPr>
          <w:p w:rsidR="00B25BD7" w:rsidRDefault="00BB5350">
            <w:pPr>
              <w:pStyle w:val="Compact"/>
            </w:pPr>
            <w:r>
              <w:lastRenderedPageBreak/>
              <w:t>Rano Kau 1</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0</w:t>
            </w:r>
          </w:p>
        </w:tc>
        <w:tc>
          <w:tcPr>
            <w:tcW w:w="0" w:type="auto"/>
          </w:tcPr>
          <w:p w:rsidR="00B25BD7" w:rsidRDefault="00BB5350">
            <w:pPr>
              <w:pStyle w:val="Compact"/>
              <w:jc w:val="right"/>
            </w:pPr>
            <w:r>
              <w:t>7</w:t>
            </w:r>
          </w:p>
        </w:tc>
      </w:tr>
      <w:tr w:rsidR="00B25BD7">
        <w:tc>
          <w:tcPr>
            <w:tcW w:w="0" w:type="auto"/>
          </w:tcPr>
          <w:p w:rsidR="00B25BD7" w:rsidRDefault="00BB5350">
            <w:pPr>
              <w:pStyle w:val="Compact"/>
            </w:pPr>
            <w:r>
              <w:t>unknown</w:t>
            </w:r>
          </w:p>
        </w:tc>
        <w:tc>
          <w:tcPr>
            <w:tcW w:w="0" w:type="auto"/>
          </w:tcPr>
          <w:p w:rsidR="00B25BD7" w:rsidRDefault="00BB5350">
            <w:pPr>
              <w:pStyle w:val="Compact"/>
              <w:jc w:val="right"/>
            </w:pPr>
            <w:r>
              <w:t>25</w:t>
            </w:r>
          </w:p>
        </w:tc>
        <w:tc>
          <w:tcPr>
            <w:tcW w:w="0" w:type="auto"/>
          </w:tcPr>
          <w:p w:rsidR="00B25BD7" w:rsidRDefault="00BB5350">
            <w:pPr>
              <w:pStyle w:val="Compact"/>
              <w:jc w:val="right"/>
            </w:pPr>
            <w:r>
              <w:t>31</w:t>
            </w:r>
          </w:p>
        </w:tc>
        <w:tc>
          <w:tcPr>
            <w:tcW w:w="0" w:type="auto"/>
          </w:tcPr>
          <w:p w:rsidR="00B25BD7" w:rsidRDefault="00BB5350">
            <w:pPr>
              <w:pStyle w:val="Compact"/>
              <w:jc w:val="right"/>
            </w:pPr>
            <w:r>
              <w:t>29</w:t>
            </w:r>
          </w:p>
        </w:tc>
        <w:tc>
          <w:tcPr>
            <w:tcW w:w="0" w:type="auto"/>
          </w:tcPr>
          <w:p w:rsidR="00B25BD7" w:rsidRDefault="00BB5350">
            <w:pPr>
              <w:pStyle w:val="Compact"/>
              <w:jc w:val="right"/>
            </w:pPr>
            <w:r>
              <w:t>33</w:t>
            </w:r>
          </w:p>
        </w:tc>
        <w:tc>
          <w:tcPr>
            <w:tcW w:w="0" w:type="auto"/>
          </w:tcPr>
          <w:p w:rsidR="00B25BD7" w:rsidRDefault="00BB5350">
            <w:pPr>
              <w:pStyle w:val="Compact"/>
              <w:jc w:val="right"/>
            </w:pPr>
            <w:r>
              <w:t>0</w:t>
            </w:r>
          </w:p>
        </w:tc>
      </w:tr>
    </w:tbl>
    <w:p w:rsidR="00B25BD7" w:rsidRDefault="00BB5350">
      <w:pPr>
        <w:pStyle w:val="Heading1"/>
      </w:pPr>
      <w:bookmarkStart w:id="2" w:name="methods-and-data"/>
      <w:bookmarkEnd w:id="2"/>
      <w:r>
        <w:t>Methods and Data</w:t>
      </w:r>
    </w:p>
    <w:p w:rsidR="00B25BD7" w:rsidRDefault="00BB5350">
      <w:r>
        <w:t xml:space="preserve">In order to test these hypotheses, we used morphometric outline analysis. Morphometrics is the quantitative analysis of form (Bookstein 1982; Bookstein </w:t>
      </w:r>
      <w:r>
        <w:rPr>
          <w:i/>
        </w:rPr>
        <w:t>et al.</w:t>
      </w:r>
      <w:r>
        <w:t xml:space="preserve"> 1985). It has advantages over traditional studies of shape that treat shape as a nominal characte</w:t>
      </w:r>
      <w:r>
        <w:t>r (e.g., "triangular", "square", "round"). Even classifications that break shape into a series of dimensionally constructed classes must reduce variability into modal categories. Morphometrics avoids this problem by analyzing shape as a series of measureme</w:t>
      </w:r>
      <w:r>
        <w:t>nts that comprise outline or landmarks. One major feature of morphometrics is its ability statistically test hypotheses about the factors that affect shape. With this technique exact outlines of artifacts can be overlaid and compared making variations betw</w:t>
      </w:r>
      <w:r>
        <w:t>een artifacts readily apparent.</w:t>
      </w:r>
    </w:p>
    <w:p w:rsidR="00B25BD7" w:rsidRDefault="00BB5350">
      <w:r>
        <w:t>Measurements for morphometrics can be generated in a number of ways. The earliest form of morphometrics focused on identifying the location specific landmarks. This approach requires defining features of interest that are to</w:t>
      </w:r>
      <w:r>
        <w:t xml:space="preserve"> be examined as to how they relate to each other. In the case of artifacts such as </w:t>
      </w:r>
      <w:r>
        <w:rPr>
          <w:i/>
        </w:rPr>
        <w:t>mata'a</w:t>
      </w:r>
      <w:r>
        <w:t xml:space="preserve"> there are few consistent landmarks to hold constant other than perhaps the distal and proximal end. In these such cases, one can conduct an analysis of what is known </w:t>
      </w:r>
      <w:r>
        <w:t>as "semi-landmarks," a standard number of regularly positioned points around the outline of an object (Bookstein 1997; Gunz &amp; Mitteroecker 2013).</w:t>
      </w:r>
    </w:p>
    <w:p w:rsidR="00B25BD7" w:rsidRDefault="00BB5350">
      <w:r>
        <w:t xml:space="preserve">(Bonhomme </w:t>
      </w:r>
      <w:r>
        <w:rPr>
          <w:i/>
        </w:rPr>
        <w:t>et al.</w:t>
      </w:r>
      <w:r>
        <w:t xml:space="preserve"> 2013)</w:t>
      </w:r>
    </w:p>
    <w:p w:rsidR="00B25BD7" w:rsidRDefault="00BB5350">
      <w:r>
        <w:t xml:space="preserve">Our assemblage consisted of planview photographs of (N='r numberOfMataa') </w:t>
      </w:r>
      <w:r>
        <w:rPr>
          <w:i/>
        </w:rPr>
        <w:t>mata’a</w:t>
      </w:r>
      <w:r>
        <w:t xml:space="preserve"> </w:t>
      </w:r>
      <w:r>
        <w:t xml:space="preserve">from 2 museum collections. The first museum collection consisted of 118 </w:t>
      </w:r>
      <w:r>
        <w:rPr>
          <w:i/>
        </w:rPr>
        <w:t>mata'a</w:t>
      </w:r>
      <w:r>
        <w:t xml:space="preserve"> housed at the P. Sebastian Englert Museum on Rapa Nui. This collection is composed of </w:t>
      </w:r>
      <w:r>
        <w:rPr>
          <w:i/>
        </w:rPr>
        <w:t>mata'a</w:t>
      </w:r>
      <w:r>
        <w:t xml:space="preserve"> collected from 6 locations on the island as well as XXX </w:t>
      </w:r>
      <w:r>
        <w:rPr>
          <w:i/>
        </w:rPr>
        <w:t>mata'a</w:t>
      </w:r>
      <w:r>
        <w:t xml:space="preserve"> </w:t>
      </w:r>
      <w:r>
        <w:t>for which provience is known only to the level of the island itself. [[More detail on the locations?]]</w:t>
      </w:r>
    </w:p>
    <w:p w:rsidR="00B25BD7" w:rsidRDefault="00BB5350">
      <w:r>
        <w:t xml:space="preserve">The second collection of </w:t>
      </w:r>
      <w:r>
        <w:rPr>
          <w:i/>
        </w:rPr>
        <w:t>mata'a</w:t>
      </w:r>
      <w:r>
        <w:t xml:space="preserve"> is composed of 291 objects housed at the Bishop Museum, Honolulu, Hawai'i.</w:t>
      </w:r>
    </w:p>
    <w:p w:rsidR="00B25BD7" w:rsidRDefault="00BB5350">
      <w:r>
        <w:t xml:space="preserve">of t of XXX mata'a These </w:t>
      </w:r>
      <w:r>
        <w:rPr>
          <w:i/>
        </w:rPr>
        <w:t>mata'a</w:t>
      </w:r>
      <w:r>
        <w:t xml:space="preserve"> were taken by </w:t>
      </w:r>
      <w:r>
        <w:t>Lipo on Rapa Nui from 2007 through 2009. 25 to 33 artifacts were randomly selected from each of (4) sites.</w:t>
      </w:r>
    </w:p>
    <w:p w:rsidR="00B25BD7" w:rsidRDefault="00BB5350">
      <w:pPr>
        <w:pStyle w:val="Heading1"/>
      </w:pPr>
      <w:bookmarkStart w:id="3" w:name="analyses"/>
      <w:bookmarkEnd w:id="3"/>
      <w:r>
        <w:t>Analyses</w:t>
      </w:r>
    </w:p>
    <w:p w:rsidR="00B25BD7" w:rsidRDefault="00BB5350">
      <w:r>
        <w:t>In our analyses, we used scaled photos of mata'a and aligned them with midpoint where the stem meets the blade. Using TPSdig software (Rohlf</w:t>
      </w:r>
      <w:r>
        <w:t xml:space="preserve"> 2014), we created outlines of each mata’a using 200 sets of X-Y coordinates measured along the perimeter of the artifact.</w:t>
      </w:r>
    </w:p>
    <w:p w:rsidR="00B25BD7" w:rsidRDefault="00BB5350">
      <w:r>
        <w:t>We transferred the data to PAST 3.01 (Hammer et al. 2001) software and X-Y coordinate and radii analyses were done. The X-Y coordinat</w:t>
      </w:r>
      <w:r>
        <w:t xml:space="preserve">es were used to create overlying images showing shape variability. The radii analysis were used to compute the standard deviation </w:t>
      </w:r>
      <w:r>
        <w:lastRenderedPageBreak/>
        <w:t>of each radius. The standard deviations were then used to graph out areas of constraint and/or variability in each group.</w:t>
      </w:r>
    </w:p>
    <w:p w:rsidR="00B25BD7" w:rsidRDefault="00BB5350">
      <w:r>
        <w:t>Each</w:t>
      </w:r>
      <w:r>
        <w:t xml:space="preserve"> set of analysis were performed separately for each site, and collectively for the entire assemblage.</w:t>
      </w:r>
    </w:p>
    <w:p w:rsidR="00B25BD7" w:rsidRDefault="00BB5350">
      <w:bookmarkStart w:id="4" w:name="_GoBack"/>
      <w:bookmarkEnd w:id="4"/>
      <w:r>
        <w:rPr>
          <w:noProof/>
        </w:rPr>
        <w:lastRenderedPageBreak/>
        <w:drawing>
          <wp:inline distT="0" distB="0" distL="0" distR="0">
            <wp:extent cx="548640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afp-plo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r>
        <w:rPr>
          <w:noProof/>
        </w:rPr>
        <w:lastRenderedPageBreak/>
        <w:drawing>
          <wp:inline distT="0" distB="0" distL="0" distR="0">
            <wp:extent cx="5486400" cy="4389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afp-p.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r>
        <w:rPr>
          <w:noProof/>
        </w:rPr>
        <w:lastRenderedPageBreak/>
        <w:drawing>
          <wp:inline distT="0" distB="0" distL="0" distR="0">
            <wp:extent cx="5486400" cy="438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afps-plot.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r>
        <w:rPr>
          <w:noProof/>
        </w:rPr>
        <w:lastRenderedPageBreak/>
        <w:drawing>
          <wp:inline distT="0" distB="0" distL="0" distR="0">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af-plo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B25BD7" w:rsidRDefault="00BB5350">
      <w:pPr>
        <w:pStyle w:val="SourceCode"/>
      </w:pPr>
      <w:r>
        <w:rPr>
          <w:rStyle w:val="VerbatimChar"/>
        </w:rPr>
        <w:t>##  * No landmarks defined in $ldk, so trying to work on $coo directly.</w:t>
      </w:r>
      <w:r>
        <w:br/>
      </w:r>
      <w:r>
        <w:rPr>
          <w:rStyle w:val="VerbatimChar"/>
        </w:rPr>
        <w:t xml:space="preserve">## iteration:  1    gain: 590.7 </w:t>
      </w:r>
      <w:r>
        <w:br/>
      </w:r>
      <w:r>
        <w:rPr>
          <w:rStyle w:val="VerbatimChar"/>
        </w:rPr>
        <w:t xml:space="preserve">## iteration:  2    gain: 28.19 </w:t>
      </w:r>
      <w:r>
        <w:br/>
      </w:r>
      <w:r>
        <w:rPr>
          <w:rStyle w:val="VerbatimChar"/>
        </w:rPr>
        <w:t xml:space="preserve">## iteration:  </w:t>
      </w:r>
      <w:r>
        <w:rPr>
          <w:rStyle w:val="VerbatimChar"/>
        </w:rPr>
        <w:t xml:space="preserve">3    gain: 4.912 </w:t>
      </w:r>
      <w:r>
        <w:br/>
      </w:r>
      <w:r>
        <w:rPr>
          <w:rStyle w:val="VerbatimChar"/>
        </w:rPr>
        <w:t xml:space="preserve">## iteration:  4    gain: 0.3123 </w:t>
      </w:r>
      <w:r>
        <w:br/>
      </w:r>
      <w:r>
        <w:rPr>
          <w:rStyle w:val="VerbatimChar"/>
        </w:rPr>
        <w:t xml:space="preserve">## iteration:  5    gain: 4.159 </w:t>
      </w:r>
      <w:r>
        <w:br/>
      </w:r>
      <w:r>
        <w:rPr>
          <w:rStyle w:val="VerbatimChar"/>
        </w:rPr>
        <w:t xml:space="preserve">## iteration:  6    gain: 1.111 </w:t>
      </w:r>
      <w:r>
        <w:br/>
      </w:r>
      <w:r>
        <w:rPr>
          <w:rStyle w:val="VerbatimChar"/>
        </w:rPr>
        <w:t xml:space="preserve">## iteration:  7    gain: 0.7301 </w:t>
      </w:r>
      <w:r>
        <w:br/>
      </w:r>
      <w:r>
        <w:rPr>
          <w:rStyle w:val="VerbatimChar"/>
        </w:rPr>
        <w:t xml:space="preserve">## iteration:  8    gain: 0.05619 </w:t>
      </w:r>
      <w:r>
        <w:br/>
      </w:r>
      <w:r>
        <w:rPr>
          <w:rStyle w:val="VerbatimChar"/>
        </w:rPr>
        <w:t xml:space="preserve">## iteration:  9    gain: 0.4705 </w:t>
      </w:r>
      <w:r>
        <w:br/>
      </w:r>
      <w:r>
        <w:rPr>
          <w:rStyle w:val="VerbatimChar"/>
        </w:rPr>
        <w:t xml:space="preserve">## iteration:  10   gain: 0.2913 </w:t>
      </w:r>
      <w:r>
        <w:br/>
      </w:r>
      <w:r>
        <w:rPr>
          <w:rStyle w:val="VerbatimChar"/>
        </w:rPr>
        <w:t>#</w:t>
      </w:r>
      <w:r>
        <w:rPr>
          <w:rStyle w:val="VerbatimChar"/>
        </w:rPr>
        <w:t xml:space="preserve"># iteration:  11   gain: 0.06571 </w:t>
      </w:r>
      <w:r>
        <w:br/>
      </w:r>
      <w:r>
        <w:rPr>
          <w:rStyle w:val="VerbatimChar"/>
        </w:rPr>
        <w:t xml:space="preserve">## iteration:  12   gain: 0.0006026 </w:t>
      </w:r>
      <w:r>
        <w:br/>
      </w:r>
      <w:r>
        <w:rPr>
          <w:rStyle w:val="VerbatimChar"/>
        </w:rPr>
        <w:t xml:space="preserve">## iteration:  13   gain: 0.02029 </w:t>
      </w:r>
      <w:r>
        <w:br/>
      </w:r>
      <w:r>
        <w:rPr>
          <w:rStyle w:val="VerbatimChar"/>
        </w:rPr>
        <w:t xml:space="preserve">## iteration:  14   gain: 0.03462 </w:t>
      </w:r>
      <w:r>
        <w:br/>
      </w:r>
      <w:r>
        <w:rPr>
          <w:rStyle w:val="VerbatimChar"/>
        </w:rPr>
        <w:t xml:space="preserve">## iteration:  15   gain: 0.02457 </w:t>
      </w:r>
      <w:r>
        <w:br/>
      </w:r>
      <w:r>
        <w:rPr>
          <w:rStyle w:val="VerbatimChar"/>
        </w:rPr>
        <w:lastRenderedPageBreak/>
        <w:t xml:space="preserve">## iteration:  16   gain: 0.002025 </w:t>
      </w:r>
      <w:r>
        <w:br/>
      </w:r>
      <w:r>
        <w:rPr>
          <w:rStyle w:val="VerbatimChar"/>
        </w:rPr>
        <w:t xml:space="preserve">## iteration:  17   gain: 0.01128 </w:t>
      </w:r>
      <w:r>
        <w:br/>
      </w:r>
      <w:r>
        <w:rPr>
          <w:rStyle w:val="VerbatimChar"/>
        </w:rPr>
        <w:t>## iterat</w:t>
      </w:r>
      <w:r>
        <w:rPr>
          <w:rStyle w:val="VerbatimChar"/>
        </w:rPr>
        <w:t xml:space="preserve">ion:  18   gain: 0.01151 </w:t>
      </w:r>
      <w:r>
        <w:br/>
      </w:r>
      <w:r>
        <w:rPr>
          <w:rStyle w:val="VerbatimChar"/>
        </w:rPr>
        <w:t xml:space="preserve">## iteration:  19   gain: 0.00591 </w:t>
      </w:r>
      <w:r>
        <w:br/>
      </w:r>
      <w:r>
        <w:rPr>
          <w:rStyle w:val="VerbatimChar"/>
        </w:rPr>
        <w:t xml:space="preserve">## iteration:  20   gain: 0.0005012 </w:t>
      </w:r>
      <w:r>
        <w:br/>
      </w:r>
      <w:r>
        <w:rPr>
          <w:rStyle w:val="VerbatimChar"/>
        </w:rPr>
        <w:t xml:space="preserve">## iteration:  21   gain: 0.002408 </w:t>
      </w:r>
      <w:r>
        <w:br/>
      </w:r>
      <w:r>
        <w:rPr>
          <w:rStyle w:val="VerbatimChar"/>
        </w:rPr>
        <w:t xml:space="preserve">## iteration:  22   gain: 0.002742 </w:t>
      </w:r>
      <w:r>
        <w:br/>
      </w:r>
      <w:r>
        <w:rPr>
          <w:rStyle w:val="VerbatimChar"/>
        </w:rPr>
        <w:t xml:space="preserve">## iteration:  23   gain: 0.001557 </w:t>
      </w:r>
      <w:r>
        <w:br/>
      </w:r>
      <w:r>
        <w:rPr>
          <w:rStyle w:val="VerbatimChar"/>
        </w:rPr>
        <w:t xml:space="preserve">## iteration:  24   gain: 0.0001653 </w:t>
      </w:r>
      <w:r>
        <w:br/>
      </w:r>
      <w:r>
        <w:rPr>
          <w:rStyle w:val="VerbatimChar"/>
        </w:rPr>
        <w:t>## iteration:</w:t>
      </w:r>
      <w:r>
        <w:rPr>
          <w:rStyle w:val="VerbatimChar"/>
        </w:rPr>
        <w:t xml:space="preserve">  25   gain: 0.0006239 </w:t>
      </w:r>
      <w:r>
        <w:br/>
      </w:r>
      <w:r>
        <w:rPr>
          <w:rStyle w:val="VerbatimChar"/>
        </w:rPr>
        <w:t xml:space="preserve">## iteration:  26   gain: 0.0007096 </w:t>
      </w:r>
      <w:r>
        <w:br/>
      </w:r>
      <w:r>
        <w:rPr>
          <w:rStyle w:val="VerbatimChar"/>
        </w:rPr>
        <w:t xml:space="preserve">## iteration:  27   gain: 0.0004013 </w:t>
      </w:r>
      <w:r>
        <w:br/>
      </w:r>
      <w:r>
        <w:rPr>
          <w:rStyle w:val="VerbatimChar"/>
        </w:rPr>
        <w:t xml:space="preserve">## iteration:  28   gain: 4.848e-05 </w:t>
      </w:r>
      <w:r>
        <w:br/>
      </w:r>
      <w:r>
        <w:rPr>
          <w:rStyle w:val="VerbatimChar"/>
        </w:rPr>
        <w:t xml:space="preserve">## iteration:  29   gain: 0.0001532 </w:t>
      </w:r>
      <w:r>
        <w:br/>
      </w:r>
      <w:r>
        <w:rPr>
          <w:rStyle w:val="VerbatimChar"/>
        </w:rPr>
        <w:t xml:space="preserve">## iteration:  30   gain: 0.0001794 </w:t>
      </w:r>
      <w:r>
        <w:br/>
      </w:r>
      <w:r>
        <w:rPr>
          <w:rStyle w:val="VerbatimChar"/>
        </w:rPr>
        <w:t xml:space="preserve">## iteration:  31   gain: 0.0001039 </w:t>
      </w:r>
      <w:r>
        <w:br/>
      </w:r>
      <w:r>
        <w:rPr>
          <w:rStyle w:val="VerbatimChar"/>
        </w:rPr>
        <w:t>## iterati</w:t>
      </w:r>
      <w:r>
        <w:rPr>
          <w:rStyle w:val="VerbatimChar"/>
        </w:rPr>
        <w:t xml:space="preserve">on:  32   gain: 1.423e-05 </w:t>
      </w:r>
      <w:r>
        <w:br/>
      </w:r>
      <w:r>
        <w:rPr>
          <w:rStyle w:val="VerbatimChar"/>
        </w:rPr>
        <w:t xml:space="preserve">## iteration:  33   gain: 3.807e-05 </w:t>
      </w:r>
      <w:r>
        <w:br/>
      </w:r>
      <w:r>
        <w:rPr>
          <w:rStyle w:val="VerbatimChar"/>
        </w:rPr>
        <w:t xml:space="preserve">## iteration:  34   gain: 4.561e-05 </w:t>
      </w:r>
      <w:r>
        <w:br/>
      </w:r>
      <w:r>
        <w:rPr>
          <w:rStyle w:val="VerbatimChar"/>
        </w:rPr>
        <w:t xml:space="preserve">## iteration:  35   gain: 2.684e-05 </w:t>
      </w:r>
      <w:r>
        <w:br/>
      </w:r>
      <w:r>
        <w:rPr>
          <w:rStyle w:val="VerbatimChar"/>
        </w:rPr>
        <w:t xml:space="preserve">## iteration:  36   gain: 4.087e-06 </w:t>
      </w:r>
      <w:r>
        <w:br/>
      </w:r>
      <w:r>
        <w:rPr>
          <w:rStyle w:val="VerbatimChar"/>
        </w:rPr>
        <w:t xml:space="preserve">## iteration:  37   gain: 9.417e-06 </w:t>
      </w:r>
      <w:r>
        <w:br/>
      </w:r>
      <w:r>
        <w:rPr>
          <w:rStyle w:val="VerbatimChar"/>
        </w:rPr>
        <w:t xml:space="preserve">## iteration:  38   gain: 1.157e-05 </w:t>
      </w:r>
      <w:r>
        <w:br/>
      </w:r>
      <w:r>
        <w:rPr>
          <w:rStyle w:val="VerbatimChar"/>
        </w:rPr>
        <w:t xml:space="preserve">## iteration:  39   gain: 6.934e-06 </w:t>
      </w:r>
      <w:r>
        <w:br/>
      </w:r>
      <w:r>
        <w:rPr>
          <w:rStyle w:val="VerbatimChar"/>
        </w:rPr>
        <w:t xml:space="preserve">## iteration:  40   gain: 1.161e-06 </w:t>
      </w:r>
      <w:r>
        <w:br/>
      </w:r>
      <w:r>
        <w:rPr>
          <w:rStyle w:val="VerbatimChar"/>
        </w:rPr>
        <w:t xml:space="preserve">## iteration:  41   gain: 2.328e-06 </w:t>
      </w:r>
      <w:r>
        <w:br/>
      </w:r>
      <w:r>
        <w:rPr>
          <w:rStyle w:val="VerbatimChar"/>
        </w:rPr>
        <w:t xml:space="preserve">## iteration:  42   gain: 2.936e-06 </w:t>
      </w:r>
      <w:r>
        <w:br/>
      </w:r>
      <w:r>
        <w:rPr>
          <w:rStyle w:val="VerbatimChar"/>
        </w:rPr>
        <w:t xml:space="preserve">## iteration:  43   gain: 1.791e-06 </w:t>
      </w:r>
      <w:r>
        <w:br/>
      </w:r>
      <w:r>
        <w:rPr>
          <w:rStyle w:val="VerbatimChar"/>
        </w:rPr>
        <w:t xml:space="preserve">## iteration:  44   gain: 3.262e-07 </w:t>
      </w:r>
      <w:r>
        <w:br/>
      </w:r>
      <w:r>
        <w:rPr>
          <w:rStyle w:val="VerbatimChar"/>
        </w:rPr>
        <w:t>## iteration:  45   gain: 5.743e-0</w:t>
      </w:r>
      <w:r>
        <w:rPr>
          <w:rStyle w:val="VerbatimChar"/>
        </w:rPr>
        <w:t xml:space="preserve">7 </w:t>
      </w:r>
      <w:r>
        <w:br/>
      </w:r>
      <w:r>
        <w:rPr>
          <w:rStyle w:val="VerbatimChar"/>
        </w:rPr>
        <w:t xml:space="preserve">## iteration:  46   gain: 7.446e-07 </w:t>
      </w:r>
      <w:r>
        <w:br/>
      </w:r>
      <w:r>
        <w:rPr>
          <w:rStyle w:val="VerbatimChar"/>
        </w:rPr>
        <w:t xml:space="preserve">## iteration:  47   gain: 4.621e-07 </w:t>
      </w:r>
      <w:r>
        <w:br/>
      </w:r>
      <w:r>
        <w:rPr>
          <w:rStyle w:val="VerbatimChar"/>
        </w:rPr>
        <w:t xml:space="preserve">## iteration:  48   gain: 9.089e-08 </w:t>
      </w:r>
      <w:r>
        <w:br/>
      </w:r>
      <w:r>
        <w:rPr>
          <w:rStyle w:val="VerbatimChar"/>
        </w:rPr>
        <w:t xml:space="preserve">## iteration:  49   gain: 1.414e-07 </w:t>
      </w:r>
      <w:r>
        <w:br/>
      </w:r>
      <w:r>
        <w:rPr>
          <w:rStyle w:val="VerbatimChar"/>
        </w:rPr>
        <w:t xml:space="preserve">## iteration:  50   gain: 1.887e-07 </w:t>
      </w:r>
      <w:r>
        <w:br/>
      </w:r>
      <w:r>
        <w:rPr>
          <w:rStyle w:val="VerbatimChar"/>
        </w:rPr>
        <w:t xml:space="preserve">## iteration:  51   gain: 1.192e-07 </w:t>
      </w:r>
      <w:r>
        <w:br/>
      </w:r>
      <w:r>
        <w:rPr>
          <w:rStyle w:val="VerbatimChar"/>
        </w:rPr>
        <w:t>## iteration:  52   gain: 2.515</w:t>
      </w:r>
      <w:r>
        <w:rPr>
          <w:rStyle w:val="VerbatimChar"/>
        </w:rPr>
        <w:t xml:space="preserve">e-08 </w:t>
      </w:r>
      <w:r>
        <w:br/>
      </w:r>
      <w:r>
        <w:rPr>
          <w:rStyle w:val="VerbatimChar"/>
        </w:rPr>
        <w:t xml:space="preserve">## iteration:  53   gain: 3.477e-08 </w:t>
      </w:r>
      <w:r>
        <w:br/>
      </w:r>
      <w:r>
        <w:rPr>
          <w:rStyle w:val="VerbatimChar"/>
        </w:rPr>
        <w:t xml:space="preserve">## iteration:  54   gain: 4.781e-08 </w:t>
      </w:r>
      <w:r>
        <w:br/>
      </w:r>
      <w:r>
        <w:rPr>
          <w:rStyle w:val="VerbatimChar"/>
        </w:rPr>
        <w:t xml:space="preserve">## iteration:  55   gain: 3.073e-08 </w:t>
      </w:r>
      <w:r>
        <w:br/>
      </w:r>
      <w:r>
        <w:rPr>
          <w:rStyle w:val="VerbatimChar"/>
        </w:rPr>
        <w:t xml:space="preserve">## iteration:  56   gain: 6.912e-09 </w:t>
      </w:r>
      <w:r>
        <w:br/>
      </w:r>
      <w:r>
        <w:rPr>
          <w:rStyle w:val="VerbatimChar"/>
        </w:rPr>
        <w:t xml:space="preserve">## iteration:  57   gain: 8.527e-09 </w:t>
      </w:r>
      <w:r>
        <w:br/>
      </w:r>
      <w:r>
        <w:rPr>
          <w:rStyle w:val="VerbatimChar"/>
        </w:rPr>
        <w:t xml:space="preserve">## iteration:  58   gain: 1.21e-08 </w:t>
      </w:r>
      <w:r>
        <w:br/>
      </w:r>
      <w:r>
        <w:rPr>
          <w:rStyle w:val="VerbatimChar"/>
        </w:rPr>
        <w:t>## iteration:  59   gain: 7.9</w:t>
      </w:r>
      <w:r>
        <w:rPr>
          <w:rStyle w:val="VerbatimChar"/>
        </w:rPr>
        <w:t xml:space="preserve">23e-09 </w:t>
      </w:r>
      <w:r>
        <w:br/>
      </w:r>
      <w:r>
        <w:rPr>
          <w:rStyle w:val="VerbatimChar"/>
        </w:rPr>
        <w:t xml:space="preserve">## iteration:  60   gain: 1.892e-09 </w:t>
      </w:r>
      <w:r>
        <w:br/>
      </w:r>
      <w:r>
        <w:rPr>
          <w:rStyle w:val="VerbatimChar"/>
        </w:rPr>
        <w:t xml:space="preserve">## iteration:  61   gain: 2.088e-09 </w:t>
      </w:r>
      <w:r>
        <w:br/>
      </w:r>
      <w:r>
        <w:rPr>
          <w:rStyle w:val="VerbatimChar"/>
        </w:rPr>
        <w:t xml:space="preserve">## iteration:  62   gain: 3.063e-09 </w:t>
      </w:r>
      <w:r>
        <w:br/>
      </w:r>
      <w:r>
        <w:rPr>
          <w:rStyle w:val="VerbatimChar"/>
        </w:rPr>
        <w:t xml:space="preserve">## iteration:  63   gain: 2.041e-09 </w:t>
      </w:r>
      <w:r>
        <w:br/>
      </w:r>
      <w:r>
        <w:rPr>
          <w:rStyle w:val="VerbatimChar"/>
        </w:rPr>
        <w:t xml:space="preserve">## iteration:  64   gain: 5.166e-10 </w:t>
      </w:r>
      <w:r>
        <w:br/>
      </w:r>
      <w:r>
        <w:rPr>
          <w:rStyle w:val="VerbatimChar"/>
        </w:rPr>
        <w:t xml:space="preserve">## iteration:  65   gain: 5.093e-10 </w:t>
      </w:r>
      <w:r>
        <w:br/>
      </w:r>
      <w:r>
        <w:rPr>
          <w:rStyle w:val="VerbatimChar"/>
        </w:rPr>
        <w:lastRenderedPageBreak/>
        <w:t xml:space="preserve">## iteration:  66   gain: </w:t>
      </w:r>
      <w:r>
        <w:rPr>
          <w:rStyle w:val="VerbatimChar"/>
        </w:rPr>
        <w:t xml:space="preserve">7.785e-10 </w:t>
      </w:r>
      <w:r>
        <w:br/>
      </w:r>
      <w:r>
        <w:rPr>
          <w:rStyle w:val="VerbatimChar"/>
        </w:rPr>
        <w:t xml:space="preserve">## iteration:  67   gain: 5.239e-10 </w:t>
      </w:r>
      <w:r>
        <w:br/>
      </w:r>
      <w:r>
        <w:rPr>
          <w:rStyle w:val="VerbatimChar"/>
        </w:rPr>
        <w:t xml:space="preserve">## iteration:  68   gain: 1.382e-10 </w:t>
      </w:r>
      <w:r>
        <w:br/>
      </w:r>
      <w:r>
        <w:rPr>
          <w:rStyle w:val="VerbatimChar"/>
        </w:rPr>
        <w:t xml:space="preserve">## iteration:  69   gain: 1.237e-10 </w:t>
      </w:r>
      <w:r>
        <w:br/>
      </w:r>
      <w:r>
        <w:rPr>
          <w:rStyle w:val="VerbatimChar"/>
        </w:rPr>
        <w:t xml:space="preserve">## iteration:  70   gain: 1.928e-10 </w:t>
      </w:r>
      <w:r>
        <w:br/>
      </w:r>
      <w:r>
        <w:rPr>
          <w:rStyle w:val="VerbatimChar"/>
        </w:rPr>
        <w:t xml:space="preserve">## iteration:  71   gain: 1.346e-10 </w:t>
      </w:r>
      <w:r>
        <w:br/>
      </w:r>
      <w:r>
        <w:rPr>
          <w:rStyle w:val="VerbatimChar"/>
        </w:rPr>
        <w:t>## iteration:  72   gain: 4.002e-11</w:t>
      </w:r>
    </w:p>
    <w:p w:rsidR="00B25BD7" w:rsidRDefault="00BB5350">
      <w:pPr>
        <w:pStyle w:val="Heading2"/>
      </w:pPr>
      <w:bookmarkStart w:id="5" w:name="by-source"/>
      <w:bookmarkEnd w:id="5"/>
      <w:r>
        <w:t>By Source</w:t>
      </w:r>
    </w:p>
    <w:p w:rsidR="00BB5350" w:rsidRDefault="00BB5350">
      <w:pPr>
        <w:pStyle w:val="SourceCode"/>
        <w:rPr>
          <w:rStyle w:val="KeywordTok1"/>
        </w:rPr>
      </w:pPr>
    </w:p>
    <w:p w:rsidR="00B25BD7" w:rsidRDefault="00BB5350">
      <w:pPr>
        <w:pStyle w:val="SourceCode"/>
      </w:pPr>
      <w:proofErr w:type="gramStart"/>
      <w:r>
        <w:rPr>
          <w:rStyle w:val="KeywordTok1"/>
        </w:rPr>
        <w:t>plot</w:t>
      </w:r>
      <w:proofErr w:type="gramEnd"/>
      <w:r>
        <w:rPr>
          <w:rStyle w:val="NormalTok1"/>
        </w:rPr>
        <w:t>(</w:t>
      </w:r>
      <w:r>
        <w:rPr>
          <w:rStyle w:val="KeywordTok1"/>
        </w:rPr>
        <w:t>PCA</w:t>
      </w:r>
      <w:r>
        <w:rPr>
          <w:rStyle w:val="NormalTok1"/>
        </w:rPr>
        <w:t>(</w:t>
      </w:r>
      <w:proofErr w:type="spellStart"/>
      <w:r>
        <w:rPr>
          <w:rStyle w:val="NormalTok1"/>
        </w:rPr>
        <w:t>RapaF</w:t>
      </w:r>
      <w:proofErr w:type="spellEnd"/>
      <w:r>
        <w:rPr>
          <w:rStyle w:val="NormalTok1"/>
        </w:rPr>
        <w:t xml:space="preserve">), </w:t>
      </w:r>
      <w:r>
        <w:rPr>
          <w:rStyle w:val="StringTok1"/>
        </w:rPr>
        <w:t>"Source"</w:t>
      </w:r>
      <w:r>
        <w:rPr>
          <w:rStyle w:val="NormalTok1"/>
        </w:rPr>
        <w:t>)</w:t>
      </w:r>
    </w:p>
    <w:p w:rsidR="00B25BD7" w:rsidRDefault="00B25BD7"/>
    <w:p w:rsidR="00B25BD7" w:rsidRDefault="00BB5350">
      <w:pPr>
        <w:pStyle w:val="SourceCode"/>
      </w:pPr>
      <w:r>
        <w:rPr>
          <w:rStyle w:val="KeywordTok1"/>
        </w:rPr>
        <w:t>plot</w:t>
      </w:r>
      <w:r>
        <w:rPr>
          <w:rStyle w:val="NormalTok1"/>
        </w:rPr>
        <w:t>(</w:t>
      </w:r>
      <w:r>
        <w:rPr>
          <w:rStyle w:val="KeywordTok1"/>
        </w:rPr>
        <w:t>PCA</w:t>
      </w:r>
      <w:r>
        <w:rPr>
          <w:rStyle w:val="NormalTok1"/>
        </w:rPr>
        <w:t xml:space="preserve">(RapaFP), </w:t>
      </w:r>
      <w:r>
        <w:rPr>
          <w:rStyle w:val="StringTok1"/>
        </w:rPr>
        <w:t>"Source"</w:t>
      </w:r>
      <w:r>
        <w:rPr>
          <w:rStyle w:val="NormalTok1"/>
        </w:rPr>
        <w:t xml:space="preserve">) </w:t>
      </w:r>
      <w:r>
        <w:rPr>
          <w:rStyle w:val="CommentTok1"/>
        </w:rPr>
        <w:t># Procrustes aligned (normalization of the outlines)</w:t>
      </w:r>
    </w:p>
    <w:p w:rsidR="00B25BD7" w:rsidRDefault="00B25BD7"/>
    <w:p w:rsidR="00B25BD7" w:rsidRDefault="00BB5350">
      <w:pPr>
        <w:pStyle w:val="Heading2"/>
      </w:pPr>
      <w:bookmarkStart w:id="6" w:name="by-site"/>
      <w:bookmarkEnd w:id="6"/>
      <w:r>
        <w:t>By Site</w:t>
      </w:r>
    </w:p>
    <w:p w:rsidR="00B25BD7" w:rsidRDefault="00BB5350">
      <w:pPr>
        <w:pStyle w:val="SourceCode"/>
      </w:pPr>
      <w:r>
        <w:rPr>
          <w:rStyle w:val="KeywordTok1"/>
        </w:rPr>
        <w:t>plot</w:t>
      </w:r>
      <w:r>
        <w:rPr>
          <w:rStyle w:val="NormalTok1"/>
        </w:rPr>
        <w:t>(</w:t>
      </w:r>
      <w:r>
        <w:rPr>
          <w:rStyle w:val="KeywordTok1"/>
        </w:rPr>
        <w:t>PCA</w:t>
      </w:r>
      <w:r>
        <w:rPr>
          <w:rStyle w:val="NormalTok1"/>
        </w:rPr>
        <w:t xml:space="preserve">(RapaF), </w:t>
      </w:r>
      <w:r>
        <w:rPr>
          <w:rStyle w:val="StringTok1"/>
        </w:rPr>
        <w:t>"Site"</w:t>
      </w:r>
      <w:r>
        <w:rPr>
          <w:rStyle w:val="NormalTok1"/>
        </w:rPr>
        <w:t xml:space="preserve">) </w:t>
      </w:r>
      <w:r>
        <w:rPr>
          <w:rStyle w:val="CommentTok1"/>
        </w:rPr>
        <w:t># regular EFT with normalized coefficients</w:t>
      </w:r>
    </w:p>
    <w:p w:rsidR="00B25BD7" w:rsidRDefault="00B25BD7"/>
    <w:p w:rsidR="00B25BD7" w:rsidRDefault="00BB5350">
      <w:pPr>
        <w:pStyle w:val="SourceCode"/>
      </w:pPr>
      <w:r>
        <w:rPr>
          <w:rStyle w:val="KeywordTok1"/>
        </w:rPr>
        <w:t>plot</w:t>
      </w:r>
      <w:r>
        <w:rPr>
          <w:rStyle w:val="NormalTok1"/>
        </w:rPr>
        <w:t>(</w:t>
      </w:r>
      <w:r>
        <w:rPr>
          <w:rStyle w:val="KeywordTok1"/>
        </w:rPr>
        <w:t>PCA</w:t>
      </w:r>
      <w:r>
        <w:rPr>
          <w:rStyle w:val="NormalTok1"/>
        </w:rPr>
        <w:t xml:space="preserve">(RapaFP), </w:t>
      </w:r>
      <w:r>
        <w:rPr>
          <w:rStyle w:val="StringTok1"/>
        </w:rPr>
        <w:t>"Site"</w:t>
      </w:r>
      <w:r>
        <w:rPr>
          <w:rStyle w:val="NormalTok1"/>
        </w:rPr>
        <w:t xml:space="preserve">) </w:t>
      </w:r>
      <w:r>
        <w:rPr>
          <w:rStyle w:val="CommentTok1"/>
        </w:rPr>
        <w:t># Procrustes aligned (normalization of the outlines)</w:t>
      </w:r>
    </w:p>
    <w:p w:rsidR="00B25BD7" w:rsidRDefault="00B25BD7"/>
    <w:p w:rsidR="00B25BD7" w:rsidRDefault="00BB5350">
      <w:r>
        <w:t>Some embedded plots.</w:t>
      </w:r>
    </w:p>
    <w:p w:rsidR="00B25BD7" w:rsidRDefault="00BB5350">
      <w:pPr>
        <w:pStyle w:val="SourceCode"/>
      </w:pPr>
      <w:r>
        <w:rPr>
          <w:rStyle w:val="KeywordTok1"/>
        </w:rPr>
        <w:t>plot</w:t>
      </w:r>
      <w:r>
        <w:rPr>
          <w:rStyle w:val="NormalTok1"/>
        </w:rPr>
        <w:t>(</w:t>
      </w:r>
      <w:r>
        <w:rPr>
          <w:rStyle w:val="KeywordTok1"/>
        </w:rPr>
        <w:t>PCA</w:t>
      </w:r>
      <w:r>
        <w:rPr>
          <w:rStyle w:val="NormalTok1"/>
        </w:rPr>
        <w:t xml:space="preserve">(RapaFP), </w:t>
      </w:r>
      <w:r>
        <w:rPr>
          <w:rStyle w:val="StringTok1"/>
        </w:rPr>
        <w:t>"Site"</w:t>
      </w:r>
      <w:r>
        <w:rPr>
          <w:rStyle w:val="NormalTok1"/>
        </w:rPr>
        <w:t xml:space="preserve">) </w:t>
      </w:r>
      <w:r>
        <w:rPr>
          <w:rStyle w:val="CommentTok1"/>
        </w:rPr>
        <w:t># Procrustes aligned (normalization of the outlines)</w:t>
      </w:r>
    </w:p>
    <w:p w:rsidR="00B25BD7" w:rsidRDefault="00B25BD7"/>
    <w:p w:rsidR="00B25BD7" w:rsidRDefault="00BB5350">
      <w:pPr>
        <w:pStyle w:val="Heading1"/>
      </w:pPr>
      <w:bookmarkStart w:id="7" w:name="references-cited"/>
      <w:bookmarkEnd w:id="7"/>
      <w:r>
        <w:t>References Cited</w:t>
      </w:r>
    </w:p>
    <w:p w:rsidR="00B25BD7" w:rsidRDefault="00BB5350">
      <w:pPr>
        <w:pStyle w:val="Bibliography"/>
      </w:pPr>
      <w:r>
        <w:rPr>
          <w:smallCaps/>
        </w:rPr>
        <w:t>Araho</w:t>
      </w:r>
      <w:r>
        <w:t xml:space="preserve">, N. 1997. </w:t>
      </w:r>
      <w:r>
        <w:rPr>
          <w:i/>
        </w:rPr>
        <w:t>Obsidian stemmed tools from west new britain, papua new guinea</w:t>
      </w:r>
      <w:r>
        <w:t>. University of Sydney.</w:t>
      </w:r>
    </w:p>
    <w:p w:rsidR="00B25BD7" w:rsidRDefault="00BB5350">
      <w:pPr>
        <w:pStyle w:val="Bibliography"/>
      </w:pPr>
      <w:r>
        <w:rPr>
          <w:smallCaps/>
        </w:rPr>
        <w:t>Bahn</w:t>
      </w:r>
      <w:r>
        <w:t xml:space="preserve">, P. &amp; J. </w:t>
      </w:r>
      <w:r>
        <w:rPr>
          <w:smallCaps/>
        </w:rPr>
        <w:t>Flenley</w:t>
      </w:r>
      <w:r>
        <w:t xml:space="preserve">. 1992. </w:t>
      </w:r>
      <w:r>
        <w:rPr>
          <w:i/>
        </w:rPr>
        <w:t xml:space="preserve">Easter </w:t>
      </w:r>
      <w:r>
        <w:rPr>
          <w:i/>
        </w:rPr>
        <w:t>island, earth island</w:t>
      </w:r>
      <w:r>
        <w:t>. London: Thames; Hudson.</w:t>
      </w:r>
    </w:p>
    <w:p w:rsidR="00B25BD7" w:rsidRDefault="00BB5350">
      <w:pPr>
        <w:pStyle w:val="Bibliography"/>
      </w:pPr>
      <w:r>
        <w:rPr>
          <w:smallCaps/>
        </w:rPr>
        <w:t>Balfour</w:t>
      </w:r>
      <w:r>
        <w:t xml:space="preserve">, H. 1917. Some ethnological suggestions in regard to easter island, or rapanui </w:t>
      </w:r>
      <w:r>
        <w:rPr>
          <w:i/>
        </w:rPr>
        <w:t>Folklore</w:t>
      </w:r>
      <w:r>
        <w:t xml:space="preserve"> 28: 356–81.</w:t>
      </w:r>
    </w:p>
    <w:p w:rsidR="00B25BD7" w:rsidRDefault="00BB5350">
      <w:pPr>
        <w:pStyle w:val="Bibliography"/>
      </w:pPr>
      <w:r>
        <w:rPr>
          <w:smallCaps/>
        </w:rPr>
        <w:t>Bollt</w:t>
      </w:r>
      <w:r>
        <w:t xml:space="preserve">, R., J.E. </w:t>
      </w:r>
      <w:r>
        <w:rPr>
          <w:smallCaps/>
        </w:rPr>
        <w:t>Clark</w:t>
      </w:r>
      <w:r>
        <w:t xml:space="preserve">., P.R. </w:t>
      </w:r>
      <w:r>
        <w:rPr>
          <w:smallCaps/>
        </w:rPr>
        <w:t>Fisher</w:t>
      </w:r>
      <w:r>
        <w:t xml:space="preserve">. &amp; H.K. </w:t>
      </w:r>
      <w:r>
        <w:rPr>
          <w:smallCaps/>
        </w:rPr>
        <w:t>Yoshida</w:t>
      </w:r>
      <w:r>
        <w:t>. 2006. An experiment in the replication and classi</w:t>
      </w:r>
      <w:r>
        <w:t xml:space="preserve">fication of easter island mata’a </w:t>
      </w:r>
      <w:r>
        <w:rPr>
          <w:i/>
        </w:rPr>
        <w:t>Rapa nui journal</w:t>
      </w:r>
      <w:r>
        <w:t xml:space="preserve"> 20: 125–33.</w:t>
      </w:r>
    </w:p>
    <w:p w:rsidR="00B25BD7" w:rsidRDefault="00BB5350">
      <w:pPr>
        <w:pStyle w:val="Bibliography"/>
      </w:pPr>
      <w:r>
        <w:rPr>
          <w:smallCaps/>
        </w:rPr>
        <w:t>Bonhomme</w:t>
      </w:r>
      <w:r>
        <w:t xml:space="preserve">, V., S. </w:t>
      </w:r>
      <w:r>
        <w:rPr>
          <w:smallCaps/>
        </w:rPr>
        <w:t>Picq</w:t>
      </w:r>
      <w:r>
        <w:t xml:space="preserve">., C. </w:t>
      </w:r>
      <w:r>
        <w:rPr>
          <w:smallCaps/>
        </w:rPr>
        <w:t>Gaucherel</w:t>
      </w:r>
      <w:r>
        <w:t xml:space="preserve">. &amp; J. </w:t>
      </w:r>
      <w:r>
        <w:rPr>
          <w:smallCaps/>
        </w:rPr>
        <w:t>Claude</w:t>
      </w:r>
      <w:r>
        <w:t xml:space="preserve">. 2013. Momocs: Outline analysis using r </w:t>
      </w:r>
      <w:r>
        <w:rPr>
          <w:i/>
        </w:rPr>
        <w:t>Journal of Statistical Software</w:t>
      </w:r>
      <w:r>
        <w:t xml:space="preserve"> 56: 1–24. </w:t>
      </w:r>
      <w:hyperlink r:id="rId12">
        <w:r>
          <w:rPr>
            <w:rStyle w:val="Link"/>
          </w:rPr>
          <w:t>http://www.jstatsoft.org/v56/i13/paper</w:t>
        </w:r>
      </w:hyperlink>
      <w:r>
        <w:t>.</w:t>
      </w:r>
    </w:p>
    <w:p w:rsidR="00B25BD7" w:rsidRDefault="00BB5350">
      <w:pPr>
        <w:pStyle w:val="Bibliography"/>
      </w:pPr>
      <w:r>
        <w:rPr>
          <w:smallCaps/>
        </w:rPr>
        <w:lastRenderedPageBreak/>
        <w:t>Bookstein</w:t>
      </w:r>
      <w:r>
        <w:t xml:space="preserve">, F.L. 1982. Foundations of morphometrics </w:t>
      </w:r>
      <w:r>
        <w:rPr>
          <w:i/>
        </w:rPr>
        <w:t>Annual Review of Ecology and Systematics</w:t>
      </w:r>
      <w:r>
        <w:t xml:space="preserve">, 451–70. </w:t>
      </w:r>
      <w:hyperlink r:id="rId13">
        <w:r>
          <w:rPr>
            <w:rStyle w:val="Link"/>
          </w:rPr>
          <w:t>http://</w:t>
        </w:r>
        <w:r>
          <w:rPr>
            <w:rStyle w:val="Link"/>
          </w:rPr>
          <w:t>www.filogenetica.org/cursos/deluna/morfometria/referencias en pdf/Bookstein82.pdf</w:t>
        </w:r>
      </w:hyperlink>
      <w:r>
        <w:t>.</w:t>
      </w:r>
    </w:p>
    <w:p w:rsidR="00B25BD7" w:rsidRDefault="00BB5350">
      <w:pPr>
        <w:pStyle w:val="Bibliography"/>
      </w:pPr>
      <w:r>
        <w:t xml:space="preserve">— 1997. Landmark methods for forms without landmarks: Morphometrics of group differences in outline shape </w:t>
      </w:r>
      <w:r>
        <w:rPr>
          <w:i/>
        </w:rPr>
        <w:t>Medical image analysis</w:t>
      </w:r>
      <w:r>
        <w:t xml:space="preserve"> 1: 225–43. </w:t>
      </w:r>
      <w:hyperlink r:id="rId14">
        <w:r>
          <w:rPr>
            <w:rStyle w:val="Link"/>
          </w:rPr>
          <w:t>http://femininebeauty.info/i/bookstein.sliding.pdf</w:t>
        </w:r>
      </w:hyperlink>
      <w:r>
        <w:t>.</w:t>
      </w:r>
    </w:p>
    <w:p w:rsidR="00B25BD7" w:rsidRDefault="00BB5350">
      <w:pPr>
        <w:pStyle w:val="Bibliography"/>
      </w:pPr>
      <w:r>
        <w:rPr>
          <w:smallCaps/>
        </w:rPr>
        <w:t>Bookstein</w:t>
      </w:r>
      <w:r>
        <w:t xml:space="preserve">, F.L., B. </w:t>
      </w:r>
      <w:r>
        <w:rPr>
          <w:smallCaps/>
        </w:rPr>
        <w:t>Chernoff</w:t>
      </w:r>
      <w:r>
        <w:t xml:space="preserve">., R.L. </w:t>
      </w:r>
      <w:r>
        <w:rPr>
          <w:smallCaps/>
        </w:rPr>
        <w:t>Elder</w:t>
      </w:r>
      <w:r>
        <w:t xml:space="preserve">., J. </w:t>
      </w:r>
      <w:r>
        <w:rPr>
          <w:smallCaps/>
        </w:rPr>
        <w:t>Humphries</w:t>
      </w:r>
      <w:r>
        <w:t xml:space="preserve">., G.R. </w:t>
      </w:r>
      <w:r>
        <w:rPr>
          <w:smallCaps/>
        </w:rPr>
        <w:t>Smith</w:t>
      </w:r>
      <w:r>
        <w:t xml:space="preserve">. &amp; R.E. </w:t>
      </w:r>
      <w:r>
        <w:rPr>
          <w:smallCaps/>
        </w:rPr>
        <w:t>Strauss</w:t>
      </w:r>
      <w:r>
        <w:t xml:space="preserve">. 1985. </w:t>
      </w:r>
      <w:r>
        <w:rPr>
          <w:i/>
        </w:rPr>
        <w:t>Morphometrics in evolutionary biology: The geometry of size and shape change, with examples from fishes</w:t>
      </w:r>
      <w:r>
        <w:t>. Academy of Natural Sciences of Philadelphia Philadelphia.</w:t>
      </w:r>
    </w:p>
    <w:p w:rsidR="00B25BD7" w:rsidRDefault="00BB5350">
      <w:pPr>
        <w:pStyle w:val="Bibliography"/>
      </w:pPr>
      <w:r>
        <w:rPr>
          <w:smallCaps/>
        </w:rPr>
        <w:t>Bork</w:t>
      </w:r>
      <w:r>
        <w:t xml:space="preserve">, H.-R., A. </w:t>
      </w:r>
      <w:r>
        <w:rPr>
          <w:smallCaps/>
        </w:rPr>
        <w:t>Mieth</w:t>
      </w:r>
      <w:r>
        <w:t xml:space="preserve">. &amp; B. </w:t>
      </w:r>
      <w:r>
        <w:rPr>
          <w:smallCaps/>
        </w:rPr>
        <w:t>Tschochner</w:t>
      </w:r>
      <w:r>
        <w:t xml:space="preserve">. 2004. Nothing but stones? A review of the extent and </w:t>
      </w:r>
      <w:r>
        <w:t xml:space="preserve">technical efforts of prehistoric stone mulching on rapa nui </w:t>
      </w:r>
      <w:r>
        <w:rPr>
          <w:i/>
        </w:rPr>
        <w:t>Rapa nui journal</w:t>
      </w:r>
      <w:r>
        <w:t xml:space="preserve"> 18: 10–14.</w:t>
      </w:r>
    </w:p>
    <w:p w:rsidR="00B25BD7" w:rsidRDefault="00BB5350">
      <w:pPr>
        <w:pStyle w:val="Bibliography"/>
      </w:pPr>
      <w:r>
        <w:rPr>
          <w:smallCaps/>
        </w:rPr>
        <w:t>Church</w:t>
      </w:r>
      <w:r>
        <w:t xml:space="preserve">, F. &amp; G. </w:t>
      </w:r>
      <w:r>
        <w:rPr>
          <w:smallCaps/>
        </w:rPr>
        <w:t>Ellis</w:t>
      </w:r>
      <w:r>
        <w:t xml:space="preserve">. 1996. A use-wear analysis of obsidian tools from an ana kionga </w:t>
      </w:r>
      <w:r>
        <w:rPr>
          <w:i/>
        </w:rPr>
        <w:t>Rapa nui journal</w:t>
      </w:r>
      <w:r>
        <w:t xml:space="preserve"> 10: 81–88.</w:t>
      </w:r>
    </w:p>
    <w:p w:rsidR="00B25BD7" w:rsidRDefault="00BB5350">
      <w:pPr>
        <w:pStyle w:val="Bibliography"/>
      </w:pPr>
      <w:r>
        <w:rPr>
          <w:smallCaps/>
        </w:rPr>
        <w:t>Church</w:t>
      </w:r>
      <w:r>
        <w:t xml:space="preserve">, F. &amp; J. </w:t>
      </w:r>
      <w:r>
        <w:rPr>
          <w:smallCaps/>
        </w:rPr>
        <w:t>Rigney</w:t>
      </w:r>
      <w:r>
        <w:t xml:space="preserve">. 1994. A microwear analysis of </w:t>
      </w:r>
      <w:r>
        <w:t xml:space="preserve">tools from site 10-241, easter island–An inland processing site </w:t>
      </w:r>
      <w:r>
        <w:rPr>
          <w:i/>
        </w:rPr>
        <w:t>Rapa nui journal</w:t>
      </w:r>
      <w:r>
        <w:t xml:space="preserve"> 8: 101–5.</w:t>
      </w:r>
    </w:p>
    <w:p w:rsidR="00B25BD7" w:rsidRDefault="00BB5350">
      <w:pPr>
        <w:pStyle w:val="Bibliography"/>
      </w:pPr>
      <w:r>
        <w:rPr>
          <w:smallCaps/>
        </w:rPr>
        <w:t>Diamond</w:t>
      </w:r>
      <w:r>
        <w:t xml:space="preserve">, J. 1995. Easter’s end </w:t>
      </w:r>
      <w:r>
        <w:rPr>
          <w:i/>
        </w:rPr>
        <w:t>Discover</w:t>
      </w:r>
      <w:r>
        <w:t xml:space="preserve"> 9: 62–69.</w:t>
      </w:r>
    </w:p>
    <w:p w:rsidR="00B25BD7" w:rsidRDefault="00BB5350">
      <w:pPr>
        <w:pStyle w:val="Bibliography"/>
      </w:pPr>
      <w:r>
        <w:t xml:space="preserve">— 2005. </w:t>
      </w:r>
      <w:r>
        <w:rPr>
          <w:i/>
        </w:rPr>
        <w:t>Collapse: How societies choose to fail or succeed</w:t>
      </w:r>
      <w:r>
        <w:t>. New York: Viking.</w:t>
      </w:r>
    </w:p>
    <w:p w:rsidR="00B25BD7" w:rsidRDefault="00BB5350">
      <w:pPr>
        <w:pStyle w:val="Bibliography"/>
      </w:pPr>
      <w:r>
        <w:rPr>
          <w:smallCaps/>
        </w:rPr>
        <w:t>Dunnell</w:t>
      </w:r>
      <w:r>
        <w:t>, R.C. 1986. Methodological iss</w:t>
      </w:r>
      <w:r>
        <w:t xml:space="preserve">ues in americanist artifact classification </w:t>
      </w:r>
      <w:r>
        <w:rPr>
          <w:i/>
        </w:rPr>
        <w:t>Advances in archaeological method and theory</w:t>
      </w:r>
      <w:r>
        <w:t xml:space="preserve"> 9: 149–207.</w:t>
      </w:r>
    </w:p>
    <w:p w:rsidR="00B25BD7" w:rsidRDefault="00BB5350">
      <w:pPr>
        <w:pStyle w:val="Bibliography"/>
      </w:pPr>
      <w:r>
        <w:rPr>
          <w:smallCaps/>
        </w:rPr>
        <w:t>Flenley</w:t>
      </w:r>
      <w:r>
        <w:t xml:space="preserve">, J. &amp; P.G. </w:t>
      </w:r>
      <w:r>
        <w:rPr>
          <w:smallCaps/>
        </w:rPr>
        <w:t>Bahn</w:t>
      </w:r>
      <w:r>
        <w:t xml:space="preserve">. 2003. </w:t>
      </w:r>
      <w:r>
        <w:rPr>
          <w:i/>
        </w:rPr>
        <w:t>The enigmas of easter island: Island on the edge</w:t>
      </w:r>
      <w:r>
        <w:t>. Oxford ; New York: Oxford University Press.</w:t>
      </w:r>
    </w:p>
    <w:p w:rsidR="00B25BD7" w:rsidRDefault="00BB5350">
      <w:pPr>
        <w:pStyle w:val="Bibliography"/>
      </w:pPr>
      <w:r>
        <w:rPr>
          <w:smallCaps/>
        </w:rPr>
        <w:t>Gunz</w:t>
      </w:r>
      <w:r>
        <w:t xml:space="preserve">, P. &amp; P. </w:t>
      </w:r>
      <w:r>
        <w:rPr>
          <w:smallCaps/>
        </w:rPr>
        <w:t>Mitteroecker</w:t>
      </w:r>
      <w:r>
        <w:t>. 201</w:t>
      </w:r>
      <w:r>
        <w:t xml:space="preserve">3. Semilandmarks: A method for quantifying curves and surfaces </w:t>
      </w:r>
      <w:r>
        <w:rPr>
          <w:i/>
        </w:rPr>
        <w:t>Hystrix, the Italian Journal of Mammalogy</w:t>
      </w:r>
      <w:r>
        <w:t xml:space="preserve"> 24: 103–9. </w:t>
      </w:r>
      <w:hyperlink r:id="rId15">
        <w:r>
          <w:rPr>
            <w:rStyle w:val="Link"/>
          </w:rPr>
          <w:t>http://www.italian-journal-of-mammalogy.it/arti</w:t>
        </w:r>
        <w:r>
          <w:rPr>
            <w:rStyle w:val="Link"/>
          </w:rPr>
          <w:t>cle/download/6292/pdf_6292</w:t>
        </w:r>
      </w:hyperlink>
      <w:r>
        <w:t>.</w:t>
      </w:r>
    </w:p>
    <w:p w:rsidR="00B25BD7" w:rsidRDefault="00BB5350">
      <w:pPr>
        <w:pStyle w:val="Bibliography"/>
      </w:pPr>
      <w:r>
        <w:rPr>
          <w:smallCaps/>
        </w:rPr>
        <w:t>Haedo</w:t>
      </w:r>
      <w:r>
        <w:t xml:space="preserve">, F.G. de. &amp; J. </w:t>
      </w:r>
      <w:r>
        <w:rPr>
          <w:smallCaps/>
        </w:rPr>
        <w:t>Roggeveen</w:t>
      </w:r>
      <w:r>
        <w:t xml:space="preserve">. 1908. </w:t>
      </w:r>
      <w:r>
        <w:rPr>
          <w:i/>
        </w:rPr>
        <w:t>The voyage of captain don felipe gonzález: In the ship of the line san lorenzo, with the frigate santa rosalia in company, to easter island in 1770-1</w:t>
      </w:r>
      <w:r>
        <w:t>. Vol. (13). 13. Hakluyt society.</w:t>
      </w:r>
    </w:p>
    <w:p w:rsidR="00B25BD7" w:rsidRDefault="00BB5350">
      <w:pPr>
        <w:pStyle w:val="Bibliography"/>
      </w:pPr>
      <w:r>
        <w:rPr>
          <w:smallCaps/>
        </w:rPr>
        <w:t>Heyerda</w:t>
      </w:r>
      <w:r>
        <w:rPr>
          <w:smallCaps/>
        </w:rPr>
        <w:t>hl</w:t>
      </w:r>
      <w:r>
        <w:t xml:space="preserve">, T. 1989. </w:t>
      </w:r>
      <w:r>
        <w:rPr>
          <w:i/>
        </w:rPr>
        <w:t>Easter island–the mystery solved</w:t>
      </w:r>
      <w:r>
        <w:t>. London: Souvenir Press.</w:t>
      </w:r>
    </w:p>
    <w:p w:rsidR="00B25BD7" w:rsidRDefault="00BB5350">
      <w:pPr>
        <w:pStyle w:val="Bibliography"/>
      </w:pPr>
      <w:r>
        <w:rPr>
          <w:smallCaps/>
        </w:rPr>
        <w:t>Heyerdahl</w:t>
      </w:r>
      <w:r>
        <w:t xml:space="preserve">, T. &amp; E. </w:t>
      </w:r>
      <w:r>
        <w:rPr>
          <w:smallCaps/>
        </w:rPr>
        <w:t>Ferdon</w:t>
      </w:r>
      <w:r>
        <w:t>. 1965. Reports of the norwegian archaeological expedition to easter island and the east pacific 2. London: Allen; Unwin.</w:t>
      </w:r>
    </w:p>
    <w:p w:rsidR="00B25BD7" w:rsidRDefault="00BB5350">
      <w:pPr>
        <w:pStyle w:val="Bibliography"/>
      </w:pPr>
      <w:r>
        <w:rPr>
          <w:smallCaps/>
        </w:rPr>
        <w:t>Hunt</w:t>
      </w:r>
      <w:r>
        <w:t>, T.L. 2007. Rethinking easter isl</w:t>
      </w:r>
      <w:r>
        <w:t xml:space="preserve">and’s ecological catastrophe </w:t>
      </w:r>
      <w:r>
        <w:rPr>
          <w:i/>
        </w:rPr>
        <w:t>Journal of archaeological science</w:t>
      </w:r>
      <w:r>
        <w:t xml:space="preserve"> 34: 485–502.</w:t>
      </w:r>
    </w:p>
    <w:p w:rsidR="00B25BD7" w:rsidRDefault="00BB5350">
      <w:pPr>
        <w:pStyle w:val="Bibliography"/>
      </w:pPr>
      <w:r>
        <w:rPr>
          <w:smallCaps/>
        </w:rPr>
        <w:t>Hunt</w:t>
      </w:r>
      <w:r>
        <w:t xml:space="preserve">, T.L. &amp; C.P. </w:t>
      </w:r>
      <w:r>
        <w:rPr>
          <w:smallCaps/>
        </w:rPr>
        <w:t>Lipo</w:t>
      </w:r>
      <w:r>
        <w:t xml:space="preserve">. 2006. Late colonization of easter island </w:t>
      </w:r>
      <w:r>
        <w:rPr>
          <w:i/>
        </w:rPr>
        <w:t>Science</w:t>
      </w:r>
      <w:r>
        <w:t xml:space="preserve"> 311: 1603–6. </w:t>
      </w:r>
      <w:hyperlink r:id="rId16">
        <w:r>
          <w:rPr>
            <w:rStyle w:val="Link"/>
          </w:rPr>
          <w:t>&lt;Go to ISI&gt;://000236029500044</w:t>
        </w:r>
      </w:hyperlink>
      <w:r>
        <w:t>.</w:t>
      </w:r>
    </w:p>
    <w:p w:rsidR="00B25BD7" w:rsidRDefault="00BB5350">
      <w:pPr>
        <w:pStyle w:val="Bibliography"/>
      </w:pPr>
      <w:r>
        <w:rPr>
          <w:smallCaps/>
        </w:rPr>
        <w:lastRenderedPageBreak/>
        <w:t>Hunt</w:t>
      </w:r>
      <w:r>
        <w:t>, T.L. &amp;</w:t>
      </w:r>
      <w:r>
        <w:t xml:space="preserve"> C.P. </w:t>
      </w:r>
      <w:r>
        <w:rPr>
          <w:smallCaps/>
        </w:rPr>
        <w:t>Lipo</w:t>
      </w:r>
      <w:r>
        <w:t xml:space="preserve">. 2007. Chronology, deforestation, and ‘collapse:’ evidence vs. faith in rapa nui prehistory </w:t>
      </w:r>
      <w:r>
        <w:rPr>
          <w:i/>
        </w:rPr>
        <w:t>Rapa nui journal</w:t>
      </w:r>
      <w:r>
        <w:t xml:space="preserve"> 21: 85–97.</w:t>
      </w:r>
    </w:p>
    <w:p w:rsidR="00B25BD7" w:rsidRDefault="00BB5350">
      <w:pPr>
        <w:pStyle w:val="Bibliography"/>
      </w:pPr>
      <w:r>
        <w:t xml:space="preserve">— 2009a. Revisiting rapa nui (easter island) ‘ecocide’ </w:t>
      </w:r>
      <w:r>
        <w:rPr>
          <w:i/>
        </w:rPr>
        <w:t>Pacific science</w:t>
      </w:r>
      <w:r>
        <w:t xml:space="preserve"> 63: 601–16.</w:t>
      </w:r>
    </w:p>
    <w:p w:rsidR="00B25BD7" w:rsidRDefault="00BB5350">
      <w:pPr>
        <w:pStyle w:val="Bibliography"/>
      </w:pPr>
      <w:r>
        <w:t>— 2009b. Ecological catastrophe, collapse,</w:t>
      </w:r>
      <w:r>
        <w:t xml:space="preserve"> and the myth of `ecocide’on rapa nui (easter island), in P.A. McAnany &amp; N. Yoffee (ed.) </w:t>
      </w:r>
      <w:r>
        <w:rPr>
          <w:i/>
        </w:rPr>
        <w:t>Questioning collapse: Human resilience, ecological vulnerability, and the aftermath of empire</w:t>
      </w:r>
      <w:r>
        <w:t>: 21–44. New York: Cambridge University Press.</w:t>
      </w:r>
    </w:p>
    <w:p w:rsidR="00B25BD7" w:rsidRDefault="00BB5350">
      <w:pPr>
        <w:pStyle w:val="Bibliography"/>
      </w:pPr>
      <w:r>
        <w:t>— 2011a. Easter island’s co</w:t>
      </w:r>
      <w:r>
        <w:t xml:space="preserve">mplex history </w:t>
      </w:r>
      <w:r>
        <w:rPr>
          <w:i/>
        </w:rPr>
        <w:t>Nature</w:t>
      </w:r>
      <w:r>
        <w:t xml:space="preserve"> 479: 41.</w:t>
      </w:r>
    </w:p>
    <w:p w:rsidR="00B25BD7" w:rsidRDefault="00BB5350">
      <w:pPr>
        <w:pStyle w:val="Bibliography"/>
      </w:pPr>
      <w:r>
        <w:rPr>
          <w:smallCaps/>
        </w:rPr>
        <w:t>Hunt</w:t>
      </w:r>
      <w:r>
        <w:t xml:space="preserve">, T.L. &amp; C.P. </w:t>
      </w:r>
      <w:r>
        <w:rPr>
          <w:smallCaps/>
        </w:rPr>
        <w:t>Lipo</w:t>
      </w:r>
      <w:r>
        <w:t xml:space="preserve">. 2011b. </w:t>
      </w:r>
      <w:r>
        <w:rPr>
          <w:i/>
        </w:rPr>
        <w:t>The statues that walked</w:t>
      </w:r>
      <w:r>
        <w:t>.</w:t>
      </w:r>
    </w:p>
    <w:p w:rsidR="00B25BD7" w:rsidRDefault="00BB5350">
      <w:pPr>
        <w:pStyle w:val="Bibliography"/>
      </w:pPr>
      <w:r>
        <w:rPr>
          <w:smallCaps/>
        </w:rPr>
        <w:t>Ladefoged</w:t>
      </w:r>
      <w:r>
        <w:t xml:space="preserve">, T., C. </w:t>
      </w:r>
      <w:r>
        <w:rPr>
          <w:smallCaps/>
        </w:rPr>
        <w:t>Stevenson</w:t>
      </w:r>
      <w:r>
        <w:t xml:space="preserve">., P. </w:t>
      </w:r>
      <w:r>
        <w:rPr>
          <w:smallCaps/>
        </w:rPr>
        <w:t>Vitousek</w:t>
      </w:r>
      <w:r>
        <w:t xml:space="preserve">. &amp; O. </w:t>
      </w:r>
      <w:r>
        <w:rPr>
          <w:smallCaps/>
        </w:rPr>
        <w:t>Chadwick</w:t>
      </w:r>
      <w:r>
        <w:t xml:space="preserve">. 2005. Soil nutrient depletion and the collapse of rapa nui society </w:t>
      </w:r>
      <w:r>
        <w:rPr>
          <w:i/>
        </w:rPr>
        <w:t>Rapa nui journal</w:t>
      </w:r>
      <w:r>
        <w:t xml:space="preserve"> 19: 100–105.</w:t>
      </w:r>
    </w:p>
    <w:p w:rsidR="00B25BD7" w:rsidRDefault="00BB5350">
      <w:pPr>
        <w:pStyle w:val="Bibliography"/>
      </w:pPr>
      <w:r>
        <w:rPr>
          <w:smallCaps/>
        </w:rPr>
        <w:t>Ladefoged</w:t>
      </w:r>
      <w:r>
        <w:t>, T.N.</w:t>
      </w:r>
      <w:r>
        <w:t xml:space="preserve">, A. </w:t>
      </w:r>
      <w:r>
        <w:rPr>
          <w:smallCaps/>
        </w:rPr>
        <w:t>Flaws</w:t>
      </w:r>
      <w:r>
        <w:t xml:space="preserve">. &amp; C.M. </w:t>
      </w:r>
      <w:r>
        <w:rPr>
          <w:smallCaps/>
        </w:rPr>
        <w:t>Stevenson</w:t>
      </w:r>
      <w:r>
        <w:t xml:space="preserve">. 2013. The distribution of rock gardens on rapa nui (easter island) as determined from satellite imagery </w:t>
      </w:r>
      <w:r>
        <w:rPr>
          <w:i/>
        </w:rPr>
        <w:t>Journal of archaeological science</w:t>
      </w:r>
      <w:r>
        <w:t xml:space="preserve"> 40: 1203–12. </w:t>
      </w:r>
      <w:hyperlink r:id="rId17">
        <w:r>
          <w:rPr>
            <w:rStyle w:val="Link"/>
          </w:rPr>
          <w:t>http://ac.els-cdn.com/S0305440312004049/1-s2.0-S0305440312004049-main.pdf?_tid=f191146e-3120-11e3-a2fe-00000aab0f27&amp;acdnat=1381350511_fcbdd8c0c5f</w:t>
        </w:r>
        <w:r>
          <w:rPr>
            <w:rStyle w:val="Link"/>
          </w:rPr>
          <w:t>a27f7cfbeca2d9d9b645e</w:t>
        </w:r>
      </w:hyperlink>
      <w:r>
        <w:t>.</w:t>
      </w:r>
    </w:p>
    <w:p w:rsidR="00B25BD7" w:rsidRDefault="00BB5350">
      <w:pPr>
        <w:pStyle w:val="Bibliography"/>
      </w:pPr>
      <w:r>
        <w:rPr>
          <w:smallCaps/>
        </w:rPr>
        <w:t>Ladefoged</w:t>
      </w:r>
      <w:r>
        <w:t xml:space="preserve">, T.N., C.M. </w:t>
      </w:r>
      <w:r>
        <w:rPr>
          <w:smallCaps/>
        </w:rPr>
        <w:t>Stevenson</w:t>
      </w:r>
      <w:r>
        <w:t xml:space="preserve">., S. </w:t>
      </w:r>
      <w:r>
        <w:rPr>
          <w:smallCaps/>
        </w:rPr>
        <w:t>Haoa</w:t>
      </w:r>
      <w:r>
        <w:t xml:space="preserve">., M. </w:t>
      </w:r>
      <w:r>
        <w:rPr>
          <w:smallCaps/>
        </w:rPr>
        <w:t>Mulrooney</w:t>
      </w:r>
      <w:r>
        <w:t xml:space="preserve">., C. </w:t>
      </w:r>
      <w:r>
        <w:rPr>
          <w:smallCaps/>
        </w:rPr>
        <w:t>Puleston</w:t>
      </w:r>
      <w:r>
        <w:t xml:space="preserve">., P.M. </w:t>
      </w:r>
      <w:r>
        <w:rPr>
          <w:smallCaps/>
        </w:rPr>
        <w:t>Vitousek</w:t>
      </w:r>
      <w:r>
        <w:t xml:space="preserve">. &amp; O.A. </w:t>
      </w:r>
      <w:r>
        <w:rPr>
          <w:smallCaps/>
        </w:rPr>
        <w:t>Chadwick</w:t>
      </w:r>
      <w:r>
        <w:t xml:space="preserve">. 2010. Soil nutrient analysis of rapa nui gardening </w:t>
      </w:r>
      <w:r>
        <w:rPr>
          <w:i/>
        </w:rPr>
        <w:t>Archaeology in oceania</w:t>
      </w:r>
      <w:r>
        <w:t xml:space="preserve"> 45: 80–85. </w:t>
      </w:r>
      <w:hyperlink r:id="rId18">
        <w:r>
          <w:rPr>
            <w:rStyle w:val="Link"/>
          </w:rPr>
          <w:t>http://oceania.metapress.com/index/TQ0202781J021860.pdf</w:t>
        </w:r>
      </w:hyperlink>
      <w:r>
        <w:t>.</w:t>
      </w:r>
    </w:p>
    <w:p w:rsidR="00B25BD7" w:rsidRDefault="00BB5350">
      <w:pPr>
        <w:pStyle w:val="Bibliography"/>
      </w:pPr>
      <w:r>
        <w:rPr>
          <w:smallCaps/>
        </w:rPr>
        <w:t>Lipo</w:t>
      </w:r>
      <w:r>
        <w:t xml:space="preserve">, C.P. &amp; T.L. </w:t>
      </w:r>
      <w:r>
        <w:rPr>
          <w:smallCaps/>
        </w:rPr>
        <w:t>Hunt</w:t>
      </w:r>
      <w:r>
        <w:t xml:space="preserve">. 2009. AD 1680 and rapa nui prehistory </w:t>
      </w:r>
      <w:r>
        <w:rPr>
          <w:i/>
        </w:rPr>
        <w:t>Asian perspectives</w:t>
      </w:r>
      <w:r>
        <w:t xml:space="preserve"> 48: 309–17.</w:t>
      </w:r>
    </w:p>
    <w:p w:rsidR="00B25BD7" w:rsidRDefault="00BB5350">
      <w:pPr>
        <w:pStyle w:val="Bibliography"/>
      </w:pPr>
      <w:r>
        <w:rPr>
          <w:smallCaps/>
        </w:rPr>
        <w:t>Lipo</w:t>
      </w:r>
      <w:r>
        <w:t xml:space="preserve">, C.P. &amp; T.L. </w:t>
      </w:r>
      <w:r>
        <w:rPr>
          <w:smallCaps/>
        </w:rPr>
        <w:t>Hunt</w:t>
      </w:r>
      <w:r>
        <w:t xml:space="preserve">. 2014. Easter island, archaeological evidence, and </w:t>
      </w:r>
      <w:r>
        <w:t xml:space="preserve">the evolutionary history of warfare </w:t>
      </w:r>
      <w:r>
        <w:rPr>
          <w:i/>
        </w:rPr>
        <w:t>The 79th annual society for american archaeology meeting</w:t>
      </w:r>
      <w:r>
        <w:t>. Austin, TX: Society for American Archaeology.</w:t>
      </w:r>
    </w:p>
    <w:p w:rsidR="00B25BD7" w:rsidRDefault="00BB5350">
      <w:pPr>
        <w:pStyle w:val="Bibliography"/>
      </w:pPr>
      <w:r>
        <w:rPr>
          <w:smallCaps/>
        </w:rPr>
        <w:t>Lipo</w:t>
      </w:r>
      <w:r>
        <w:t xml:space="preserve">, C.P., T.D. </w:t>
      </w:r>
      <w:r>
        <w:rPr>
          <w:smallCaps/>
        </w:rPr>
        <w:t>Hunt</w:t>
      </w:r>
      <w:r>
        <w:t xml:space="preserve">. &amp; R.C. </w:t>
      </w:r>
      <w:r>
        <w:rPr>
          <w:smallCaps/>
        </w:rPr>
        <w:t>Dunnell</w:t>
      </w:r>
      <w:r>
        <w:t xml:space="preserve">. 2012. Formal analyses and functional accounts of groundstone ‘plummets’ from poverty point, louisiana </w:t>
      </w:r>
      <w:r>
        <w:rPr>
          <w:i/>
        </w:rPr>
        <w:t>Journal of archaeological science</w:t>
      </w:r>
      <w:r>
        <w:t xml:space="preserve"> 39: 84–91. </w:t>
      </w:r>
      <w:hyperlink r:id="rId19">
        <w:r>
          <w:rPr>
            <w:rStyle w:val="Link"/>
          </w:rPr>
          <w:t>http://www.sciencedir</w:t>
        </w:r>
        <w:r>
          <w:rPr>
            <w:rStyle w:val="Link"/>
          </w:rPr>
          <w:t>ect.com/science/article/pii/S0305440311003220</w:t>
        </w:r>
      </w:hyperlink>
      <w:r>
        <w:t>.</w:t>
      </w:r>
    </w:p>
    <w:p w:rsidR="00B25BD7" w:rsidRDefault="00BB5350">
      <w:pPr>
        <w:pStyle w:val="Bibliography"/>
      </w:pPr>
      <w:r>
        <w:rPr>
          <w:smallCaps/>
        </w:rPr>
        <w:t>Lipo</w:t>
      </w:r>
      <w:r>
        <w:t xml:space="preserve">, C.P., T.L. </w:t>
      </w:r>
      <w:r>
        <w:rPr>
          <w:smallCaps/>
        </w:rPr>
        <w:t>Hunt</w:t>
      </w:r>
      <w:r>
        <w:t xml:space="preserve">. &amp; S.R. </w:t>
      </w:r>
      <w:r>
        <w:rPr>
          <w:smallCaps/>
        </w:rPr>
        <w:t>Haoa</w:t>
      </w:r>
      <w:r>
        <w:t xml:space="preserve">. 2013. The ’walking’ megalithic statues (moai) of easter island </w:t>
      </w:r>
      <w:r>
        <w:rPr>
          <w:i/>
        </w:rPr>
        <w:t>Journal of archaeological science</w:t>
      </w:r>
      <w:r>
        <w:t xml:space="preserve"> 40: 2859–66. </w:t>
      </w:r>
      <w:hyperlink r:id="rId20">
        <w:r>
          <w:rPr>
            <w:rStyle w:val="Link"/>
          </w:rPr>
          <w:t>http://ac.els-cdn.com/S0305440312004311/1-s2.0-S0305440312004311-main.pdf?_tid=f622ffde-26d9-11e3-8676-00000aab0f6b&amp;acdnat=1380220513</w:t>
        </w:r>
        <w:r>
          <w:rPr>
            <w:rStyle w:val="Link"/>
          </w:rPr>
          <w:t>_ddb22278741acb37f8d0b21c65e7d41a</w:t>
        </w:r>
      </w:hyperlink>
      <w:r>
        <w:t>.</w:t>
      </w:r>
    </w:p>
    <w:p w:rsidR="00B25BD7" w:rsidRDefault="00BB5350">
      <w:pPr>
        <w:pStyle w:val="Bibliography"/>
      </w:pPr>
      <w:r>
        <w:rPr>
          <w:smallCaps/>
        </w:rPr>
        <w:t>Lipo</w:t>
      </w:r>
      <w:r>
        <w:t xml:space="preserve">, C.P., T.L. </w:t>
      </w:r>
      <w:r>
        <w:rPr>
          <w:smallCaps/>
        </w:rPr>
        <w:t>Hunt</w:t>
      </w:r>
      <w:r>
        <w:t xml:space="preserve">. &amp; B. </w:t>
      </w:r>
      <w:r>
        <w:rPr>
          <w:smallCaps/>
        </w:rPr>
        <w:t>Hundtoft</w:t>
      </w:r>
      <w:r>
        <w:t xml:space="preserve">. 2010. Stylistic variability of stemmed obsidian tools (mata’a), frequency seriation, and the scale of social interaction on rapa nui (easter island) </w:t>
      </w:r>
      <w:r>
        <w:rPr>
          <w:i/>
        </w:rPr>
        <w:t>Journal of archaeological science</w:t>
      </w:r>
      <w:r>
        <w:t xml:space="preserve"> </w:t>
      </w:r>
      <w:r>
        <w:t xml:space="preserve">37: 2551–61. </w:t>
      </w:r>
      <w:hyperlink r:id="rId21">
        <w:r>
          <w:rPr>
            <w:rStyle w:val="Link"/>
          </w:rPr>
          <w:t>http://www.sciencedirect.com/science/article/pii/S0305440310001779</w:t>
        </w:r>
      </w:hyperlink>
      <w:r>
        <w:t>.</w:t>
      </w:r>
    </w:p>
    <w:p w:rsidR="00B25BD7" w:rsidRDefault="00BB5350">
      <w:pPr>
        <w:pStyle w:val="Bibliography"/>
      </w:pPr>
      <w:r>
        <w:rPr>
          <w:smallCaps/>
        </w:rPr>
        <w:lastRenderedPageBreak/>
        <w:t>Metraux</w:t>
      </w:r>
      <w:r>
        <w:t>, A. 1957. Easter island: A stone-age civilization of the pacific.</w:t>
      </w:r>
    </w:p>
    <w:p w:rsidR="00B25BD7" w:rsidRDefault="00BB5350">
      <w:pPr>
        <w:pStyle w:val="Bibliography"/>
      </w:pPr>
      <w:r>
        <w:rPr>
          <w:smallCaps/>
        </w:rPr>
        <w:t>Mieth</w:t>
      </w:r>
      <w:r>
        <w:t xml:space="preserve">, A., H. </w:t>
      </w:r>
      <w:r>
        <w:rPr>
          <w:smallCaps/>
        </w:rPr>
        <w:t>B</w:t>
      </w:r>
      <w:r>
        <w:rPr>
          <w:smallCaps/>
        </w:rPr>
        <w:t>ork</w:t>
      </w:r>
      <w:r>
        <w:t xml:space="preserve">., J. </w:t>
      </w:r>
      <w:r>
        <w:rPr>
          <w:smallCaps/>
        </w:rPr>
        <w:t>McNeill</w:t>
      </w:r>
      <w:r>
        <w:t xml:space="preserve">. &amp; V. </w:t>
      </w:r>
      <w:r>
        <w:rPr>
          <w:smallCaps/>
        </w:rPr>
        <w:t>Winiwarter</w:t>
      </w:r>
      <w:r>
        <w:t xml:space="preserve">. 2010. The dynamics of soil, landscape and culture on easter island (chile). </w:t>
      </w:r>
      <w:r>
        <w:rPr>
          <w:i/>
        </w:rPr>
        <w:t>Soils and societies: Perspectives from environmental history</w:t>
      </w:r>
      <w:r>
        <w:t xml:space="preserve">, 273–321. </w:t>
      </w:r>
      <w:hyperlink r:id="rId22">
        <w:r>
          <w:rPr>
            <w:rStyle w:val="Link"/>
          </w:rPr>
          <w:t>htt</w:t>
        </w:r>
        <w:r>
          <w:rPr>
            <w:rStyle w:val="Link"/>
          </w:rPr>
          <w:t>p://www.cabdirect.org/abstracts/20103285130.html</w:t>
        </w:r>
      </w:hyperlink>
      <w:r>
        <w:t>.</w:t>
      </w:r>
    </w:p>
    <w:p w:rsidR="00B25BD7" w:rsidRDefault="00BB5350">
      <w:pPr>
        <w:pStyle w:val="Bibliography"/>
      </w:pPr>
      <w:r>
        <w:rPr>
          <w:smallCaps/>
        </w:rPr>
        <w:t>Morrison</w:t>
      </w:r>
      <w:r>
        <w:t xml:space="preserve">, A. 2012. An archaeological analysis of rapa nui settlement structure: A multi-scalar approach </w:t>
      </w:r>
      <w:r>
        <w:rPr>
          <w:i/>
        </w:rPr>
        <w:t>Department of anthropology</w:t>
      </w:r>
      <w:r>
        <w:t xml:space="preserve"> Ph.D. University of Hawai’i, Manoa.</w:t>
      </w:r>
    </w:p>
    <w:p w:rsidR="00B25BD7" w:rsidRDefault="00BB5350">
      <w:pPr>
        <w:pStyle w:val="Bibliography"/>
      </w:pPr>
      <w:r>
        <w:rPr>
          <w:smallCaps/>
        </w:rPr>
        <w:t>Mulloy</w:t>
      </w:r>
      <w:r>
        <w:t>, W. 1961. Ceremonial center of v</w:t>
      </w:r>
      <w:r>
        <w:t>inapu, in.</w:t>
      </w:r>
    </w:p>
    <w:p w:rsidR="00B25BD7" w:rsidRDefault="00BB5350">
      <w:pPr>
        <w:pStyle w:val="Bibliography"/>
      </w:pPr>
      <w:r>
        <w:rPr>
          <w:smallCaps/>
        </w:rPr>
        <w:t>Mulrooney</w:t>
      </w:r>
      <w:r>
        <w:t xml:space="preserve">, M. 2012. Continuity or collapse? Diachronic settlement and land use in hanga ho`onu, rapa nui (easter island). </w:t>
      </w:r>
      <w:r>
        <w:rPr>
          <w:i/>
        </w:rPr>
        <w:t>Department of anthropology</w:t>
      </w:r>
      <w:r>
        <w:t xml:space="preserve"> Ph.D. University of Auckland.</w:t>
      </w:r>
    </w:p>
    <w:p w:rsidR="00B25BD7" w:rsidRDefault="00BB5350">
      <w:pPr>
        <w:pStyle w:val="Bibliography"/>
      </w:pPr>
      <w:r>
        <w:rPr>
          <w:smallCaps/>
        </w:rPr>
        <w:t>Mulrooney</w:t>
      </w:r>
      <w:r>
        <w:t xml:space="preserve">, M., T.N. </w:t>
      </w:r>
      <w:r>
        <w:rPr>
          <w:smallCaps/>
        </w:rPr>
        <w:t>Ladefoged</w:t>
      </w:r>
      <w:r>
        <w:t xml:space="preserve">., C.M. </w:t>
      </w:r>
      <w:r>
        <w:rPr>
          <w:smallCaps/>
        </w:rPr>
        <w:t>Stevenson</w:t>
      </w:r>
      <w:r>
        <w:t xml:space="preserve">. &amp; S. </w:t>
      </w:r>
      <w:r>
        <w:rPr>
          <w:smallCaps/>
        </w:rPr>
        <w:t>Haoa</w:t>
      </w:r>
      <w:r>
        <w:t>. 2009. T</w:t>
      </w:r>
      <w:r>
        <w:t xml:space="preserve">he myth of aD 1680: New evidence from hanga ho’Onu, rapa nui (easter island) </w:t>
      </w:r>
      <w:r>
        <w:rPr>
          <w:i/>
        </w:rPr>
        <w:t>Rapa nui journal</w:t>
      </w:r>
      <w:r>
        <w:t xml:space="preserve"> 23: 94–105.</w:t>
      </w:r>
    </w:p>
    <w:p w:rsidR="00B25BD7" w:rsidRDefault="00BB5350">
      <w:pPr>
        <w:pStyle w:val="Bibliography"/>
      </w:pPr>
      <w:r>
        <w:rPr>
          <w:smallCaps/>
        </w:rPr>
        <w:t>Rainbird</w:t>
      </w:r>
      <w:r>
        <w:t xml:space="preserve">, P. 2002. A message for our future? The rapa nui (easter island) ecodisaster and pacific island environments </w:t>
      </w:r>
      <w:r>
        <w:rPr>
          <w:i/>
        </w:rPr>
        <w:t>World archaeology</w:t>
      </w:r>
      <w:r>
        <w:t xml:space="preserve"> 33: 436–51. </w:t>
      </w:r>
      <w:hyperlink r:id="rId23">
        <w:r>
          <w:rPr>
            <w:rStyle w:val="Link"/>
          </w:rPr>
          <w:t>http://links.jstor.org/sici?sici=0043-8243(200202)33%3A3%3C436%3AAMFOFT%3E2.0.CO%3B2-W</w:t>
        </w:r>
      </w:hyperlink>
      <w:r>
        <w:t>.</w:t>
      </w:r>
    </w:p>
    <w:p w:rsidR="00B25BD7" w:rsidRDefault="00BB5350">
      <w:pPr>
        <w:pStyle w:val="Bibliography"/>
      </w:pPr>
      <w:r>
        <w:rPr>
          <w:smallCaps/>
        </w:rPr>
        <w:t>Routledge</w:t>
      </w:r>
      <w:r>
        <w:t>, K. 1919. The mystery of easter island: The story of an expedition.</w:t>
      </w:r>
    </w:p>
    <w:p w:rsidR="00B25BD7" w:rsidRDefault="00BB5350">
      <w:pPr>
        <w:pStyle w:val="Bibliography"/>
      </w:pPr>
      <w:r>
        <w:rPr>
          <w:smallCaps/>
        </w:rPr>
        <w:t>Saher</w:t>
      </w:r>
      <w:r>
        <w:t xml:space="preserve">, H. von. 1990. Some details from the journal of captain bouman on the discovery of easter island </w:t>
      </w:r>
      <w:r>
        <w:rPr>
          <w:i/>
        </w:rPr>
        <w:t>Rapa nui journal</w:t>
      </w:r>
      <w:r>
        <w:t xml:space="preserve"> 6: 34–39.</w:t>
      </w:r>
    </w:p>
    <w:p w:rsidR="00B25BD7" w:rsidRDefault="00BB5350">
      <w:pPr>
        <w:pStyle w:val="Bibliography"/>
      </w:pPr>
      <w:r>
        <w:rPr>
          <w:smallCaps/>
        </w:rPr>
        <w:t>Skinner</w:t>
      </w:r>
      <w:r>
        <w:t xml:space="preserve">, H.D. 1958. Some recent publications relating to </w:t>
      </w:r>
      <w:r>
        <w:t xml:space="preserve">easter island culture and its probable history </w:t>
      </w:r>
      <w:r>
        <w:rPr>
          <w:i/>
        </w:rPr>
        <w:t>The journal of the polynesian society</w:t>
      </w:r>
      <w:r>
        <w:t xml:space="preserve"> 67: 248–51.</w:t>
      </w:r>
    </w:p>
    <w:p w:rsidR="00B25BD7" w:rsidRDefault="00BB5350">
      <w:pPr>
        <w:pStyle w:val="Bibliography"/>
      </w:pPr>
      <w:r>
        <w:rPr>
          <w:smallCaps/>
        </w:rPr>
        <w:t>Specht</w:t>
      </w:r>
      <w:r>
        <w:t xml:space="preserve">, J., R. </w:t>
      </w:r>
      <w:r>
        <w:rPr>
          <w:smallCaps/>
        </w:rPr>
        <w:t>Fullagar</w:t>
      </w:r>
      <w:r>
        <w:t xml:space="preserve">., R. </w:t>
      </w:r>
      <w:r>
        <w:rPr>
          <w:smallCaps/>
        </w:rPr>
        <w:t>Torrence</w:t>
      </w:r>
      <w:r>
        <w:t xml:space="preserve">. &amp; N. </w:t>
      </w:r>
      <w:r>
        <w:rPr>
          <w:smallCaps/>
        </w:rPr>
        <w:t>Baker</w:t>
      </w:r>
      <w:r>
        <w:t xml:space="preserve">. 1988. Prehistoric obsidian exchange on melanesia: A perspective from the talasea sources </w:t>
      </w:r>
      <w:r>
        <w:rPr>
          <w:i/>
        </w:rPr>
        <w:t>Australian Archaeol</w:t>
      </w:r>
      <w:r>
        <w:rPr>
          <w:i/>
        </w:rPr>
        <w:t>ogy</w:t>
      </w:r>
      <w:r>
        <w:t xml:space="preserve">, 3–16. </w:t>
      </w:r>
      <w:hyperlink r:id="rId24">
        <w:r>
          <w:rPr>
            <w:rStyle w:val="Link"/>
          </w:rPr>
          <w:t>http://www.jstor.org/stable/40286657</w:t>
        </w:r>
      </w:hyperlink>
      <w:r>
        <w:t>.</w:t>
      </w:r>
    </w:p>
    <w:p w:rsidR="00B25BD7" w:rsidRDefault="00BB5350">
      <w:pPr>
        <w:pStyle w:val="Bibliography"/>
      </w:pPr>
      <w:r>
        <w:rPr>
          <w:smallCaps/>
        </w:rPr>
        <w:t>Stevenson</w:t>
      </w:r>
      <w:r>
        <w:t xml:space="preserve">, C.M., T.L. </w:t>
      </w:r>
      <w:r>
        <w:rPr>
          <w:smallCaps/>
        </w:rPr>
        <w:t>Jackson</w:t>
      </w:r>
      <w:r>
        <w:t xml:space="preserve">., A. </w:t>
      </w:r>
      <w:r>
        <w:rPr>
          <w:smallCaps/>
        </w:rPr>
        <w:t>Mieth</w:t>
      </w:r>
      <w:r>
        <w:t xml:space="preserve">., H.-R. </w:t>
      </w:r>
      <w:r>
        <w:rPr>
          <w:smallCaps/>
        </w:rPr>
        <w:t>Bork</w:t>
      </w:r>
      <w:r>
        <w:t xml:space="preserve">. &amp; T.N. </w:t>
      </w:r>
      <w:r>
        <w:rPr>
          <w:smallCaps/>
        </w:rPr>
        <w:t>Ladefoged</w:t>
      </w:r>
      <w:r>
        <w:t>. 2006. Prehistoric and early historic agriculture at maunga orito, easter islan</w:t>
      </w:r>
      <w:r>
        <w:t xml:space="preserve">d (rapa nui), chile </w:t>
      </w:r>
      <w:r>
        <w:rPr>
          <w:i/>
        </w:rPr>
        <w:t>Antiquity</w:t>
      </w:r>
      <w:r>
        <w:t xml:space="preserve"> 80: 919–36.</w:t>
      </w:r>
    </w:p>
    <w:p w:rsidR="00B25BD7" w:rsidRDefault="00BB5350">
      <w:pPr>
        <w:pStyle w:val="Bibliography"/>
      </w:pPr>
      <w:r>
        <w:rPr>
          <w:smallCaps/>
        </w:rPr>
        <w:t>Stevenson</w:t>
      </w:r>
      <w:r>
        <w:t xml:space="preserve">, T.L., C. M. &amp; S. </w:t>
      </w:r>
      <w:r>
        <w:rPr>
          <w:smallCaps/>
        </w:rPr>
        <w:t>Haoa</w:t>
      </w:r>
      <w:r>
        <w:t xml:space="preserve">. 2002. Agricultural production in an uncertain environment </w:t>
      </w:r>
      <w:r>
        <w:rPr>
          <w:i/>
        </w:rPr>
        <w:t>Rapa nui journal</w:t>
      </w:r>
      <w:r>
        <w:t xml:space="preserve"> 16.</w:t>
      </w:r>
    </w:p>
    <w:p w:rsidR="00B25BD7" w:rsidRDefault="00BB5350">
      <w:pPr>
        <w:pStyle w:val="Bibliography"/>
      </w:pPr>
      <w:r>
        <w:rPr>
          <w:smallCaps/>
        </w:rPr>
        <w:t>Torrence</w:t>
      </w:r>
      <w:r>
        <w:t xml:space="preserve">, R., S. </w:t>
      </w:r>
      <w:r>
        <w:rPr>
          <w:smallCaps/>
        </w:rPr>
        <w:t>Kelloway</w:t>
      </w:r>
      <w:r>
        <w:t xml:space="preserve">. &amp; P. </w:t>
      </w:r>
      <w:r>
        <w:rPr>
          <w:smallCaps/>
        </w:rPr>
        <w:t>White</w:t>
      </w:r>
      <w:r>
        <w:t>. 2013. Stemmed tools, social interaction, and voyaging in early</w:t>
      </w:r>
      <w:r>
        <w:t xml:space="preserve">–mid holocene papua new guinea </w:t>
      </w:r>
      <w:r>
        <w:rPr>
          <w:i/>
        </w:rPr>
        <w:t>The Journal of Island and Coastal Archaeology</w:t>
      </w:r>
      <w:r>
        <w:t xml:space="preserve"> 8: 278–310. </w:t>
      </w:r>
      <w:hyperlink r:id="rId25">
        <w:r>
          <w:rPr>
            <w:rStyle w:val="Link"/>
          </w:rPr>
          <w:t>http://www.tandfonline.com/doi/abs/10.1080/15564894.2012.761300</w:t>
        </w:r>
      </w:hyperlink>
      <w:r>
        <w:t>.</w:t>
      </w:r>
    </w:p>
    <w:p w:rsidR="00B25BD7" w:rsidRDefault="00BB5350">
      <w:pPr>
        <w:pStyle w:val="Bibliography"/>
      </w:pPr>
      <w:r>
        <w:rPr>
          <w:smallCaps/>
        </w:rPr>
        <w:t>Torrence</w:t>
      </w:r>
      <w:r>
        <w:t xml:space="preserve">, R., P. </w:t>
      </w:r>
      <w:r>
        <w:rPr>
          <w:smallCaps/>
        </w:rPr>
        <w:t>Sw</w:t>
      </w:r>
      <w:r>
        <w:rPr>
          <w:smallCaps/>
        </w:rPr>
        <w:t>adling</w:t>
      </w:r>
      <w:r>
        <w:t xml:space="preserve">., W. </w:t>
      </w:r>
      <w:r>
        <w:rPr>
          <w:smallCaps/>
        </w:rPr>
        <w:t>Ambrose</w:t>
      </w:r>
      <w:r>
        <w:t xml:space="preserve">., N. </w:t>
      </w:r>
      <w:r>
        <w:rPr>
          <w:smallCaps/>
        </w:rPr>
        <w:t>Kononenko</w:t>
      </w:r>
      <w:r>
        <w:t xml:space="preserve">., P. </w:t>
      </w:r>
      <w:r>
        <w:rPr>
          <w:smallCaps/>
        </w:rPr>
        <w:t>Rath</w:t>
      </w:r>
      <w:r>
        <w:t xml:space="preserve">. &amp; M. </w:t>
      </w:r>
      <w:r>
        <w:rPr>
          <w:smallCaps/>
        </w:rPr>
        <w:t>Glascock</w:t>
      </w:r>
      <w:r>
        <w:t xml:space="preserve">. 2009. Obsidian stemmed tools and mid-holocene interaction </w:t>
      </w:r>
      <w:r>
        <w:rPr>
          <w:i/>
        </w:rPr>
        <w:t>Asian Perspectives</w:t>
      </w:r>
      <w:r>
        <w:t xml:space="preserve"> 48: 118–47.</w:t>
      </w:r>
    </w:p>
    <w:p w:rsidR="00B25BD7" w:rsidRDefault="00BB5350">
      <w:pPr>
        <w:pStyle w:val="Bibliography"/>
      </w:pPr>
      <w:r>
        <w:rPr>
          <w:smallCaps/>
        </w:rPr>
        <w:lastRenderedPageBreak/>
        <w:t>Torrence</w:t>
      </w:r>
      <w:r>
        <w:t xml:space="preserve">, R., P. </w:t>
      </w:r>
      <w:r>
        <w:rPr>
          <w:smallCaps/>
        </w:rPr>
        <w:t>Swadling</w:t>
      </w:r>
      <w:r>
        <w:t xml:space="preserve">., N. </w:t>
      </w:r>
      <w:r>
        <w:rPr>
          <w:smallCaps/>
        </w:rPr>
        <w:t>Kononenko</w:t>
      </w:r>
      <w:r>
        <w:t xml:space="preserve">., W. </w:t>
      </w:r>
      <w:r>
        <w:rPr>
          <w:smallCaps/>
        </w:rPr>
        <w:t>Ambrose</w:t>
      </w:r>
      <w:r>
        <w:t xml:space="preserve">., P. </w:t>
      </w:r>
      <w:r>
        <w:rPr>
          <w:smallCaps/>
        </w:rPr>
        <w:t>Rath</w:t>
      </w:r>
      <w:r>
        <w:t xml:space="preserve">. &amp; M.D. </w:t>
      </w:r>
      <w:r>
        <w:rPr>
          <w:smallCaps/>
        </w:rPr>
        <w:t>Glascock</w:t>
      </w:r>
      <w:r>
        <w:t>. 2009. Mid-holocene socia</w:t>
      </w:r>
      <w:r>
        <w:t xml:space="preserve">l interaction in melanesia: New evidence from hammer-dressed obsidian stemmed tools </w:t>
      </w:r>
      <w:r>
        <w:rPr>
          <w:i/>
        </w:rPr>
        <w:t>Asian Perspectives</w:t>
      </w:r>
      <w:r>
        <w:t xml:space="preserve"> 48: 119–48. </w:t>
      </w:r>
      <w:hyperlink r:id="rId26">
        <w:r>
          <w:rPr>
            <w:rStyle w:val="Link"/>
          </w:rPr>
          <w:t>http://scholarspace.manoa.hawaii.edu/bitstream/handle/10125/29084/AP_V48No1_torrence.pdf?sequence=1</w:t>
        </w:r>
      </w:hyperlink>
      <w:r>
        <w:t>.</w:t>
      </w:r>
    </w:p>
    <w:p w:rsidR="00B25BD7" w:rsidRDefault="00BB5350">
      <w:pPr>
        <w:pStyle w:val="Bibliography"/>
      </w:pPr>
      <w:r>
        <w:rPr>
          <w:smallCaps/>
        </w:rPr>
        <w:t>Wilmshurst</w:t>
      </w:r>
      <w:r>
        <w:t xml:space="preserve">, J.M., T.L. </w:t>
      </w:r>
      <w:r>
        <w:rPr>
          <w:smallCaps/>
        </w:rPr>
        <w:t>Hunt</w:t>
      </w:r>
      <w:r>
        <w:t xml:space="preserve">., C.P. </w:t>
      </w:r>
      <w:r>
        <w:rPr>
          <w:smallCaps/>
        </w:rPr>
        <w:t>Lipo</w:t>
      </w:r>
      <w:r>
        <w:t xml:space="preserve">. &amp; A. </w:t>
      </w:r>
      <w:r>
        <w:rPr>
          <w:smallCaps/>
        </w:rPr>
        <w:t>Anderson</w:t>
      </w:r>
      <w:r>
        <w:t>. 2011. High-precision radiocarbon dating shows recent and rapid initial human colonization of east p</w:t>
      </w:r>
      <w:r>
        <w:t xml:space="preserve">olynesia </w:t>
      </w:r>
      <w:r>
        <w:rPr>
          <w:i/>
        </w:rPr>
        <w:t>Proceedings of the national academy of science</w:t>
      </w:r>
      <w:r>
        <w:t xml:space="preserve"> 108: 1815–20.</w:t>
      </w:r>
    </w:p>
    <w:sectPr w:rsidR="00B25BD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D695C5"/>
    <w:multiLevelType w:val="multilevel"/>
    <w:tmpl w:val="079429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80249EB"/>
    <w:multiLevelType w:val="multilevel"/>
    <w:tmpl w:val="A8D218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077805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7835378A"/>
    <w:multiLevelType w:val="multilevel"/>
    <w:tmpl w:val="1994B44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784D58"/>
    <w:rsid w:val="008D6863"/>
    <w:rsid w:val="00B25BD7"/>
    <w:rsid w:val="00B86B75"/>
    <w:rsid w:val="00BB5350"/>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AE7FA2"/>
    <w:pPr>
      <w:spacing w:before="180" w:after="180"/>
    </w:pPr>
    <w:rPr>
      <w:rFonts w:ascii="Times New Roman" w:hAnsi="Times New Roman"/>
    </w:rPr>
  </w:style>
  <w:style w:type="paragraph" w:styleId="Heading1">
    <w:name w:val="heading 1"/>
    <w:basedOn w:val="Normal"/>
    <w:next w:val="Normal"/>
    <w:uiPriority w:val="9"/>
    <w:qFormat/>
    <w:rsid w:val="00AE7FA2"/>
    <w:pPr>
      <w:keepNext/>
      <w:keepLines/>
      <w:spacing w:before="240" w:after="120"/>
      <w:outlineLvl w:val="0"/>
    </w:pPr>
    <w:rPr>
      <w:rFonts w:eastAsiaTheme="majorEastAsia" w:cstheme="majorBidi"/>
      <w:caps/>
      <w:color w:val="000000" w:themeColor="text1"/>
    </w:rPr>
  </w:style>
  <w:style w:type="paragraph" w:styleId="Heading2">
    <w:name w:val="heading 2"/>
    <w:basedOn w:val="Normal"/>
    <w:next w:val="Normal"/>
    <w:uiPriority w:val="9"/>
    <w:unhideWhenUsed/>
    <w:qFormat/>
    <w:rsid w:val="00AE7FA2"/>
    <w:pPr>
      <w:keepNext/>
      <w:keepLines/>
      <w:spacing w:before="120" w:after="24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AE7FA2"/>
    <w:pPr>
      <w:keepNext/>
      <w:keepLines/>
      <w:spacing w:before="120" w:after="240"/>
      <w:outlineLvl w:val="2"/>
    </w:pPr>
    <w:rPr>
      <w:rFonts w:eastAsiaTheme="majorEastAsia" w:cstheme="majorBidi"/>
      <w:bCs/>
      <w:i/>
      <w:color w:val="000000" w:themeColor="text1"/>
      <w:szCs w:val="28"/>
    </w:rPr>
  </w:style>
  <w:style w:type="paragraph" w:styleId="Heading4">
    <w:name w:val="heading 4"/>
    <w:basedOn w:val="Normal"/>
    <w:next w:val="Normal"/>
    <w:uiPriority w:val="9"/>
    <w:unhideWhenUsed/>
    <w:qFormat/>
    <w:rsid w:val="00AE7FA2"/>
    <w:pPr>
      <w:keepNext/>
      <w:keepLines/>
      <w:spacing w:before="200" w:after="0"/>
      <w:outlineLvl w:val="3"/>
    </w:pPr>
    <w:rPr>
      <w:rFonts w:eastAsiaTheme="majorEastAsia" w:cstheme="majorBidi"/>
      <w:bCs/>
      <w:color w:val="000000" w:themeColor="text1"/>
      <w:u w:val="single"/>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AE7FA2"/>
    <w:pPr>
      <w:keepNext/>
      <w:keepLines/>
      <w:spacing w:before="480" w:after="240"/>
      <w:jc w:val="center"/>
    </w:pPr>
    <w:rPr>
      <w:rFonts w:eastAsiaTheme="majorEastAsia" w:cstheme="majorBidi"/>
      <w:caps/>
      <w:color w:val="000000" w:themeColor="text1"/>
    </w:rPr>
  </w:style>
  <w:style w:type="paragraph" w:styleId="Subtitle">
    <w:name w:val="Subtitle"/>
    <w:basedOn w:val="Title"/>
    <w:next w:val="Normal"/>
    <w:qFormat/>
    <w:rsid w:val="00AE7FA2"/>
    <w:pPr>
      <w:spacing w:before="240"/>
    </w:pPr>
    <w:rPr>
      <w:szCs w:val="30"/>
    </w:rPr>
  </w:style>
  <w:style w:type="paragraph" w:customStyle="1" w:styleId="Author">
    <w:name w:val="Author"/>
    <w:next w:val="Normal"/>
    <w:qFormat/>
    <w:pPr>
      <w:keepNext/>
      <w:keepLines/>
      <w:jc w:val="center"/>
    </w:pPr>
  </w:style>
  <w:style w:type="paragraph" w:styleId="Date">
    <w:name w:val="Date"/>
    <w:next w:val="Normal"/>
    <w:qFormat/>
    <w:rsid w:val="00AE7FA2"/>
    <w:pPr>
      <w:keepNext/>
      <w:keepLines/>
      <w:jc w:val="center"/>
    </w:pPr>
    <w:rPr>
      <w:rFonts w:ascii="Times New Roman" w:hAnsi="Times New Roman"/>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BalloonText">
    <w:name w:val="Balloon Text"/>
    <w:basedOn w:val="Normal"/>
    <w:link w:val="BalloonTextChar"/>
    <w:rsid w:val="00BB5350"/>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BB535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AE7FA2"/>
    <w:pPr>
      <w:spacing w:before="180" w:after="180"/>
    </w:pPr>
    <w:rPr>
      <w:rFonts w:ascii="Times New Roman" w:hAnsi="Times New Roman"/>
    </w:rPr>
  </w:style>
  <w:style w:type="paragraph" w:styleId="Heading1">
    <w:name w:val="heading 1"/>
    <w:basedOn w:val="Normal"/>
    <w:next w:val="Normal"/>
    <w:uiPriority w:val="9"/>
    <w:qFormat/>
    <w:rsid w:val="00AE7FA2"/>
    <w:pPr>
      <w:keepNext/>
      <w:keepLines/>
      <w:spacing w:before="240" w:after="120"/>
      <w:outlineLvl w:val="0"/>
    </w:pPr>
    <w:rPr>
      <w:rFonts w:eastAsiaTheme="majorEastAsia" w:cstheme="majorBidi"/>
      <w:caps/>
      <w:color w:val="000000" w:themeColor="text1"/>
    </w:rPr>
  </w:style>
  <w:style w:type="paragraph" w:styleId="Heading2">
    <w:name w:val="heading 2"/>
    <w:basedOn w:val="Normal"/>
    <w:next w:val="Normal"/>
    <w:uiPriority w:val="9"/>
    <w:unhideWhenUsed/>
    <w:qFormat/>
    <w:rsid w:val="00AE7FA2"/>
    <w:pPr>
      <w:keepNext/>
      <w:keepLines/>
      <w:spacing w:before="120" w:after="24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AE7FA2"/>
    <w:pPr>
      <w:keepNext/>
      <w:keepLines/>
      <w:spacing w:before="120" w:after="240"/>
      <w:outlineLvl w:val="2"/>
    </w:pPr>
    <w:rPr>
      <w:rFonts w:eastAsiaTheme="majorEastAsia" w:cstheme="majorBidi"/>
      <w:bCs/>
      <w:i/>
      <w:color w:val="000000" w:themeColor="text1"/>
      <w:szCs w:val="28"/>
    </w:rPr>
  </w:style>
  <w:style w:type="paragraph" w:styleId="Heading4">
    <w:name w:val="heading 4"/>
    <w:basedOn w:val="Normal"/>
    <w:next w:val="Normal"/>
    <w:uiPriority w:val="9"/>
    <w:unhideWhenUsed/>
    <w:qFormat/>
    <w:rsid w:val="00AE7FA2"/>
    <w:pPr>
      <w:keepNext/>
      <w:keepLines/>
      <w:spacing w:before="200" w:after="0"/>
      <w:outlineLvl w:val="3"/>
    </w:pPr>
    <w:rPr>
      <w:rFonts w:eastAsiaTheme="majorEastAsia" w:cstheme="majorBidi"/>
      <w:bCs/>
      <w:color w:val="000000" w:themeColor="text1"/>
      <w:u w:val="single"/>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AE7FA2"/>
    <w:pPr>
      <w:keepNext/>
      <w:keepLines/>
      <w:spacing w:before="480" w:after="240"/>
      <w:jc w:val="center"/>
    </w:pPr>
    <w:rPr>
      <w:rFonts w:eastAsiaTheme="majorEastAsia" w:cstheme="majorBidi"/>
      <w:caps/>
      <w:color w:val="000000" w:themeColor="text1"/>
    </w:rPr>
  </w:style>
  <w:style w:type="paragraph" w:styleId="Subtitle">
    <w:name w:val="Subtitle"/>
    <w:basedOn w:val="Title"/>
    <w:next w:val="Normal"/>
    <w:qFormat/>
    <w:rsid w:val="00AE7FA2"/>
    <w:pPr>
      <w:spacing w:before="240"/>
    </w:pPr>
    <w:rPr>
      <w:szCs w:val="30"/>
    </w:rPr>
  </w:style>
  <w:style w:type="paragraph" w:customStyle="1" w:styleId="Author">
    <w:name w:val="Author"/>
    <w:next w:val="Normal"/>
    <w:qFormat/>
    <w:pPr>
      <w:keepNext/>
      <w:keepLines/>
      <w:jc w:val="center"/>
    </w:pPr>
  </w:style>
  <w:style w:type="paragraph" w:styleId="Date">
    <w:name w:val="Date"/>
    <w:next w:val="Normal"/>
    <w:qFormat/>
    <w:rsid w:val="00AE7FA2"/>
    <w:pPr>
      <w:keepNext/>
      <w:keepLines/>
      <w:jc w:val="center"/>
    </w:pPr>
    <w:rPr>
      <w:rFonts w:ascii="Times New Roman" w:hAnsi="Times New Roman"/>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BalloonText">
    <w:name w:val="Balloon Text"/>
    <w:basedOn w:val="Normal"/>
    <w:link w:val="BalloonTextChar"/>
    <w:rsid w:val="00BB5350"/>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BB535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ac.els-cdn.com/S0305440312004311/1-s2.0-S0305440312004311-main.pdf?_tid=f622ffde-26d9-11e3-8676-00000aab0f6b&amp;acdnat=1380220513_ddb22278741acb37f8d0b21c65e7d41a" TargetMode="External"/><Relationship Id="rId21" Type="http://schemas.openxmlformats.org/officeDocument/2006/relationships/hyperlink" Target="http://www.sciencedirect.com/science/article/pii/S0305440310001779" TargetMode="External"/><Relationship Id="rId22" Type="http://schemas.openxmlformats.org/officeDocument/2006/relationships/hyperlink" Target="http://www.cabdirect.org/abstracts/20103285130.html" TargetMode="External"/><Relationship Id="rId23" Type="http://schemas.openxmlformats.org/officeDocument/2006/relationships/hyperlink" Target="http://links.jstor.org/sici?sici=0043-8243(200202)33%3A3%3C436%3AAMFOFT%3E2.0.CO%3B2-W" TargetMode="External"/><Relationship Id="rId24" Type="http://schemas.openxmlformats.org/officeDocument/2006/relationships/hyperlink" Target="http://www.jstor.org/stable/40286657" TargetMode="External"/><Relationship Id="rId25" Type="http://schemas.openxmlformats.org/officeDocument/2006/relationships/hyperlink" Target="http://www.tandfonline.com/doi/abs/10.1080/15564894.2012.761300" TargetMode="External"/><Relationship Id="rId26" Type="http://schemas.openxmlformats.org/officeDocument/2006/relationships/hyperlink" Target="http://scholarspace.manoa.hawaii.edu/bitstream/handle/10125/29084/AP_V48No1_torrence.pdf?sequence=1"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www.jstatsoft.org/v56/i13/paper" TargetMode="External"/><Relationship Id="rId13" Type="http://schemas.openxmlformats.org/officeDocument/2006/relationships/hyperlink" Target="http://www.filogenetica.org/cursos/deluna/morfometria/referencias%20en%20pdf/Bookstein82.pdf" TargetMode="External"/><Relationship Id="rId14" Type="http://schemas.openxmlformats.org/officeDocument/2006/relationships/hyperlink" Target="http://femininebeauty.info/i/bookstein.sliding.pdf" TargetMode="External"/><Relationship Id="rId15" Type="http://schemas.openxmlformats.org/officeDocument/2006/relationships/hyperlink" Target="http://www.italian-journal-of-mammalogy.it/article/download/6292/pdf_6292" TargetMode="External"/><Relationship Id="rId16" Type="http://schemas.openxmlformats.org/officeDocument/2006/relationships/hyperlink" Target="%3cGo%20to%20ISI%3e://000236029500044" TargetMode="External"/><Relationship Id="rId17" Type="http://schemas.openxmlformats.org/officeDocument/2006/relationships/hyperlink" Target="http://ac.els-cdn.com/S0305440312004049/1-s2.0-S0305440312004049-main.pdf?_tid=f191146e-3120-11e3-a2fe-00000aab0f27&amp;acdnat=1381350511_fcbdd8c0c5fa27f7cfbeca2d9d9b645e" TargetMode="External"/><Relationship Id="rId18" Type="http://schemas.openxmlformats.org/officeDocument/2006/relationships/hyperlink" Target="http://oceania.metapress.com/index/TQ0202781J021860.pdf" TargetMode="External"/><Relationship Id="rId19" Type="http://schemas.openxmlformats.org/officeDocument/2006/relationships/hyperlink" Target="http://www.sciencedirect.com/science/article/pii/S030544031100322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hyperlink" Target="mailto:-@1940"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4338</Words>
  <Characters>24731</Characters>
  <Application>Microsoft Macintosh Word</Application>
  <DocSecurity>4</DocSecurity>
  <Lines>206</Lines>
  <Paragraphs>58</Paragraphs>
  <ScaleCrop>false</ScaleCrop>
  <Company>CSULB</Company>
  <LinksUpToDate>false</LinksUpToDate>
  <CharactersWithSpaces>29011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Rapa Nui Mataa Morphometric Analyses</dc:title>
  <dc:creator>Carl P. Lipo, Rene Horneman, Mark E. Madsen, Terry L. Hunt, Vincent Bonhomme</dc:creator>
  <cp:lastModifiedBy>Carl Lipo</cp:lastModifiedBy>
  <cp:revision>2</cp:revision>
  <dcterms:created xsi:type="dcterms:W3CDTF">2014-09-08T16:13:00Z</dcterms:created>
  <dcterms:modified xsi:type="dcterms:W3CDTF">2014-09-08T16:13:00Z</dcterms:modified>
</cp:coreProperties>
</file>