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3.png" ContentType="image/png"/>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read them as bounded societies, assuming that assemblages more like near than distant neighbors record a social group. Neutral drift among neighbors, however, can produce the same clustering with no boundary. A social group would then be marked by interaction beyond what distance accounts for. We ask what produced the phase structure of the St. Francis basin’s Late Mississippian phases. Of four candidate signatures, only between-group variance can detect such closure here, and it shows none the record can resolve. A model with no groups attributes 99 percent of assemblage-level variation to geography. The published phases are recovered mostly from site locations, and their boundaries fall where composition changes slowly. Parkin, long read as a polity’s center, bridges several seriation orderings rather than anchoring one. Drift tuned to the assemblages’ own diversity produces as much difference between neighboring clusters as the record shows at the scale of the phases; only finer cuts exceed it, three- to fivefold. Sorted with site location, pottery made by drift alone falls into the published phases as readily as real pottery. What remains lies in the thinnest samples, not at Parkin, and drift with locally arising styles reproduces it.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en fases y las interpretan como sociedades delimitadas, suponiendo que los conjuntos cuyas frecuencias de clases cerámicas son más similares a las de sus vecinos cercanos que a las de los distantes registran un grupo social. Sin embargo, la deriva neutral entre vecinos puede producir el mismo agrupamiento sin fronteras. Lo que distingue a un grupo social es la interacción local que trasciende lo que la distancia puede explicar. Preguntamos qué dio origen a la estructura de las fases, tomando como ejemplo la cuenca del St. Francis y sus varias fases bien definidas del Misisipiano tardío. De cuatro firmas candidatas, solo la varianza entre grupos puede detectar ese cierre a esta resolución, y según ella, la cuenca no muestra ningún cierre que el registro pueda resolver. Un modelo que no impone grupos atribuye el 99 % de la variación entre los conjuntos a la geografía. Las fases publicadas se recuperan en su mayor parte a partir de la ubicación de los sitios, y sus límites caen donde la composición cambia lentamente. Parkin, interpretado durante mucho tiempo como el centro de una entidad política, sirve de puente entre varias ordenaciones de seriación en lugar de anclar una sola. En la escala que los datos seleccionan, la deriva calibrada reproduce la diferenciación entre los agrupamientos espaciales de la cuenca; los cortes más finos la superan entre tres y cinco veces, y la cerámica que la deriva genera se clasifica en las fases publicadas con la misma facilidad que la cerámica real. Lo que la deriva deja sin explicar se concentra en las muestras más pequeñas, no en Parkin, y una débil localidad en el origen de los nuevos estilos lo reproduce.</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8037789"/>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be detectable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and phase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This means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makes a phase a society. They also rejected the idea but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As a result,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through cluster analysis and ordination, that the southeast-Missouri phases fail as both groups and classes. For these phases, member assemblages fall into statistical clusters at random rather than segregating by phase. Mainfort</w:t>
      </w:r>
      <w:r>
        <w:t xml:space="preserve"> </w:t>
      </w:r>
      <w:r>
        <w:t xml:space="preserve">(2003)</w:t>
      </w:r>
      <w:r>
        <w:t xml:space="preserve"> </w:t>
      </w:r>
      <w:r>
        <w:t xml:space="preserve">put the question to very nearly the record we use. He assembled counts of ten decorated types for 39 sites with at least 800 sherds each, transcribed in large part from the Lower Mississippi Valley Survey records, and ordinated them by nonmetric multidimensional scaling, a method that imposes no groups on the data. The result, he wrote,</w:t>
      </w:r>
      <w:r>
        <w:t xml:space="preserve"> </w:t>
      </w:r>
      <w:r>
        <w:t xml:space="preserve">“provides little evidence for the integrity of the traditional late period phases in the study area and little support for their existence as currently formulated. No clear grouping is evident, although in a general sense most sites assigned to most phases are located in the general vicinity of each other in ordination space”</w:t>
      </w:r>
      <w:r>
        <w:t xml:space="preserve"> </w:t>
      </w:r>
      <w:r>
        <w:t xml:space="preserve">(Mainfort 2003:180)</w:t>
      </w:r>
      <w:r>
        <w:t xml:space="preserve">. Phase by phase the verdict was the same. The Parkin phase sites plot near one another</w:t>
      </w:r>
      <w:r>
        <w:t xml:space="preserve"> </w:t>
      </w:r>
      <w:r>
        <w:t xml:space="preserve">“but are by no means isolated from sites assigned to other phases,”</w:t>
      </w:r>
      <w:r>
        <w:t xml:space="preserve"> </w:t>
      </w:r>
      <w:r>
        <w:t xml:space="preserve">the Nodena sites give</w:t>
      </w:r>
      <w:r>
        <w:t xml:space="preserve"> </w:t>
      </w:r>
      <w:r>
        <w:t xml:space="preserve">“no basis for viewing the Nodena phase as a definable group or a class,”</w:t>
      </w:r>
      <w:r>
        <w:t xml:space="preserve"> </w:t>
      </w:r>
      <w:r>
        <w:t xml:space="preserve">and the Kent phase</w:t>
      </w:r>
      <w:r>
        <w:t xml:space="preserve"> </w:t>
      </w:r>
      <w:r>
        <w:t xml:space="preserve">“fares perhaps the worst”</w:t>
      </w:r>
      <w:r>
        <w:t xml:space="preserve"> </w:t>
      </w:r>
      <w:r>
        <w:t xml:space="preserve">(Mainfort 2003:181)</w:t>
      </w:r>
      <w:r>
        <w:t xml:space="preserve">. Mainfort closed by observing that since Phillips’s synthesis</w:t>
      </w:r>
      <w:r>
        <w:t xml:space="preserve"> </w:t>
      </w:r>
      <w:r>
        <w:t xml:space="preserve">“attempts to group archaeological sites into culture-historical units (phases) have not been accompanied by either theoretical or methodological advances,”</w:t>
      </w:r>
      <w:r>
        <w:t xml:space="preserve"> </w:t>
      </w:r>
      <w:r>
        <w:t xml:space="preserve">and that the patterns an ordination produces</w:t>
      </w:r>
      <w:r>
        <w:t xml:space="preserve"> </w:t>
      </w:r>
      <w:r>
        <w:t xml:space="preserve">“require interpretation”</w:t>
      </w:r>
      <w:r>
        <w:t xml:space="preserve"> </w:t>
      </w:r>
      <w:r>
        <w:t xml:space="preserve">(Mainfort 2003:182)</w:t>
      </w:r>
      <w:r>
        <w:t xml:space="preserve">. Both remarks mark where this paper begins. An ordination shows that the phases do not separate. It cannot say what produced the structure that is there, since assemblages sorting loosely by phase in ordination space is what bounded groups would give and also what unbounded copying across distance would give. Deciding between them takes a model of the process and a statement of what each process predicts. Lipo</w:t>
      </w:r>
      <w:r>
        <w:t xml:space="preserve"> </w:t>
      </w:r>
      <w:r>
        <w:t xml:space="preserve">(2001)</w:t>
      </w:r>
      <w:r>
        <w:t xml:space="preserve"> </w:t>
      </w:r>
      <w:r>
        <w:t xml:space="preserve">questioned the nature of phases through frequency seriation, ordering assemblages by increases and decreases in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however,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they observed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A neutral trait is one that confers no advantage on its user and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can look like difference and clustering, though there are no bounded groups anywhere</w:t>
      </w:r>
      <w:r>
        <w:t xml:space="preserve"> </w:t>
      </w:r>
      <w:r>
        <w:t xml:space="preserve">(Lipo et al. 1997, 2021)</w:t>
      </w:r>
      <w:r>
        <w:t xml:space="preserve">. On this account a phase can simply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however, provide a means to test that.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w:t>
      </w:r>
    </w:p>
    <w:p>
      <w:pPr>
        <w:pStyle w:val="BodyText"/>
      </w:pPr>
      <w:r>
        <w:t xml:space="preserve">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the empirical bases of phases</w:t>
      </w:r>
      <w:r>
        <w:t xml:space="preserve"> </w:t>
      </w:r>
      <w:r>
        <w:t xml:space="preserve">(Lipo 2001)</w:t>
      </w:r>
      <w:r>
        <w:t xml:space="preserve">.</w:t>
      </w:r>
    </w:p>
    <w:p>
      <w:pPr>
        <w:pStyle w:val="BodyText"/>
      </w:pPr>
      <w:r>
        <w:t xml:space="preserve">This analysis, however, rests on an honest recognition of what the ceramic record consists. We cannot treat assemblages as degraded snapshots of a past behavioral moment that must be restored by correcting for the processes that formed it</w:t>
      </w:r>
      <w:r>
        <w:t xml:space="preserve"> </w:t>
      </w:r>
      <w:r>
        <w:t xml:space="preserve">(Schiffer 1972)</w:t>
      </w:r>
      <w:r>
        <w:t xml:space="preserve">. Instead, we must treat them as time-averaged accumulations built up over many years of use and discard, whose decorated-class frequencies reflect the accumulated product of social learning across a population, and measure and explain them directly rather than reconstruct them</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Identifying any single transmission signature cannot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parts.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Our substantive contribution is the account that survives those two requirements, which is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in the drift model.</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A phase needs to be a social unit not through complete closure but through a measurable amount of it, and our analysis asks how much the record carries. When we write of a bounded interaction group, we mean the upper end of that scale, called a limiting case, so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where conformist copying occurs within groups and learners favor whatever variant is already common, each group’s range of variants shrinks. As a result, groups diverge from one another, and the single transmission field fragments</w:t>
      </w:r>
      <w:r>
        <w:t xml:space="preserve"> </w:t>
      </w:r>
      <w:r>
        <w:t xml:space="preserve">(Crema et al. 2016; Henrich 2001; Henrich and Boyd 1998)</w:t>
      </w:r>
      <w:r>
        <w:t xml:space="preserve">. The resulting restricted pool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can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with a platform mound rising more than 6 m. The De Soto chronicles place it as the seat of the paramount of Casqui</w:t>
      </w:r>
      <w:r>
        <w:t xml:space="preserve"> </w:t>
      </w:r>
      <w:r>
        <w:t xml:space="preserve">(Dye and Cox 1990; Mitchem 2001; Phyllis A. Morse 1990)</w:t>
      </w:r>
      <w:r>
        <w:t xml:space="preserve">. Under this interpretation, Parkin’s location on agriculturally poor soil is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We can separate them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We treat its strength as a quantity to be tested for and measured. That strength varies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for closure follow, each a different consequence,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based on the chance that two randomly drawn sherds share a decorated class; the other on the number of classes present. Biased copying pulls them apart. Conformity, in which potters preferentially copy whatever is already common, concentrates sherds onto a few classes without eliminating the rare ones, so the first measure changes and the second barely does. A process that favors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It is the most direct test of fragmentation. The signature rests on frequency seriation: ordering assemblages so each decorated class rises to a single peak and then decreases monotonically. This shape has long been known as a</w:t>
      </w:r>
      <w:r>
        <w:t xml:space="preserve"> </w:t>
      </w:r>
      <w:r>
        <w:t xml:space="preserve">“battleship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single ordering can satisfy them all, and the assemblages break into mutually incompatible orderings whose number directly measures the structure of past interaction</w:t>
      </w:r>
      <w:r>
        <w:t xml:space="preserve"> </w:t>
      </w:r>
      <w:r>
        <w:t xml:space="preserve">(Lipo et al. 1997, 2015)</w:t>
      </w:r>
      <w:r>
        <w:t xml:space="preserve">. An assemblage that falls into several of them bridges sequences rather than forming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the index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Therefore, we must calibrate our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drives only some of these signatures (Table 1). Environmental patchiness, in which similar people occupy distinct ecological zones, produces spatial structure without departing from neutral transmission and without losing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as we discuss next. Because of these complications,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drives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This kind of convergence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an idealized expectation, lets us treat an absence of structure as a real result rather than a resolution failure. The Materials and Methods section and the Supplemental Text give the procedure and its parameters.</w:t>
      </w:r>
    </w:p>
    <w:p>
      <w:pPr>
        <w:pStyle w:val="BodyText"/>
      </w:pPr>
      <w:r>
        <w:t xml:space="preserve">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404980"/>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shows the observed trend (-0.048): a rank correlation of F_{ST} with seriation position, not an F_{ST} 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shows the observed trend (-0.048): a rank correlation of</w:t>
      </w:r>
      <w:r>
        <w:t xml:space="preserve"> </w:t>
      </w:r>
      <m:oMath>
        <m:sSub>
          <m:e>
            <m:r>
              <m:t>F</m:t>
            </m:r>
          </m:e>
          <m:sub>
            <m:r>
              <m:t>S</m:t>
            </m:r>
            <m:r>
              <m:t>T</m:t>
            </m:r>
          </m:sub>
        </m:sSub>
      </m:oMath>
      <w:r>
        <w:t xml:space="preserve"> </w:t>
      </w:r>
      <w:r>
        <w:t xml:space="preserve">with seriation position, not an</w:t>
      </w:r>
      <w:r>
        <w:t xml:space="preserve"> </w:t>
      </w:r>
      <m:oMath>
        <m:sSub>
          <m:e>
            <m:r>
              <m:t>F</m:t>
            </m:r>
          </m:e>
          <m:sub>
            <m:r>
              <m:t>S</m:t>
            </m:r>
            <m:r>
              <m:t>T</m:t>
            </m:r>
          </m:sub>
        </m:sSub>
      </m:oMath>
      <w:r>
        <w:t xml:space="preserve"> </w:t>
      </w:r>
      <w:r>
        <w:t xml:space="preserve">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43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t>
      </w:r>
      <w:r>
        <w:t xml:space="preserve">together with the collections reported there. The assemblages in this study underlie the original phase definitions, amended with additional locations and evaluated for statistical sufficiency. We restrict the analysis to decorated classes on theoretical grounds. The expectations of neutral transmission apply to stylistic variation, meaning variants that carry no difference in performance and whose frequencies therefore change through copying and chance alone</w:t>
      </w:r>
      <w:r>
        <w:t xml:space="preserve"> </w:t>
      </w:r>
      <w:r>
        <w:t xml:space="preserve">(Dunnell 1978; Neiman 1995)</w:t>
      </w:r>
      <w:r>
        <w:t xml:space="preserve">. Plain wares are everything else, that is, all sherds without stylistic decorative elements. Their abundance tracks vessel function, paste technology, and the activities carried out at a site, none of which a drift model represents. Mississippi Plain and Bell Plain, which differ from one another only in paste, make up 87 percent of the sherds in the one published table for this region that reports them</w:t>
      </w:r>
      <w:r>
        <w:t xml:space="preserve"> </w:t>
      </w:r>
      <w:r>
        <w:t xml:space="preserve">(Mainfort 2003)</w:t>
      </w:r>
      <w:r>
        <w:t xml:space="preserve">. They are excluded. Ten decorated classes remain. One pools Barton Incised, Kent Incised, and Mound Place Incised, and one pools the painted types Old Town Red, Nodena Red and White, and Avenue Polychrome. Every assemblage takes its counts from a single source, and no counts are summed across sources. Of the 38 assemblages, 20 come from Lipo’s compilation, which adds controlled surface collections and limited excavation carried out in 1996 and 1997 at seven of them, six being recollections of sites the original survey had sampled and one, Holden Lake, a new collection</w:t>
      </w:r>
      <w:r>
        <w:t xml:space="preserve"> </w:t>
      </w:r>
      <w:r>
        <w:t xml:space="preserve">(Lipo 2001)</w:t>
      </w:r>
      <w:r>
        <w:t xml:space="preserve">. The other 18 carry the survey’s counts alone. Mainfort</w:t>
      </w:r>
      <w:r>
        <w:t xml:space="preserve"> </w:t>
      </w:r>
      <w:r>
        <w:t xml:space="preserve">(2003)</w:t>
      </w:r>
      <w:r>
        <w:t xml:space="preserve"> </w:t>
      </w:r>
      <w:r>
        <w:t xml:space="preserve">assembled an overlapping table of 39 sites with at least 800 sherds each, transcribed largely from the same survey files. His counts are therefore not independent of ours. They match the survey’s at 11 of the 21 sites the two share and exceed them at the other ten. His acknowledgments report that collections housed at the C. H. Nash Museum at Chucalissa were analyzed for the study</w:t>
      </w:r>
      <w:r>
        <w:t xml:space="preserve"> </w:t>
      </w:r>
      <w:r>
        <w:t xml:space="preserve">(Mainfort 2003:182)</w:t>
      </w:r>
      <w:r>
        <w:t xml:space="preserve">, and six of those ten sites (Walls, Irby, Woodlyn, Beck, Belle Meade, and Mound Place) lie in the Memphis locality, so we infer that the excess is later collections from those sites. He does not itemize sources by site, and the inference is ours. We do not combine his counts with ours. We use his table for a second, separate analysis reported at the end of the Results, because he assigned his sites to phases under a configuration that differs from the one in Figure 1, and two schemes drawn through the same sites are the material for asking whether either set of lines is where anything changes. The broader 266-assemblage compilation of the survey’s counts</w:t>
      </w:r>
      <w:r>
        <w:t xml:space="preserve"> </w:t>
      </w:r>
      <w:r>
        <w:t xml:space="preserve">(Lipo 2001)</w:t>
      </w:r>
      <w:r>
        <w:t xml:space="preserve"> </w:t>
      </w:r>
      <w:r>
        <w:t xml:space="preserve">enters only the regional comparisons and the settlement cross-checks.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phases of the St. Francis basin, the setting of Parkin. The unit under test is the phase scheme itself, so membership is phase membership: an assemblage enters the analysis when Mainfort</w:t>
      </w:r>
      <w:r>
        <w:t xml:space="preserve"> </w:t>
      </w:r>
      <w:r>
        <w:t xml:space="preserve">(1996b)</w:t>
      </w:r>
      <w:r>
        <w:t xml:space="preserve"> </w:t>
      </w:r>
      <w:r>
        <w:t xml:space="preserve">assigns it to one of the five phases named above, or when the assemblage falls inside the territory his assignments define. Two further rules apply. The Parchman phase is excluded on geography: its three assemblages lie across the Mississippi in Coahoma County, 30 to 46 km from the nearest other assemblage and 77 km from the centroid of the rest, and no definition of the St. Francis basin reaches them. And an assemblage enters only with at least 75 decorated sherds. That number is chosen by measurement rather than convention. The cultural</w:t>
      </w:r>
      <w:r>
        <w:t xml:space="preserve"> </w:t>
      </w:r>
      <m:oMath>
        <m:sSub>
          <m:e>
            <m:r>
              <m:t>F</m:t>
            </m:r>
          </m:e>
          <m:sub>
            <m:r>
              <m:t>S</m:t>
            </m:r>
            <m:r>
              <m:t>T</m:t>
            </m:r>
          </m:sub>
        </m:sSub>
      </m:oMath>
      <w:r>
        <w:t xml:space="preserve"> </w:t>
      </w:r>
      <w:r>
        <w:t xml:space="preserve">we use is a plug-in estimator, and sampling alone manufactures differentiation between two assemblages drawn from one and the same population of pots, in rough proportion to one over the sample size. Drawing pairs of samples from the basin’s pooled class profile, so that everything between them is sampling, gives a spurious</w:t>
      </w:r>
      <w:r>
        <w:t xml:space="preserve"> </w:t>
      </w:r>
      <m:oMath>
        <m:sSub>
          <m:e>
            <m:r>
              <m:t>F</m:t>
            </m:r>
          </m:e>
          <m:sub>
            <m:r>
              <m:t>S</m:t>
            </m:r>
            <m:r>
              <m:t>T</m:t>
            </m:r>
          </m:sub>
        </m:sSub>
      </m:oMath>
      <w:r>
        <w:t xml:space="preserve"> </w:t>
      </w:r>
      <w:r>
        <w:t xml:space="preserve">whose median is nearly half the observed between-cluster value at 25 sherds, a fifth at 50, a seventh at 75, and a ninth at 100, with the 95th percentile first falling below the observed value at 75 (Supplemental Text). Seventy-five is therefore the lowest count at which the sampling artifact can no longer pass for the result, and above it the artifact shrinks slowly while assemblages are lost quickly. Mainfort’s</w:t>
      </w:r>
      <w:r>
        <w:t xml:space="preserve"> </w:t>
      </w:r>
      <w:r>
        <w:t xml:space="preserve">(2003)</w:t>
      </w:r>
      <w:r>
        <w:t xml:space="preserve"> </w:t>
      </w:r>
      <w:r>
        <w:t xml:space="preserve">rule of 800 sherds in all corresponds to about 100 decorated sherds, so ours is slightly the more permissive. The minimum removes six assemblages, and one consequence is that the Nodena phase is left with a single member, Carson Lake; a phase of one has no within-group variance to compare and, as an isolated point, would be handed its own spatial cluster, so it is not carried as a phase. What remains is 28 decorated assemblages holding 14,101 decorated sherds (median 251 per assemblage, range 79 to 1,709) in three phases, Parkin with 11 assemblages, Kent with 8, and Walls with 9; 25 carry Mainfort’s assignment and 3 the territory’s. Figure 1 shows seven phases and the analysis tests three, and the path from seven to three has three steps, each with its own reason. Jones Bayou and Tipton, in western Tennessee, never enter: the only decorated counts for their sites are Mainfort’s</w:t>
      </w:r>
      <w:r>
        <w:t xml:space="preserve"> </w:t>
      </w:r>
      <w:r>
        <w:t xml:space="preserve">(2003)</w:t>
      </w:r>
      <w:r>
        <w:t xml:space="preserve">, which this paper keeps as a comparison rather than a source, and neither the survey nor our own collections reached them. Parchman leaves on geography, as above. Nodena leaves on sample size: its three assemblages hold 47, 38, and 153 decorated sherds, and after the minimum only one remains. What survives is the three phases whose assemblages the survey and our collections sampled well enough for a between-group statistic to mean something, and they are also the three that sit along the St. Francis and its distributaries rather than on the far side of the Mississippi or beyond the basin’s northern edge. Nodena and Parchman are therefore not tested here, not because they are not phases but because the decorated record for them is too thin, or too far away, for the comparison to mean anything. The four untested phases remain on Figure 1 because the scheme is what the paper is about, and the reader should see all of it. As drawn, these phases spill beyond the drainage that names them; the farthest member sits 40.6 km from the St. Francis system, and a 20 km corridor around that drainage would exclude ten assemblages that carry a phase label. A stricter rule, keeping only phase members nearer the St. Francis system than the Mississippi, would yield 17; the analyses below use the phase set, since the phases are the unit under test.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Our test investigates how far interaction narrowed anywhere in the basin, that is, how far potters came to copy mainly within a group and rarely across its edge. We explore this question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This kind of aggregation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prevents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in cultural</w:t>
      </w:r>
      <w:r>
        <w:t xml:space="preserve"> </w:t>
      </w:r>
      <m:oMath>
        <m:sSub>
          <m:e>
            <m:r>
              <m:t>F</m:t>
            </m:r>
          </m:e>
          <m:sub>
            <m:r>
              <m:t>S</m:t>
            </m:r>
            <m:r>
              <m:t>T</m:t>
            </m:r>
          </m:sub>
        </m:sSub>
      </m:oMath>
      <w:r>
        <w:t xml:space="preserve"> </w:t>
      </w:r>
      <w:r>
        <w:t xml:space="preserve">along the sequence after subsampling each assemblage to a common sherd count. That trend is a signed rank correlation, so reversing the axis reverses the sign of the trend. Because the trend is negligible after subsampling, its orientation does not change the verdict. We run the spatial simulations below under the two orientations and return to both limits in the discussion.</w:t>
      </w:r>
    </w:p>
    <w:p>
      <w:pPr>
        <w:pStyle w:val="CaptionedFigure"/>
      </w:pPr>
      <w:r>
        <w:drawing>
          <wp:inline>
            <wp:extent cx="5334000" cy="3639186"/>
            <wp:effectExtent b="0" l="0" r="0" t="0"/>
            <wp:docPr descr="Figure 4. 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We compute spatial assortativity using Brainerd-Robinson similarity</w:t>
      </w:r>
      <w:r>
        <w:t xml:space="preserve"> </w:t>
      </w:r>
      <w:r>
        <w:t xml:space="preserve">(Brainerd 1951; Robinson 1951)</w:t>
      </w:r>
      <w:r>
        <w:t xml:space="preserve">, a standard index of class proportions that runs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that treats decorated-class composition as a continuous spatial field over the assemblage coordinates and asks how much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Supplemental Text describes the model, its priors, and its diagnostics.</w:t>
      </w:r>
    </w:p>
    <w:p>
      <w:pPr>
        <w:pStyle w:val="BodyText"/>
      </w:pPr>
      <w:r>
        <w:t xml:space="preserve">Two safeguards are essential before interpreting any of these signatures.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whether, using large, clean synthetic assemblages, the four signatures can in principle separate a bounded interaction group from the three processes that can resemble it but are not bounded groups and can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These include a bounded interaction group and three processes that can resemble it. These processes consist of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We built group closure of known, adjustable strength</w:t>
      </w:r>
      <w:r>
        <w:t xml:space="preserve"> </w:t>
      </w:r>
      <w:r>
        <w:rPr>
          <w:i/>
          <w:iCs/>
        </w:rPr>
        <w:t xml:space="preserve">s</w:t>
      </w:r>
      <w:r>
        <w:t xml:space="preserve"> </w:t>
      </w:r>
      <w:r>
        <w:t xml:space="preserve">into these,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we time-average the assemblages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For each</w:t>
      </w:r>
      <w:r>
        <w:t xml:space="preserve"> </w:t>
      </w:r>
      <w:r>
        <w:rPr>
          <w:i/>
          <w:iCs/>
        </w:rPr>
        <w:t xml:space="preserve">s</w:t>
      </w:r>
      <w:r>
        <w:t xml:space="preserve">, our simulations give the distribution of the trajectory statistic it produces, and the observed statistic yields a posterior over</w:t>
      </w:r>
      <w:r>
        <w:t xml:space="preserve"> </w:t>
      </w:r>
      <w:r>
        <w:rPr>
          <w:i/>
          <w:iCs/>
        </w:rPr>
        <w:t xml:space="preserve">s</w:t>
      </w:r>
      <w:r>
        <w:t xml:space="preserve"> </w:t>
      </w:r>
      <w:r>
        <w:t xml:space="preserve">under a uniform prior over the imposed range. No threshold or error rate is involved in our evaluation. The posterior refers to closure expressed as this imposed trajectory of increasing divergence. A stable boundary present from the start of the sequence would not produce a rising trend. Instead, the drift comparison addresses that case.</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This step involves tuning a model’s parameters so it reproduces the data features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a baseline, we use whichever diversity-matched parameter combination produces the highest</w:t>
      </w:r>
      <w:r>
        <w:t xml:space="preserve"> </w:t>
      </w:r>
      <m:oMath>
        <m:sSub>
          <m:e>
            <m:r>
              <m:t>F</m:t>
            </m:r>
          </m:e>
          <m:sub>
            <m:r>
              <m:t>S</m:t>
            </m:r>
            <m:r>
              <m:t>T</m:t>
            </m:r>
          </m:sub>
        </m:sSub>
      </m:oMath>
      <w:r>
        <w:t xml:space="preserve"> </w:t>
      </w:r>
      <w:r>
        <w:t xml:space="preserve">across the partition being tested, so the comparison favors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67"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matches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to the two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0.15 and a 95 percent credible interval of 0.00 to 0.36, with none of its mass at strengths of 0.5 or more. Mass here is probability. A posterior spreads a total of one across the possible values, and the share sitting in a range is how much of that total the data and the model place there.</w:t>
      </w:r>
    </w:p>
    <w:p>
      <w:pPr>
        <w:pStyle w:val="BodyText"/>
      </w:pPr>
      <w:r>
        <w:t xml:space="preserve">Time-averaging widens that posterior. Each assemblage pools sherds deposited over time, and when the simulation includes that pooling, the median rises to 0.31. The credible interval, the range that holds a stated share of the posterior probability, extends from 0.00 to 0.65, and the mass above 0.5 rises to 0.20. Time-averaging, not sample size alone, makes moderate closure hard to exclude. At this record size, and with its time-averaging, between-group variance is the one signature that can tell a bounded group from drift. The other three cannot separate closure from drift here at any strength. We report them here for completeness but can draw no inference from them.</w:t>
      </w:r>
    </w:p>
    <w:p>
      <w:pPr>
        <w:pStyle w:val="CaptionedFigure"/>
      </w:pPr>
      <w:r>
        <w:drawing>
          <wp:inline>
            <wp:extent cx="5334000" cy="2692949"/>
            <wp:effectExtent b="0" l="0" r="0" t="0"/>
            <wp:docPr descr="Figure 5. Record-matched, size-controlled recovery of the signatures. Left: each signature’s response (Spearman trend versus ordinal position) to a known degree of group closure imposed on the real configuration of 28 assemblages and subsampled to a common count. Only cultural F_{ST} 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 F_{ST} trend is a rank correlation of -0.048, averaged over 4,000 subsamples, against a draw-to-draw spread of -0.80 to +0.4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28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w:t>
      </w:r>
      <w:r>
        <w:t xml:space="preserve"> </w:t>
      </w:r>
      <m:oMath>
        <m:sSub>
          <m:e>
            <m:r>
              <m:t>F</m:t>
            </m:r>
          </m:e>
          <m:sub>
            <m:r>
              <m:t>S</m:t>
            </m:r>
            <m:r>
              <m:t>T</m:t>
            </m:r>
          </m:sub>
        </m:sSub>
      </m:oMath>
      <w:r>
        <w:t xml:space="preserve"> </w:t>
      </w:r>
      <w:r>
        <w:t xml:space="preserve">trend is a rank correlation of -0.048, averaged over 4,000 subsamples, against a draw-to-draw spread of -0.80 to +0.40.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becoming more disparate rather than moving together. Two of its trends, though, are sampling artifacts. Assemblage size itself trends with seriation position, so any estimator that is sensitive to sample size trends with it too.</w:t>
      </w:r>
    </w:p>
    <w:p>
      <w:pPr>
        <w:pStyle w:val="BodyText"/>
      </w:pPr>
      <w:r>
        <w:t xml:space="preserve">Size control removes the apparent trend in cultural</w:t>
      </w:r>
      <w:r>
        <w:t xml:space="preserve"> </w:t>
      </w:r>
      <m:oMath>
        <m:sSub>
          <m:e>
            <m:r>
              <m:t>F</m:t>
            </m:r>
          </m:e>
          <m:sub>
            <m:r>
              <m:t>S</m:t>
            </m:r>
            <m:r>
              <m:t>T</m:t>
            </m:r>
          </m:sub>
        </m:sSub>
      </m:oMath>
      <w:r>
        <w:t xml:space="preserve">. Once we subsample every assemblage to a common sherd count, the trend across the sequence moves from a raw rank correlation of -0.80 to -0.048, averaged over 4,000 subsamples, and a single subsample returns anything from -0.80 to +0.40. The record resolves no trend at all. What can be measured is measured on four of the six bins, because two bins hold assemblages of a single spatial cluster and so have no between-cluster variance; at this grain the ends of the chronology are places. Read against the recovery experiment, a trend of this size corresponds to a closure strength with a posterior median of 0.15 and a 95 percent credible interval of 0.00 to 0.36, which puts no mass above 0.5. The record is consistent with weak closure and with none.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are small (posterior median 0.15, interval 0.00 to 0.36; 0.22 and 0.00 to 0.56 once the record’s time-averaging is imposed), and no posterior mass sits above s = 0.5 without time-averaging and 8 percent with it.</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52347"/>
            <wp:effectExtent b="0" l="0" r="0" t="0"/>
            <wp:docPr descr="Figure 6. The empirical four-signature trajectory along the CA seriation axis for the St. Francis basin (28 assemblages, six bins, two of which hold assemblages of a single spatial cluster and so carry no between-cluster F_{ST}), size-controlled by subsampling every assemblage to a common count. The reliable signature, cultural F_{ST},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(28 assemblages, six bins, two of which hold assemblages of a single spatial cluster and so carry no between-cluster</w:t>
      </w:r>
      <w:r>
        <w:t xml:space="preserve"> </w:t>
      </w:r>
      <m:oMath>
        <m:sSub>
          <m:e>
            <m:r>
              <m:t>F</m:t>
            </m:r>
          </m:e>
          <m:sub>
            <m:r>
              <m:t>S</m:t>
            </m:r>
            <m:r>
              <m:t>T</m:t>
            </m:r>
          </m:sub>
        </m:sSub>
      </m:oMath>
      <w:r>
        <w:t xml:space="preserve">), size-controlled by subsampling every assemblage to a common count. The reliable signature, cultural</w:t>
      </w:r>
      <w:r>
        <w:t xml:space="preserve"> </w:t>
      </w:r>
      <m:oMath>
        <m:sSub>
          <m:e>
            <m:r>
              <m:t>F</m:t>
            </m:r>
          </m:e>
          <m:sub>
            <m:r>
              <m:t>S</m:t>
            </m:r>
            <m:r>
              <m:t>T</m:t>
            </m:r>
          </m:sub>
        </m:sSub>
      </m:oMath>
      <w:r>
        <w:t xml:space="preserve">,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ten testable classes finds no population-level departure from unbiased copying (posterior median +0.009, 95 percent credible interval -0.041 to +0.083,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does not ask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calibration step, without which a between-group comparison measures the model’s parameter choices as much as the record.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tuning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reproduces the record’s diversity at only one of 297 combinations of population size, innovation rate, and mixing, at the corner of the grid where mixing is highest, and at none elsewhere. The obstacle is the record’s shape.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Fifty-six of the 297 parameter combinations then match the record’s diversity on a six-seed screen, and 49 of those still match when re-simulated at fifty seeds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chosen on fifty seeds, the observed between-cluster cultural</w:t>
      </w:r>
      <w:r>
        <w:t xml:space="preserve"> </w:t>
      </w:r>
      <m:oMath>
        <m:sSub>
          <m:e>
            <m:r>
              <m:t>F</m:t>
            </m:r>
          </m:e>
          <m:sub>
            <m:r>
              <m:t>S</m:t>
            </m:r>
            <m:r>
              <m:t>T</m:t>
            </m:r>
          </m:sub>
        </m:sSub>
      </m:oMath>
      <w:r>
        <w:t xml:space="preserve"> </w:t>
      </w:r>
      <w:r>
        <w:t xml:space="preserve">of 0.006 at the two clusters the silhouette selects lies inside the drift 95 percent interval of 0.0003 to 0.015 (median 0.003). Sixteen percent of simulated datasets reach the observed value under the seriation order, 16 percent under the reversed order, and 22 percent when the assemblages are treated as contemporaneous. No diversity-matched parameter combination in the calibration series reaches it at the median; the highest fifty-seed median among the 49 that match is 0.003, and 20 of the 49 cover the observation within their 95 percent intervals (Figure S4). At the grain the data select, then, the differentiation sits within what drift produces, and the excess appears only when the basin is divided more finely, as reported below. Calibrated drift also returns a single ceramic community in 325 of 500 runs, whereas the data give two communities with a between-community</w:t>
      </w:r>
      <w:r>
        <w:t xml:space="preserve"> </w:t>
      </w:r>
      <m:oMath>
        <m:sSub>
          <m:e>
            <m:r>
              <m:t>F</m:t>
            </m:r>
          </m:e>
          <m:sub>
            <m:r>
              <m:t>S</m:t>
            </m:r>
            <m:r>
              <m:t>T</m:t>
            </m:r>
          </m:sub>
        </m:sSub>
      </m:oMath>
      <w:r>
        <w:t xml:space="preserve"> </w:t>
      </w:r>
      <w:r>
        <w:t xml:space="preserve">of 0.039. In the 175 runs that do return two or more, the between-community</w:t>
      </w:r>
      <w:r>
        <w:t xml:space="preserve"> </w:t>
      </w:r>
      <m:oMath>
        <m:sSub>
          <m:e>
            <m:r>
              <m:t>F</m:t>
            </m:r>
          </m:e>
          <m:sub>
            <m:r>
              <m:t>S</m:t>
            </m:r>
            <m:r>
              <m:t>T</m:t>
            </m:r>
          </m:sub>
        </m:sSub>
      </m:oMath>
      <w:r>
        <w:t xml:space="preserve"> </w:t>
      </w:r>
      <w:r>
        <w:t xml:space="preserve">runs from 0.008 to 0.043, and 1 percent of runs reach the observed value. That drift produces multiple communities in a third of its runs is worth stating plainly: the number of communities is a weak discriminator here, and only their differentiation separates the record from the null. It would be natural to interpret an excess over drift as the mark of a boundary. Whether it is depends on what a model with boundaries predicts, which is the next comparison.</w:t>
      </w:r>
    </w:p>
    <w:p>
      <w:pPr>
        <w:pStyle w:val="BodyText"/>
      </w:pPr>
      <w:r>
        <w:t xml:space="preserve">Drift does reproduce the distance decay of similarity, the tendency for assemblages farther apart to share less (observed r = -0.21 against a drift interval of -0.29 to +0.08). Similarity across the cluster boundaries, however, is</w:t>
      </w:r>
      <w:r>
        <w:t xml:space="preserve"> </w:t>
      </w:r>
      <w:r>
        <w:rPr>
          <w:i/>
          <w:iCs/>
        </w:rPr>
        <w:t xml:space="preserve">lower</w:t>
      </w:r>
      <w:r>
        <w:t xml:space="preserve"> </w:t>
      </w:r>
      <w:r>
        <w:t xml:space="preserve">in the data than distance alone predicts: the distance-controlled boundary excess is +14.0, within-cluster pairs more alike than between-cluster pairs at matched distance, and it falls outside both the drift interval (-9.7 to +8.7) and the bounded-groups intervals.</w:t>
      </w:r>
    </w:p>
    <w:p>
      <w:pPr>
        <w:pStyle w:val="BodyText"/>
      </w:pPr>
      <w:r>
        <w:t xml:space="preserve">The bounded-groups process at the same calibration does little better. Reducing copying across the spatial clusters to a multiplier of 0.5, 0.1, or 0.03 leaves the median</w:t>
      </w:r>
      <w:r>
        <w:t xml:space="preserve"> </w:t>
      </w:r>
      <m:oMath>
        <m:sSub>
          <m:e>
            <m:r>
              <m:t>F</m:t>
            </m:r>
          </m:e>
          <m:sub>
            <m:r>
              <m:t>S</m:t>
            </m:r>
            <m:r>
              <m:t>T</m:t>
            </m:r>
          </m:sub>
        </m:sSub>
      </m:oMath>
      <w:r>
        <w:t xml:space="preserve"> </w:t>
      </w:r>
      <w:r>
        <w:t xml:space="preserve">between 0.002 and 0.004. The observation does fall inside the bounded-groups interval, but through the wide upper tail of an interval estimated from 30 runs, between 20 and 33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puts their between-cluster differentiation at two and a half times its median at the coarsest grain, inside its interval, and three- to fivefold above its median at finer grains, outside it, and restricted copying, as we model it, accounts for only a small part of that difference. Together, the two comparisons do not select between the processes. They identify something in the record that neither model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99.6 percent of assemblage-level compositional variance to the spatial field (95 percent credible interval 0.973 to 1.000). Almost nothing remains of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0.0062 at two clusters to 0.0302 at five, though not on which particular division is drawn at a given grain (Supplemental Text).</w:t>
      </w:r>
    </w:p>
    <w:bookmarkStart w:id="162"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not just a caveat. The drift model rests on four simplifying assumptions.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0.0025 against the observed 0.0062, falls short by about two and a half fold at the median, with the observation inside its interval.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fivefold across the range swept. But it also lowers the average population that governs drift, so drift runs faster everywhere and within-assemblage diversity falls below what the record shows; the match is gone by a coefficient of variation of 1.0. At the inequality the settlement record itself suggests, the model comes within a factor of 1.5 to 1.1 of the observation, with the match already lost. Transport geography comes closer but still falls short. We varied the distance metric, the interaction length, and the shape of the decay itself, since an exponential fall-off is an assumption rather than a measurement. On this set neither metric, at any length from 6 to 96 kilometers, moves the median by more than a few thousandths. The river metric is the null most favorable to drift, which is why we use it, not because the pottery follows it: between assemblages in different phases, ceramic distance tracks straight-line separation and not river distance (Supplemental Text). The best case that keeps the diversity fit, a straight-line exponential decay at 6 kilometers, narrows the shortfall only from 2.5-fold to 2.1; a Gaussian decay along the rivers at 6 kilometers reaches 1.5 and loses the fit.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w:t>
      </w:r>
    </w:p>
    <w:p>
      <w:pPr>
        <w:pStyle w:val="BodyText"/>
      </w:pPr>
      <w:r>
        <w:t xml:space="preserve">The fourth assumption matters most. When innovation respects group boundaries, so that each spatial cluster draws new variants from its own profile rather than from a region-wide pool, a weak boundary moves the statistic further than any other relaxation we tried. At a permuted fraction of 0.2, meaning that a fifth of the classes are reassigned within each cluster’s innovation profile, the model gives a median</w:t>
      </w:r>
      <w:r>
        <w:t xml:space="preserve"> </w:t>
      </w:r>
      <m:oMath>
        <m:sSub>
          <m:e>
            <m:r>
              <m:t>F</m:t>
            </m:r>
          </m:e>
          <m:sub>
            <m:r>
              <m:t>S</m:t>
            </m:r>
            <m:r>
              <m:t>T</m:t>
            </m:r>
          </m:sub>
        </m:sSub>
      </m:oMath>
      <w:r>
        <w:t xml:space="preserve"> </w:t>
      </w:r>
      <w:r>
        <w:t xml:space="preserve">of 0.0059 against the observed 0.0062, and at 0.25 a median of 0.0125, with within-assemblage diversity, class richness and pooled diversity inside the calibration’s tolerance at both; the match holds through 0.3 and breaks at 0.4. It is the only one of the four that changes what innovation does rather than how fast drift runs, so it raises differentiation without disturbing diversity. We report the values at 1,200 realizations per cell. The individual realizations are very widely spread, from 0.0004 to 0.16 at those settings, so the agreement is between the model’s central tendency and the observation rather than between tight distributions.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t xml:space="preserve">The difference that remains is not spread evenly across the basin, and it is not centered on Parkin. We decomposed the between-cluster term of</w:t>
      </w:r>
      <w:r>
        <w:t xml:space="preserve"> </w:t>
      </w:r>
      <m:oMath>
        <m:sSub>
          <m:e>
            <m:r>
              <m:t>F</m:t>
            </m:r>
          </m:e>
          <m:sub>
            <m:r>
              <m:t>S</m:t>
            </m:r>
            <m:r>
              <m:t>T</m:t>
            </m:r>
          </m:sub>
        </m:sSub>
      </m:oMath>
      <w:r>
        <w:t xml:space="preserve"> </w:t>
      </w:r>
      <w:r>
        <w:t xml:space="preserve">by cluster at five groups and compared each cluster’s term with its counterpart in 300 calibrated drift realizations. The two thinnest clusters, five Kent-phase assemblages around Kent Place holding 765 sherds and five around Walls holding 918, exceed their drift medians 30-fold and 7-fold, and together they supply 63 percent of the observed statistic. The cluster containing Parkin and nine neighboring assemblages, the best sampled in the basin at 6,555 sherds, exceeds drift 4-fold. The two clusters of four along the Mississippi, from Beck to Hollywood and from Castile Landing to Nickel, sit at 2.3- and 2.2-fold. The simulated records are drawn at the observed sherd totals, so sampling error alone does not produce this pattern. Nor is it the tally the counts came from: where a cluster holds assemblages carrying the survey’s counts alone and assemblages carrying Lipo’s compilation, the two kinds of row differ no more than a random split of the cluster into groups of the same sizes (Supplemental Text). But an excess that follows the thinnest samples rather than the putative center is not what closure around Parkin would leave.</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0.006</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its size-controlled trend is -0.048 against a draw-to-draw spread of -0.80 to +0.40, which corresponds to a closure strength of 0.15 (0.00 to 0.36): none the record resolves</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at two clusters the observed 0.0062 lies inside its interval at 2.5 times its median of 0.0025, and at five clusters it falls short 4.6-fold</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Fails the standard.</w:t>
            </w:r>
            <w:r>
              <w:t xml:space="preserve"> </w:t>
            </w:r>
            <w:r>
              <w:t xml:space="preserve">Medians run 0.0020 to 0.0044 at both interaction lengths whatever the restriction, against the observed 0.0062; the observation is reached in 20 to 33 percent of realizations, through the upper tail</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1.8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from 0.0026 to 0.0122, but the average population that governs drift falls with it, and the diversity match is gone by a coefficient of variation of 1.0; shortfall 1.5-fold at 1.0 and the observation passed by 2.0, with the match lost</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that keeps the diversity match, a straight-line exponential decay at 6 km, narrows the shortfall only to 2.1-fold; a Gaussian along the rivers at 6 km reaches 1.5-fold and breaks the match</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stays at 0.0023 to 0.0026 at every half-range and the shortfall at 2.4 to 2.7-fold; the statistic is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 at 1,200 realizations per cell</w:t>
            </w:r>
          </w:p>
        </w:tc>
        <w:tc>
          <w:tcPr/>
          <w:p>
            <w:pPr>
              <w:pStyle w:val="Compact"/>
            </w:pPr>
            <w:r>
              <w:rPr>
                <w:b/>
                <w:bCs/>
              </w:rPr>
              <w:t xml:space="preserve">Meets the standard.</w:t>
            </w:r>
            <w:r>
              <w:t xml:space="preserve"> </w:t>
            </w:r>
            <w:r>
              <w:t xml:space="preserve">At a permuted fraction of 0.2 the median is 0.0059 and at 0.25 it is 0.0125, against the observed 0.0062, with all three diversity summaries matched; the match holds through 0.3 and breaks at 0.4. Individual realizations are very widely spread, so this is agreement of a central tendency with the observation</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34 maximal co-seriable groups with a maximum size of four, and 18 of the 28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three groups and ranked tenth of 28 by membership,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719607"/>
            <wp:effectExtent b="0" l="0" r="0" t="0"/>
            <wp:docPr descr="Figure 7. 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719607"/>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Its principal mound is a flat-topped temple mound 6.5 m (21.3 ft) high on the western edge of the site, overlooking the St. Francis River, with an extension 1.5 m high at its southern end; six smaller mounds near it, mapped in 1940, range from 0.5 to 1 m. The site itself measures 17 acres (6.9 ha), is bordered by a wide ditch on its northern, eastern, and southern edges, and its occupational deposits rise 3 m above the surrounding floodplain</w:t>
      </w:r>
      <w:r>
        <w:t xml:space="preserve"> </w:t>
      </w:r>
      <w:r>
        <w:t xml:space="preserve">(Morse 1981, 1990)</w:t>
      </w:r>
      <w:r>
        <w:t xml:space="preserve">. At 21.3 ft the temple mound is the second tallest among the 55 basin sites with a recorded height, behind one site at 23 feet, and the ratio of the tallest to the second tallest is 1.08 (Figure 8). The comparison is uneven in one respect we cannot correct: Parkin’s height comes from excavation reporting, while the other 54 come from a regional compilation that records no per-site provenance.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w:t>
      </w:r>
    </w:p>
    <w:p>
      <w:pPr>
        <w:pStyle w:val="BodyText"/>
      </w:pPr>
      <w:r>
        <w:t xml:space="preserve">Everything above measures differentiation across a partition the analysis draws, which answers whether structure exists at a given grain. It does not answer the question the phases themselves pose, which is whether the boundaries culture history drew are where that structure lies. The phases are not arbitrary lines. They are where generations of workers thought they saw structure, so the question is what that perception was tracking.</w:t>
      </w:r>
    </w:p>
    <w:p>
      <w:pPr>
        <w:pStyle w:val="BodyText"/>
      </w:pPr>
      <w:r>
        <w:t xml:space="preserve">The answer depends first on grain, and that dependence is itself a result (Figure 12A). Calibrated drift produces much the same modest differentiation however finely the assemblages are grouped, its median between-cluster</w:t>
      </w:r>
      <w:r>
        <w:t xml:space="preserve"> </w:t>
      </w:r>
      <m:oMath>
        <m:sSub>
          <m:e>
            <m:r>
              <m:t>F</m:t>
            </m:r>
          </m:e>
          <m:sub>
            <m:r>
              <m:t>S</m:t>
            </m:r>
            <m:r>
              <m:t>T</m:t>
            </m:r>
          </m:sub>
        </m:sSub>
      </m:oMath>
      <w:r>
        <w:t xml:space="preserve"> </w:t>
      </w:r>
      <w:r>
        <w:t xml:space="preserve">rising only from 0.002 at two groups to 0.007 at six. The observed values do not behave that way. At two groups, the grain the silhouette selects, the record falls inside what drift produces; from three groups upward it exceeds the 95 percent interval at five groups and finer, by 4.6-fold at five; at three and four groups the shortfall is 3.3-fold but the observation stays inside the interval. Drift on the real geography accounts for the broad regional pattern and fails locally, and the finer the cut the worse it fails. No single</w:t>
      </w:r>
      <w:r>
        <w:t xml:space="preserve"> </w:t>
      </w:r>
      <m:oMath>
        <m:sSub>
          <m:e>
            <m:r>
              <m:t>F</m:t>
            </m:r>
          </m:e>
          <m:sub>
            <m:r>
              <m:t>S</m:t>
            </m:r>
            <m:r>
              <m:t>T</m:t>
            </m:r>
          </m:sub>
        </m:sSub>
      </m:oMath>
      <w:r>
        <w:t xml:space="preserve"> </w:t>
      </w:r>
      <w:r>
        <w:t xml:space="preserve">is therefore</w:t>
      </w:r>
      <w:r>
        <w:t xml:space="preserve"> </w:t>
      </w:r>
      <w:r>
        <w:rPr>
          <w:i/>
          <w:iCs/>
        </w:rPr>
        <w:t xml:space="preserve">the</w:t>
      </w:r>
      <w:r>
        <w:t xml:space="preserve"> </w:t>
      </w:r>
      <w:r>
        <w:t xml:space="preserve">value for this basin; the level is a property of the scale, and only the comparison against drift is stable across scales.</w:t>
      </w:r>
    </w:p>
    <w:p>
      <w:pPr>
        <w:pStyle w:val="BodyText"/>
      </w:pPr>
      <w:r>
        <w:t xml:space="preserve">We then computed the between-group</w:t>
      </w:r>
      <w:r>
        <w:t xml:space="preserve"> </w:t>
      </w:r>
      <m:oMath>
        <m:sSub>
          <m:e>
            <m:r>
              <m:t>F</m:t>
            </m:r>
          </m:e>
          <m:sub>
            <m:r>
              <m:t>S</m:t>
            </m:r>
            <m:r>
              <m:t>T</m:t>
            </m:r>
          </m:sub>
        </m:sSub>
      </m:oMath>
      <w:r>
        <w:t xml:space="preserve"> </w:t>
      </w:r>
      <w:r>
        <w:t xml:space="preserve">under the phase assignments themselves, 0.0110, and placed it against partitions that carry the phases’ own group sizes (8, 11, and 9 assemblages) but draw their boundaries elsewhere (Figure 12B, 12C). Against labels shuffled at random, which destroys geography, the phase partition exceeds 1,832 of 2,000 draws: assemblages near one another do resemble one another, as isolation by distance produces on its own. Against 1,000 partitions whose seed points fall at random, each assemblage assigned by exact minimum-cost matching under the phase group sizes, it sits at the 18th percentile against a median of 0.0154. Against 1,000 partitions drawn instead to minimize within-group dispersion, it sits at the 5th percentile against a median of 0.0171. Those percentiles are one-sided empirical percentiles; resampling the ensembles at the same draw count puts them at the 15th to 20th and the 4th to 6th.</w:t>
      </w:r>
    </w:p>
    <w:p>
      <w:pPr>
        <w:pStyle w:val="BodyText"/>
      </w:pPr>
      <w:r>
        <w:t xml:space="preserve">The phase boundaries therefore carry less information about where ceramic differences lie than an uninformed division of the same ground into groups of the same sizes, and far less than a division drawn to be spatially tight. A partition marking real interaction communities should behave otherwise: it should stand well above both, because its boundaries would be where the differences are. What the boundaries do track is spatial compactness, and closely. Their within-group dispersion, 190.5 km² per assemblage, is the tightest three-way division of these assemblages at these group sizes that our search found, and a local search minimizing dispersion, which never sees a potsherd, returned the phase partition exactly in 154 of 1,000 random restarts and nothing tighter in any of them. What the phase scheme appears to record is the gradient itself, real spatial structure read as edges.</w:t>
      </w:r>
    </w:p>
    <w:p>
      <w:pPr>
        <w:pStyle w:val="BodyText"/>
      </w:pPr>
      <w:r>
        <w:t xml:space="preserve">This comparison is internal to the partition and does not depend on the drift model, so the residual that model leaves does not bear on it. It does share the record’s central limitation. With an ordinal chronology derived from the same frequencies, a partition that is chronologically coherent will differentiate for reasons that are not spatial, and that applies to the phase partition and to every alternative it is judged against alike.</w:t>
      </w:r>
    </w:p>
    <w:p>
      <w:pPr>
        <w:pStyle w:val="CaptionedFigure"/>
      </w:pPr>
      <w:r>
        <w:drawing>
          <wp:inline>
            <wp:extent cx="5334000" cy="2584123"/>
            <wp:effectExtent b="0" l="0" r="0" t="0"/>
            <wp:docPr descr="Figure 12. Scale and boundaries. (A) Observed between-cluster cultural F_{ST} against the calibrated spatial-drift null as the basin is partitioned into two through six groups. The drift band is nearly flat; the observed values leave it from three groups upward and the gap widens with grain. (B) Within-group dispersion against cultural F_{ST} 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7), and no draw in either ensemble is tighter than the phases. (C) The phase partition’s F_{ST} (solid line) against the dispersion-minimizing ensemble, in which it sits at the 5th percentile." title="" id="148" name="Picture"/>
            <a:graphic>
              <a:graphicData uri="http://schemas.openxmlformats.org/drawingml/2006/picture">
                <pic:pic>
                  <pic:nvPicPr>
                    <pic:cNvPr descr="../../figures/fig12_phase_partition.png" id="149" name="Picture"/>
                    <pic:cNvPicPr>
                      <a:picLocks noChangeArrowheads="1" noChangeAspect="1"/>
                    </pic:cNvPicPr>
                  </pic:nvPicPr>
                  <pic:blipFill>
                    <a:blip r:embed="rId14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calibrated spatial-drift null as the basin is partitioned into two through six groups. The drift band is nearly flat; the observed values leave it from three groups upward and the gap widens with grain. (B) Within-group dispersion against cultural</w:t>
      </w:r>
      <w:r>
        <w:t xml:space="preserve"> </w:t>
      </w:r>
      <m:oMath>
        <m:sSub>
          <m:e>
            <m:r>
              <m:t>F</m:t>
            </m:r>
          </m:e>
          <m:sub>
            <m:r>
              <m:t>S</m:t>
            </m:r>
            <m:r>
              <m:t>T</m:t>
            </m:r>
          </m:sub>
        </m:sSub>
      </m:oMath>
      <w:r>
        <w:t xml:space="preserve"> </w:t>
      </w:r>
      <w:r>
        <w:t xml:space="preserve">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(+0.47), and no draw in either ensemble is tighter than the phases. (C) The phase partition’s</w:t>
      </w:r>
      <w:r>
        <w:t xml:space="preserve"> </w:t>
      </w:r>
      <m:oMath>
        <m:sSub>
          <m:e>
            <m:r>
              <m:t>F</m:t>
            </m:r>
          </m:e>
          <m:sub>
            <m:r>
              <m:t>S</m:t>
            </m:r>
            <m:r>
              <m:t>T</m:t>
            </m:r>
          </m:sub>
        </m:sSub>
      </m:oMath>
      <w:r>
        <w:t xml:space="preserve"> </w:t>
      </w:r>
      <w:r>
        <w:t xml:space="preserve">(solid line) against the dispersion-minimizing ensemble, in which it sits at the 5th percentile.</w:t>
      </w:r>
    </w:p>
    <w:p>
      <w:pPr>
        <w:pStyle w:val="BodyText"/>
      </w:pPr>
      <w:r>
        <w:t xml:space="preserve">If the boundaries are not where the differences are, what does the scheme record? We clustered the assemblages in a joint space of site coordinates and decorated-class composition, varying how much weight composition carries, and scored each result against the published phase assignments with the adjusted Rand index, which is zero in expectation for unrelated partitions (Figure 14). The three assemblages this study places by territory are excluded from that score, because a geographic fill rule measured against geography would manufacture the agreement it is meant to test; the remaining 25 are Mainfort’s own assignments. Partitions carrying the phases’ group sizes with their boundaries placed at random agree at 0.566, which is what three groups of these sizes produce on their own. The site coordinates alone reproduce Mainfort’s assignments exactly, an index of 1.000 as the median over 40 k-means initializations, though a minority of initializations settle at 0.607. Adding composition lowers the agreement at every weight: from a tenth of the coordinates’ weight through equal weight the median is 0.607, and composition alone reaches 0.215. The phase scheme is therefore recoverable from the site map with no pottery at all, and the pottery, when it enters, moves the answer away from the published phases rather than toward them.</w:t>
      </w:r>
    </w:p>
    <w:p>
      <w:pPr>
        <w:pStyle w:val="BodyText"/>
      </w:pPr>
      <w:r>
        <w:t xml:space="preserve">That figure is reported under the chi-square transform because it is the only one of the three we ran that has no free parameter. Thirty-eight percent of the cells in this matrix are zero, so a log-ratio transform cannot be computed without deciding what a zero is worth, and that decision moves the agreement at half weight from 0.53 to 0.77 as absence is amplified harder. The sensitivity is reported in full in the Supplemental Text rather than resolved by a choice.</w:t>
      </w:r>
    </w:p>
    <w:p>
      <w:pPr>
        <w:pStyle w:val="BodyText"/>
      </w:pPr>
      <w:r>
        <w:t xml:space="preserve">The boundaries themselves give the same answer from a different direction. Treating decorated-class composition as a continuous field and taking its local gradient yields a rate of compositional turnover at every point in the basin, in proportion units per kilometer (Figure 13A). An edge between interaction communities would appear as a ridge in that field. The published boundaries do not lie on ridges. Median turnover along them is 0.0104 per kilometer against 0.0124 for boundaries built the same way from 200 partitions carrying the phases’ group sizes with their seeds placed at random, and none of the 200 runs through slower-changing country than the phase boundaries do (Figure 13B). They fall where composition changes unusually slowly, not unusually fast. We report that matched comparison rather than the more obvious one against the mapped area as a whole, which gives the 24th percentile and is an artifact: turnover falls where local support rises, and boundaries of this construction necessarily lie in the interior of the site distribution, where support is highest.</w:t>
      </w:r>
    </w:p>
    <w:p>
      <w:pPr>
        <w:pStyle w:val="CaptionedFigure"/>
      </w:pPr>
      <w:r>
        <w:drawing>
          <wp:inline>
            <wp:extent cx="5296791" cy="2911400"/>
            <wp:effectExtent b="0" l="0" r="0" t="0"/>
            <wp:docPr descr="Figure 13. 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 F_{ST} against group radius in kilometers, with the calibrated drift band behind it; the axis runs from coarse to fine. The observed value rises from 0.0062 at an 18 km radius, inside the band, to 0.048 at 5 km, while the band’s upper edge rises from 0.016 to 0.028. Past a radius of about 10 km the partition begins isolating single assemblages, so finer grains are shown but should not be read as structure." title="" id="151" name="Picture"/>
            <a:graphic>
              <a:graphicData uri="http://schemas.openxmlformats.org/drawingml/2006/picture">
                <pic:pic>
                  <pic:nvPicPr>
                    <pic:cNvPr descr="../../figures/fig13_groupness_surface.png" id="152" name="Picture"/>
                    <pic:cNvPicPr>
                      <a:picLocks noChangeArrowheads="1" noChangeAspect="1"/>
                    </pic:cNvPicPr>
                  </pic:nvPicPr>
                  <pic:blipFill>
                    <a:blip r:embed="rId150"/>
                    <a:stretch>
                      <a:fillRect/>
                    </a:stretch>
                  </pic:blipFill>
                  <pic:spPr bwMode="auto">
                    <a:xfrm>
                      <a:off x="0" y="0"/>
                      <a:ext cx="5296791" cy="2911400"/>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w:t>
      </w:r>
      <w:r>
        <w:t xml:space="preserve"> </w:t>
      </w:r>
      <m:oMath>
        <m:sSub>
          <m:e>
            <m:r>
              <m:t>F</m:t>
            </m:r>
          </m:e>
          <m:sub>
            <m:r>
              <m:t>S</m:t>
            </m:r>
            <m:r>
              <m:t>T</m:t>
            </m:r>
          </m:sub>
        </m:sSub>
      </m:oMath>
      <w:r>
        <w:t xml:space="preserve"> </w:t>
      </w:r>
      <w:r>
        <w:t xml:space="preserve">against group radius in kilometers, with the calibrated drift band behind it; the axis runs from coarse to fine. The observed value rises from 0.0062 at an 18 km radius, inside the band, to 0.048 at 5 km, while the band’s upper edge rises from 0.016 to 0.028. Past a radius of about 10 km the partition begins isolating single assemblages, so finer grains are shown but should not be read as structure.</w:t>
      </w:r>
    </w:p>
    <w:p>
      <w:pPr>
        <w:pStyle w:val="CaptionedFigure"/>
      </w:pPr>
      <w:r>
        <w:drawing>
          <wp:inline>
            <wp:extent cx="3269209" cy="2666745"/>
            <wp:effectExtent b="0" l="0" r="0" t="0"/>
            <wp:docPr descr="Figure 14. 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 title="" id="154" name="Picture"/>
            <a:graphic>
              <a:graphicData uri="http://schemas.openxmlformats.org/drawingml/2006/picture">
                <pic:pic>
                  <pic:nvPicPr>
                    <pic:cNvPr descr="../../figures/fig14_phase_recovery.png" id="155" name="Picture"/>
                    <pic:cNvPicPr>
                      <a:picLocks noChangeArrowheads="1" noChangeAspect="1"/>
                    </pic:cNvPicPr>
                  </pic:nvPicPr>
                  <pic:blipFill>
                    <a:blip r:embed="rId153"/>
                    <a:stretch>
                      <a:fillRect/>
                    </a:stretch>
                  </pic:blipFill>
                  <pic:spPr bwMode="auto">
                    <a:xfrm>
                      <a:off x="0" y="0"/>
                      <a:ext cx="3269209" cy="2666745"/>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w:t>
      </w:r>
    </w:p>
    <w:p>
      <w:pPr>
        <w:pStyle w:val="BodyText"/>
      </w:pPr>
      <w:r>
        <w:t xml:space="preserve">The account this suggests is that the phases were seen because settlement is clumped and similarity decays with distance, so that a smooth gradient sampled at clumped points looks like discrete groups to a procedure that sorts by resemblance and proximity. Two further tests bear on it. The first asks whether pottery generated by drift alone, with no groups in it, would have been sorted into the published phases. We ran the calibrated drift model on the real site geography, sampled its pottery at the observed sherd totals, and clustered each of 300 simulated records exactly as the real one is clustered above, scoring agreement with Mainfort’s assignments over the 25 assemblages he placed (Figure 15). Wherever the coordinates enter the representation, drift’s pottery is sorted into the phases as readily as the real pottery, and usually better: at a quarter weight on composition the real record’s agreement of 0.607 sits at or below every one of drift’s 300 records (median 0.938), and at equal weight at the 53rd percentile (median 0.581). With pottery alone, where geography cannot help, the real record agrees with the phases more than drift’s does, 0.237 against a median of 0.031, with 3 percent of drift records at or above it. That is the same residual seen from another side: there is ceramic structure aligned with the phases that drift on this geography does not produce, and it is small.</w:t>
      </w:r>
    </w:p>
    <w:p>
      <w:pPr>
        <w:pStyle w:val="BodyText"/>
      </w:pPr>
      <w:r>
        <w:t xml:space="preserve">The second asks whether the phase boundaries run through the gaps in late-period settlement, measured on evidence the ceramic analysis never touches. The settlement compilation records 83 sites with a late pre-contact component in the mapped area; dropping the 27 within a kilometer of an analyzed assemblage leaves 56 whose positions are independent of the assemblages. The density of those sites along the internal phase boundaries is compared with the density along boundaries of the same construction induced by 300 partitions carrying the phases’ group sizes (Figure 16). At an 8 km bandwidth, 64 percent of random-seed partitions and 61 percent of spatially compact ones have boundaries running through denser settlement than the phase boundaries do; at 5 km the figures are 40 and 14 percent, and at 3 km 18 and 15. The two boundaries that remain, Parkin against Kent and Kent against Walls, therefore run through country no emptier than a boundary drawn elsewhere would, except at the coarsest bandwidth. Empty country is what separated the untested phases, Nodena and Parchman, from these three, and with those phases out of the analysis the gap test has less to find; the record in any case cannot resolve structure below the median spacing of its own assemblages, 4.6 km. Late-period sites lie a median 1.8 km from a major river against 3.6 km for random points in the same area, so the rivers set the band in which settlement happens, but points that hug the rivers exactly as closely as the sites do come out randomly spaced (Clark-Evans ratio 0.99 against the sites’ 0.64); the clumps are on particular reaches, for reasons river proximity alone does not supply.</w:t>
      </w:r>
    </w:p>
    <w:p>
      <w:pPr>
        <w:pStyle w:val="CaptionedFigure"/>
      </w:pPr>
      <w:r>
        <w:drawing>
          <wp:inline>
            <wp:extent cx="3272267" cy="2715676"/>
            <wp:effectExtent b="0" l="0" r="0" t="0"/>
            <wp:docPr descr="Figure 15. 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 title="" id="157" name="Picture"/>
            <a:graphic>
              <a:graphicData uri="http://schemas.openxmlformats.org/drawingml/2006/picture">
                <pic:pic>
                  <pic:nvPicPr>
                    <pic:cNvPr descr="../../figures/fig15_phases_under_drift.png" id="158" name="Picture"/>
                    <pic:cNvPicPr>
                      <a:picLocks noChangeArrowheads="1" noChangeAspect="1"/>
                    </pic:cNvPicPr>
                  </pic:nvPicPr>
                  <pic:blipFill>
                    <a:blip r:embed="rId156"/>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15.</w:t>
      </w:r>
      <w:r>
        <w:t xml:space="preserve"> </w:t>
      </w:r>
      <w:r>
        <w:t xml:space="preserve">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w:t>
      </w:r>
    </w:p>
    <w:p>
      <w:pPr>
        <w:pStyle w:val="CaptionedFigure"/>
      </w:pPr>
      <w:r>
        <w:drawing>
          <wp:inline>
            <wp:extent cx="5238686" cy="3223336"/>
            <wp:effectExtent b="0" l="0" r="0" t="0"/>
            <wp:docPr descr="Figure 16. 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 title="" id="160" name="Picture"/>
            <a:graphic>
              <a:graphicData uri="http://schemas.openxmlformats.org/drawingml/2006/picture">
                <pic:pic>
                  <pic:nvPicPr>
                    <pic:cNvPr descr="../../figures/fig16_settlement_gaps.png" id="161" name="Picture"/>
                    <pic:cNvPicPr>
                      <a:picLocks noChangeArrowheads="1" noChangeAspect="1"/>
                    </pic:cNvPicPr>
                  </pic:nvPicPr>
                  <pic:blipFill>
                    <a:blip r:embed="rId159"/>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16.</w:t>
      </w:r>
      <w:r>
        <w:t xml:space="preserve"> </w:t>
      </w:r>
      <w:r>
        <w:t xml:space="preserve">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w:t>
      </w:r>
    </w:p>
    <w:bookmarkEnd w:id="162"/>
    <w:bookmarkStart w:id="166" w:name="X16f2e7d0d8ab72d6765fdee67f19566985d7254"/>
    <w:p>
      <w:pPr>
        <w:pStyle w:val="Heading3"/>
      </w:pPr>
      <w:r>
        <w:t xml:space="preserve">The same tests on Mainfort’s table, under his phases</w:t>
      </w:r>
    </w:p>
    <w:p>
      <w:pPr>
        <w:pStyle w:val="FirstParagraph"/>
      </w:pPr>
      <w:r>
        <w:t xml:space="preserve">Mainfort’s</w:t>
      </w:r>
      <w:r>
        <w:t xml:space="preserve"> </w:t>
      </w:r>
      <w:r>
        <w:t xml:space="preserve">(2003)</w:t>
      </w:r>
      <w:r>
        <w:t xml:space="preserve"> </w:t>
      </w:r>
      <w:r>
        <w:t xml:space="preserve">table is a second tally of much the same region, and his phase assignments are a second configuration. Beyond adopting Smith’s</w:t>
      </w:r>
      <w:r>
        <w:t xml:space="preserve"> </w:t>
      </w:r>
      <w:r>
        <w:t xml:space="preserve">(1990)</w:t>
      </w:r>
      <w:r>
        <w:t xml:space="preserve"> </w:t>
      </w:r>
      <w:r>
        <w:t xml:space="preserve">Horseshoe Lake phase, which takes Beck, Belle Meade, Mound Place, and Young out of Walls, he moved Hollywood and Commerce from Walls to Kent, Castile Landing from Kent to Parkin, and Carson Lake from Nodena to Walls; nine of the 36 sites the two schemes share carry different assignments. We ran the tests above on his counts, decorated types only, at a minimum of 100 decorated sherds, under his labels: 29 sites and 13,296 decorated sherds in five phases, Kent with 9, Parkin with 7, Walls with 6, Horseshoe Lake with 4, and Jones Bayou with 3 (Figure 17). Tipton keeps one site at that minimum and is not carried. His counts are not independent of the survey’s for the 21 sites the two tables share, so this is a second sampling of the same collections together with western Tennessee material the survey never had, not an independent record, and the drift comparison is not repeated because the model is calibrated to the primary matrix.</w:t>
      </w:r>
    </w:p>
    <w:p>
      <w:pPr>
        <w:pStyle w:val="BodyText"/>
      </w:pPr>
      <w:r>
        <w:t xml:space="preserve">The geographic core of the result repeats. The site map alone recovers his scheme at 0.51, the pottery alone at 0.25, and partitions with his group sizes placed at random at 0.29: geography carries most of his configuration, as it carries all of Phillips’s. But his boundaries behave differently from Phillips’s. Under his phases the between-group</w:t>
      </w:r>
      <w:r>
        <w:t xml:space="preserve"> </w:t>
      </w:r>
      <m:oMath>
        <m:sSub>
          <m:e>
            <m:r>
              <m:t>F</m:t>
            </m:r>
          </m:e>
          <m:sub>
            <m:r>
              <m:t>S</m:t>
            </m:r>
            <m:r>
              <m:t>T</m:t>
            </m:r>
          </m:sub>
        </m:sSub>
      </m:oMath>
      <w:r>
        <w:t xml:space="preserve"> </w:t>
      </w:r>
      <w:r>
        <w:t xml:space="preserve">is 0.047, at the 100th percentile of 1,000 size-matched partitions with seeds placed at random and the 99th percentile of partitions drawn to be spatially compact, and the compactness search never returns his partition. Where Phillips’s lines sit in the tightest division of the map and at the 5th percentile of compact alternatives, Mainfort’s sit where the pottery differs and are not the tightest division of anything. Adding composition to the coordinates raises the recovery of his scheme, to 0.61 at half weight, where for Phillips’s it only lowers it.</w:t>
      </w:r>
    </w:p>
    <w:p>
      <w:pPr>
        <w:pStyle w:val="BodyText"/>
      </w:pPr>
      <w:r>
        <w:t xml:space="preserve">The contested sites show why. For each of the nine, we measured the chi-square distance from the site’s profile to the pooled profile of each candidate phase with the site itself left out. Beck is 0.33 from Horseshoe Lake and 0.71 from Walls; Belle Meade 0.26 and 0.68; Hollywood 0.33 from Kent and 0.91 from Walls; Commerce 0.61 and 1.10. Young and Castile Landing are indifferent between their two candidates (0.47 against 0.44; 0.56 against 0.57), and Mound Place leans the same way as its neighbors (0.65 against 0.78). Where the two schemes disagree, the pottery sides with Mainfort’s, usually by a wide margin.</w:t>
      </w:r>
    </w:p>
    <w:p>
      <w:pPr>
        <w:pStyle w:val="BodyText"/>
      </w:pPr>
      <w:r>
        <w:t xml:space="preserve">That is what the two schemes’ origins predict. Phillips drew phases by inspection and proximity, and his lines are a partition of the map. Mainfort redrew them after ordinating the pottery, adopting Smith’s split and moving the sites his ordination placed as outliers, and a scheme drawn from the pottery will sit where the pottery differs. The comparison does not show that his phases are bounded groups; it shows that a scheme can be made to track the gradient’s steepest parts by letting the gradient draw it, and that the inherited scheme was not made that way.</w:t>
      </w:r>
    </w:p>
    <w:p>
      <w:pPr>
        <w:pStyle w:val="CaptionedFigure"/>
      </w:pPr>
      <w:r>
        <w:drawing>
          <wp:inline>
            <wp:extent cx="5334000" cy="2684917"/>
            <wp:effectExtent b="0" l="0" r="0" t="0"/>
            <wp:docPr descr="Figure 17. 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 title="" id="164" name="Picture"/>
            <a:graphic>
              <a:graphicData uri="http://schemas.openxmlformats.org/drawingml/2006/picture">
                <pic:pic>
                  <pic:nvPicPr>
                    <pic:cNvPr descr="../../figures/fig17_mainfort_replication.png" id="165" name="Picture"/>
                    <pic:cNvPicPr>
                      <a:picLocks noChangeArrowheads="1" noChangeAspect="1"/>
                    </pic:cNvPicPr>
                  </pic:nvPicPr>
                  <pic:blipFill>
                    <a:blip r:embed="rId163"/>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17.</w:t>
      </w:r>
      <w:r>
        <w:t xml:space="preserve"> </w:t>
      </w:r>
      <w:r>
        <w:t xml:space="preserve">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w:t>
      </w:r>
    </w:p>
    <w:bookmarkEnd w:id="166"/>
    <w:bookmarkEnd w:id="167"/>
    <w:bookmarkStart w:id="168"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has the most elaborate mound construction. Its decorated-ceramic record shows no closure of interaction that the resolution our recovery experiment establishes can resolve, with a posterior that reaches from none to moderate.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but only at grains finer than the phases themselves, from five clusters on; at the two to four clusters that span the grain of the published phases the observation lies inside what drift produces. Restricted copying, as we have modeled it, does not explain the fine-grain difference either. Of the four assumptions we were able to relax, one accounts for it, and it is not an assumption about who copied whom.</w:t>
      </w:r>
    </w:p>
    <w:p>
      <w:pPr>
        <w:pStyle w:val="BodyText"/>
      </w:pPr>
      <w:r>
        <w:t xml:space="preserve">It is worth being clear about what that result does and does not claim about geography’s role. The innovation boundary is itself geographic. The profiles follow the same spatial clusters everything else in this comparison is measured on, and nothing in it requires a social frontier. The four tests separate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the differentiation and the diversity at once, where no change to copying moves the statistic far without breaking the match. The record is spatially organized either way. What it appears not to be is spatially organized in the channel archaeology usually assumes.</w:t>
      </w:r>
    </w:p>
    <w:p>
      <w:pPr>
        <w:pStyle w:val="BodyText"/>
      </w:pPr>
      <w:r>
        <w:t xml:space="preserve">This identifies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very widely spread, so the agreement is between the model’s central tendency and the observation.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while its diversity stays matched. That points attention away from restricted copying, which the paper has already found little sign of, and toward the possibility that innovation itself was locally patterned.</w:t>
      </w:r>
    </w:p>
    <w:p>
      <w:pPr>
        <w:pStyle w:val="BodyText"/>
      </w:pPr>
      <w:r>
        <w:t xml:space="preserve">What, then, is a phase? The workers who defined these units were responding to something real, since decorated-class composition does change with distance across the basin. But a gradient does not supply lines, and the comparisons in Figures 12 through 16 show where the lines came from. The published scheme is recovered from where the sites are: site coordinates alone reproduce Mainfort’s assignments exactly, and adding the pottery at any weight moves the answer away from them. The boundaries fall where composition changes unusually slowly rather than where it changes fast, and partitions of the same shape drawn elsewhere differentiate the assemblages as well or better. On a gradient with no edges, how alike two assemblages look is largely a function of how near they are, so sorting assemblages by resemblance in good faith recovers clusters of sites. That is also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Proximity in ordination space is proximity on the ground, seen through the pottery. His own reconfigured phases make the point from the other side: drawn after the ordination, they sit where the pottery differs and are no longer the tightest division of the map, so the two schemes together show a gradient read two ways, once by proximity and once by the pottery, with no boundary in either. We therefore read a phase as a length scale on a continuous gradient, made visible by where settlement happens to cluster, rather than as a bounded unit.</w:t>
      </w:r>
    </w:p>
    <w:p>
      <w:pPr>
        <w:pStyle w:val="BodyText"/>
      </w:pPr>
      <w:r>
        <w:t xml:space="preserve">Put plainly, the phases are not places where groups show up in the pottery. They are lines drawn across a smooth pattern, at a scale where copying between neighbors explains everything the lines capture. Whatever the pottery holds that copying alone does not explain sits at a finer scale than the phases, in the smallest and most thinly sampled clusters, and the workers who drew the phases were working too coarsely to have been tracking it. What they saw was real. It was where the sites are, and the fact that nearby potters copied one another more than distant ones did. Sort assemblages by how alike they are and how close they sit, and that pattern looks like discrete groups even when there are none. These data cannot say what the length scale of the gradient is. The spatial model’s length scale is not identified, and sherd counts that differ 96-fold, unequal accumulation spans, and an ordinal chronology derived from the same frequencies together set the limit on what any spatial statistic can resolve here.</w:t>
      </w:r>
    </w:p>
    <w:p>
      <w:pPr>
        <w:pStyle w:val="BodyText"/>
      </w:pPr>
      <w:r>
        <w:t xml:space="preserve">A drift model alone reproduces the phase pattern at the grain the data select and falls short of it at finer grains, and the transmission record does not identify bounded groups as the cause of that shortfall. A partition-free field model finds almost none of the site-specific residual that bounded groups would leave, so the differentiation that calibrated drift underpredicts at fine grain is spatially continuous rather than clustered into groups. That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the single observation that assemblages resemble their near neighbors more than their distant ones. Spatially structured drift produces a pattern of that shape on its own, with no bounded group anywhere, and the drift model we calibrated matches how strong the pattern is at the grain the data select while falling short of it at finer ones.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Political affiliation, rather than shared decorated style, bound them together</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does so. Run forward on the real configuration of the basin assemblages, with copying that decays with distance along the waterways and with no boundary imposed</w:t>
      </w:r>
      <w:r>
        <w:t xml:space="preserve"> </w:t>
      </w:r>
      <w:r>
        <w:t xml:space="preserve">(Lipo et al. 2021)</w:t>
      </w:r>
      <w:r>
        <w:t xml:space="preserve">, and the drift model reproduces the diversity within the assemblages and their differentiation at two, three and four spatial clusters, the grains that span the published phases, while underpredicting it at five or more. Local elaboration on a shared complex is most of what the record looks like, and at fine grain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remaining excess is measured on the basin’s spatial clusters at five clusters and finer, below the grain of the phases,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At fine grain the basin assemblages are more differentiated than either generative model produces.</w:t>
      </w:r>
      <w:r>
        <w:t xml:space="preserve"> </w:t>
      </w:r>
      <w:r>
        <w:t xml:space="preserve">At the two clusters the data select, between-cluster cultural</w:t>
      </w:r>
      <w:r>
        <w:t xml:space="preserve"> </w:t>
      </w:r>
      <m:oMath>
        <m:sSub>
          <m:e>
            <m:r>
              <m:t>F</m:t>
            </m:r>
          </m:e>
          <m:sub>
            <m:r>
              <m:t>S</m:t>
            </m:r>
            <m:r>
              <m:t>T</m:t>
            </m:r>
          </m:sub>
        </m:sSub>
      </m:oMath>
      <w:r>
        <w:t xml:space="preserve"> </w:t>
      </w:r>
      <w:r>
        <w:t xml:space="preserve">is 0.006, inside the 0.0003 to 0.015 that the simplest drift model calibrated to the assemblages’ own diversity produces; at three it is 0.016 against an upper edge of 0.019 and at four 0.019 against 0.021, still inside; at five it is 0.031 against 0.021, outside,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this record cannot register closure of the kind and strength it detects.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is unresolved, a rank correlation of -0.048 against a draw-to-draw spread of -0.80 to +0.40, and reversing the axis reverses the sign of nothing the record can see. What the paper reports is therefore a level of differentiation, not a trajectory toward or away from one. We report the spatial comparisons under both orientations, and the settlement and exchange lines of evidence do not depend on the ceramic chronology.</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also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comparison is reported on the full phase set of 28 assemblages; a stricter watershed subset of 17 is written by the membership script but the comparison was not rerun on it, since the phases are the unit under test.</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why the innovation boundary is reported as the best of four tested accounts rather than as the explanation, and why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-0.035 to +0.039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both a methodological and a substantive contribution. The four signatures show that a bounded interaction group can in principle be distinguished from drift, and an idealized simulation confirms that closure moves all four together while the three resembling processes move only some (Figure 2). Before interpreting any similarity structure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remains is small, measured on spatial clusters rather than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At five clusters and finer, below the grain at which the phases were drawn,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eleven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68"/>
    <w:bookmarkStart w:id="169"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although not the site with its tallest mound. No evidence from settlement, exchange, or the transmission of ceramic decoration indicates that it was the apex of a polity, and the record shows no narrowing of interaction along its sequence that its resolution can distinguish from none.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and it reproduces their differentiation at the grain of the phases themselves, two to four clusters, but it underpredicts how different the basin’s spatial clusters are once the basin is cut into five or more. No parameterization that reproduces the assemblages’ diversity reproduces that finer differentiation at the median.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 The phases sit above that structure, at a grain where drift accounts for everything they capture: they are lines drawn across a gradient, not the edges of groups.</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at fine grain than calibrated drift predicts, and not resolvable into bounded polities. The open question is no longer whether the phases are societies. It is what makes the record more differentiated than a calibrated neutral model produces. Of the four assumptions we could relax, only a weak boundary in where new styles originate answers it, and what drift leaves without it sits in the basin’s smallest samples rather than around Parkin.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69"/>
    <w:bookmarkStart w:id="170"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70"/>
    <w:bookmarkStart w:id="344" w:name="references"/>
    <w:p>
      <w:pPr>
        <w:pStyle w:val="Heading2"/>
      </w:pPr>
      <w:r>
        <w:t xml:space="preserve">References</w:t>
      </w:r>
    </w:p>
    <w:bookmarkStart w:id="343" w:name="refs"/>
    <w:bookmarkStart w:id="171"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71"/>
    <w:bookmarkStart w:id="173"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72">
        <w:r>
          <w:rPr>
            <w:rStyle w:val="Hyperlink"/>
          </w:rPr>
          <w:t xml:space="preserve">https://doi.org/10.1016/j.jaa.2006.08.002</w:t>
        </w:r>
      </w:hyperlink>
      <w:r>
        <w:t xml:space="preserve">.</w:t>
      </w:r>
    </w:p>
    <w:bookmarkEnd w:id="173"/>
    <w:bookmarkStart w:id="175"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74">
        <w:r>
          <w:rPr>
            <w:rStyle w:val="Hyperlink"/>
          </w:rPr>
          <w:t xml:space="preserve">https://doi.org/10.1016/j.beproc.2018.01.011</w:t>
        </w:r>
      </w:hyperlink>
      <w:r>
        <w:t xml:space="preserve">.</w:t>
      </w:r>
    </w:p>
    <w:bookmarkEnd w:id="175"/>
    <w:bookmarkStart w:id="177"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76">
        <w:r>
          <w:rPr>
            <w:rStyle w:val="Hyperlink"/>
          </w:rPr>
          <w:t xml:space="preserve">https://doi.org/10.1098/rstb.1996.0073</w:t>
        </w:r>
      </w:hyperlink>
      <w:r>
        <w:t xml:space="preserve">.</w:t>
      </w:r>
    </w:p>
    <w:bookmarkEnd w:id="177"/>
    <w:bookmarkStart w:id="17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78"/>
    <w:bookmarkStart w:id="18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79">
        <w:r>
          <w:rPr>
            <w:rStyle w:val="Hyperlink"/>
          </w:rPr>
          <w:t xml:space="preserve">https://doi.org/10.2307/3557066</w:t>
        </w:r>
      </w:hyperlink>
      <w:r>
        <w:t xml:space="preserve">.</w:t>
      </w:r>
    </w:p>
    <w:bookmarkEnd w:id="180"/>
    <w:bookmarkStart w:id="18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81">
        <w:r>
          <w:rPr>
            <w:rStyle w:val="Hyperlink"/>
          </w:rPr>
          <w:t xml:space="preserve">https://doi.org/10.1017/S0094837300026907</w:t>
        </w:r>
      </w:hyperlink>
      <w:r>
        <w:t xml:space="preserve">.</w:t>
      </w:r>
    </w:p>
    <w:bookmarkEnd w:id="182"/>
    <w:bookmarkStart w:id="18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3">
        <w:r>
          <w:rPr>
            <w:rStyle w:val="Hyperlink"/>
          </w:rPr>
          <w:t xml:space="preserve">https://doi.org/10.1073/pnas.0903232106</w:t>
        </w:r>
      </w:hyperlink>
      <w:r>
        <w:t xml:space="preserve">.</w:t>
      </w:r>
    </w:p>
    <w:bookmarkEnd w:id="184"/>
    <w:bookmarkStart w:id="18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85">
        <w:r>
          <w:rPr>
            <w:rStyle w:val="Hyperlink"/>
          </w:rPr>
          <w:t xml:space="preserve">https://doi.org/10.1371/journal.pone.0003057</w:t>
        </w:r>
      </w:hyperlink>
      <w:r>
        <w:t xml:space="preserve">.</w:t>
      </w:r>
    </w:p>
    <w:bookmarkEnd w:id="186"/>
    <w:bookmarkStart w:id="18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87">
        <w:r>
          <w:rPr>
            <w:rStyle w:val="Hyperlink"/>
          </w:rPr>
          <w:t xml:space="preserve">https://doi.org/10.1098/rspb.2004.2746</w:t>
        </w:r>
      </w:hyperlink>
      <w:r>
        <w:t xml:space="preserve">.</w:t>
      </w:r>
    </w:p>
    <w:bookmarkEnd w:id="188"/>
    <w:bookmarkStart w:id="18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89"/>
    <w:bookmarkStart w:id="19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0">
        <w:r>
          <w:rPr>
            <w:rStyle w:val="Hyperlink"/>
          </w:rPr>
          <w:t xml:space="preserve">https://doi.org/10.2307/2694206</w:t>
        </w:r>
      </w:hyperlink>
      <w:r>
        <w:t xml:space="preserve">.</w:t>
      </w:r>
    </w:p>
    <w:bookmarkEnd w:id="191"/>
    <w:bookmarkStart w:id="19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2"/>
    <w:bookmarkStart w:id="19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3">
        <w:r>
          <w:rPr>
            <w:rStyle w:val="Hyperlink"/>
          </w:rPr>
          <w:t xml:space="preserve">https://doi.org/10.1057/s41599-019-0295-9</w:t>
        </w:r>
      </w:hyperlink>
      <w:r>
        <w:t xml:space="preserve">.</w:t>
      </w:r>
    </w:p>
    <w:bookmarkEnd w:id="194"/>
    <w:bookmarkStart w:id="19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95"/>
    <w:bookmarkStart w:id="19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96">
        <w:r>
          <w:rPr>
            <w:rStyle w:val="Hyperlink"/>
          </w:rPr>
          <w:t xml:space="preserve">https://doi.org/10.1057/s41599-020-00635-3</w:t>
        </w:r>
      </w:hyperlink>
      <w:r>
        <w:t xml:space="preserve">.</w:t>
      </w:r>
    </w:p>
    <w:bookmarkEnd w:id="197"/>
    <w:bookmarkStart w:id="19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98">
        <w:r>
          <w:rPr>
            <w:rStyle w:val="Hyperlink"/>
          </w:rPr>
          <w:t xml:space="preserve">https://doi.org/10.1007/s10816-022-09599-x</w:t>
        </w:r>
      </w:hyperlink>
      <w:r>
        <w:t xml:space="preserve">.</w:t>
      </w:r>
    </w:p>
    <w:bookmarkEnd w:id="199"/>
    <w:bookmarkStart w:id="20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0">
        <w:r>
          <w:rPr>
            <w:rStyle w:val="Hyperlink"/>
          </w:rPr>
          <w:t xml:space="preserve">https://doi.org/10.1016/j.jas.2014.07.014</w:t>
        </w:r>
      </w:hyperlink>
      <w:r>
        <w:t xml:space="preserve">.</w:t>
      </w:r>
    </w:p>
    <w:bookmarkEnd w:id="201"/>
    <w:bookmarkStart w:id="20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2">
        <w:r>
          <w:rPr>
            <w:rStyle w:val="Hyperlink"/>
          </w:rPr>
          <w:t xml:space="preserve">https://doi.org/10.1038/srep39122</w:t>
        </w:r>
      </w:hyperlink>
      <w:r>
        <w:t xml:space="preserve">.</w:t>
      </w:r>
    </w:p>
    <w:bookmarkEnd w:id="203"/>
    <w:bookmarkStart w:id="20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4">
        <w:r>
          <w:rPr>
            <w:rStyle w:val="Hyperlink"/>
          </w:rPr>
          <w:t xml:space="preserve">https://doi.org/10.2307/278341</w:t>
        </w:r>
      </w:hyperlink>
      <w:r>
        <w:t xml:space="preserve">.</w:t>
      </w:r>
    </w:p>
    <w:bookmarkEnd w:id="205"/>
    <w:bookmarkStart w:id="206" w:name="ref-dunnell_1971"/>
    <w:p>
      <w:pPr>
        <w:pStyle w:val="Bibliography"/>
      </w:pPr>
      <w:r>
        <w:t xml:space="preserve">Dunnell, Robert C. 1971.</w:t>
      </w:r>
      <w:r>
        <w:t xml:space="preserve"> </w:t>
      </w:r>
      <w:r>
        <w:rPr>
          <w:i/>
          <w:iCs/>
        </w:rPr>
        <w:t xml:space="preserve">Systematics in Prehistory</w:t>
      </w:r>
      <w:r>
        <w:t xml:space="preserve">. Free Press, New York.</w:t>
      </w:r>
    </w:p>
    <w:bookmarkEnd w:id="206"/>
    <w:bookmarkStart w:id="20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07">
        <w:r>
          <w:rPr>
            <w:rStyle w:val="Hyperlink"/>
          </w:rPr>
          <w:t xml:space="preserve">https://doi.org/10.2307/279244</w:t>
        </w:r>
      </w:hyperlink>
      <w:r>
        <w:t xml:space="preserve">.</w:t>
      </w:r>
    </w:p>
    <w:bookmarkEnd w:id="208"/>
    <w:bookmarkStart w:id="20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09"/>
    <w:bookmarkStart w:id="210"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0"/>
    <w:bookmarkStart w:id="211" w:name="ref-dunnell_1995b"/>
    <w:p>
      <w:pPr>
        <w:pStyle w:val="Bibliography"/>
      </w:pPr>
      <w:r>
        <w:t xml:space="preserve">Dunnell, Robert C. 1995b. Style: Concepts and Practice.</w:t>
      </w:r>
    </w:p>
    <w:bookmarkEnd w:id="211"/>
    <w:bookmarkStart w:id="21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2"/>
    <w:bookmarkStart w:id="21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3">
        <w:r>
          <w:rPr>
            <w:rStyle w:val="Hyperlink"/>
          </w:rPr>
          <w:t xml:space="preserve">https://doi.org/10.1016/j.jaa.2005.08.001</w:t>
        </w:r>
      </w:hyperlink>
      <w:r>
        <w:t xml:space="preserve">.</w:t>
      </w:r>
    </w:p>
    <w:bookmarkEnd w:id="214"/>
    <w:bookmarkStart w:id="21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5">
        <w:r>
          <w:rPr>
            <w:rStyle w:val="Hyperlink"/>
          </w:rPr>
          <w:t xml:space="preserve">https://doi.org/10.1007/s10814-007-9013-z</w:t>
        </w:r>
      </w:hyperlink>
      <w:r>
        <w:t xml:space="preserve">.</w:t>
      </w:r>
    </w:p>
    <w:bookmarkEnd w:id="216"/>
    <w:bookmarkStart w:id="21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17"/>
    <w:bookmarkStart w:id="21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18">
        <w:r>
          <w:rPr>
            <w:rStyle w:val="Hyperlink"/>
          </w:rPr>
          <w:t xml:space="preserve">https://doi.org/10.1534/genetics.113.158220</w:t>
        </w:r>
      </w:hyperlink>
      <w:r>
        <w:t xml:space="preserve">.</w:t>
      </w:r>
    </w:p>
    <w:bookmarkEnd w:id="219"/>
    <w:bookmarkStart w:id="22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0">
        <w:r>
          <w:rPr>
            <w:rStyle w:val="Hyperlink"/>
          </w:rPr>
          <w:t xml:space="preserve">https://doi.org/10.1073/pnas.2418106121</w:t>
        </w:r>
      </w:hyperlink>
      <w:r>
        <w:t xml:space="preserve">.</w:t>
      </w:r>
    </w:p>
    <w:bookmarkEnd w:id="221"/>
    <w:bookmarkStart w:id="22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2"/>
    <w:bookmarkStart w:id="22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23"/>
    <w:bookmarkStart w:id="22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24"/>
    <w:bookmarkStart w:id="22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5">
        <w:r>
          <w:rPr>
            <w:rStyle w:val="Hyperlink"/>
          </w:rPr>
          <w:t xml:space="preserve">https://doi.org/10.1525/aa.2001.103.4.992</w:t>
        </w:r>
      </w:hyperlink>
      <w:r>
        <w:t xml:space="preserve">.</w:t>
      </w:r>
    </w:p>
    <w:bookmarkEnd w:id="226"/>
    <w:bookmarkStart w:id="22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27">
        <w:r>
          <w:rPr>
            <w:rStyle w:val="Hyperlink"/>
          </w:rPr>
          <w:t xml:space="preserve">https://doi.org/10.2307/4128416</w:t>
        </w:r>
      </w:hyperlink>
      <w:r>
        <w:t xml:space="preserve">.</w:t>
      </w:r>
    </w:p>
    <w:bookmarkEnd w:id="228"/>
    <w:bookmarkStart w:id="23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29">
        <w:r>
          <w:rPr>
            <w:rStyle w:val="Hyperlink"/>
          </w:rPr>
          <w:t xml:space="preserve">https://doi.org/10.1016/S1090-5138(98)00018-X</w:t>
        </w:r>
      </w:hyperlink>
      <w:r>
        <w:t xml:space="preserve">.</w:t>
      </w:r>
    </w:p>
    <w:bookmarkEnd w:id="230"/>
    <w:bookmarkStart w:id="23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1"/>
    <w:bookmarkStart w:id="23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2">
        <w:r>
          <w:rPr>
            <w:rStyle w:val="Hyperlink"/>
          </w:rPr>
          <w:t xml:space="preserve">https://doi.org/10.1017/aap.2021.10</w:t>
        </w:r>
      </w:hyperlink>
      <w:r>
        <w:t xml:space="preserve">.</w:t>
      </w:r>
    </w:p>
    <w:bookmarkEnd w:id="233"/>
    <w:bookmarkStart w:id="23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34"/>
    <w:bookmarkStart w:id="23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5"/>
    <w:bookmarkStart w:id="23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36"/>
    <w:bookmarkStart w:id="23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37">
        <w:r>
          <w:rPr>
            <w:rStyle w:val="Hyperlink"/>
          </w:rPr>
          <w:t xml:space="preserve">https://doi.org/10.1666/05070.1</w:t>
        </w:r>
      </w:hyperlink>
      <w:r>
        <w:t xml:space="preserve">.</w:t>
      </w:r>
    </w:p>
    <w:bookmarkEnd w:id="238"/>
    <w:bookmarkStart w:id="24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39">
        <w:r>
          <w:rPr>
            <w:rStyle w:val="Hyperlink"/>
          </w:rPr>
          <w:t xml:space="preserve">https://doi.org/10.1111/j.1558-5646.2007.00310.x</w:t>
        </w:r>
      </w:hyperlink>
      <w:r>
        <w:t xml:space="preserve">.</w:t>
      </w:r>
    </w:p>
    <w:bookmarkEnd w:id="240"/>
    <w:bookmarkStart w:id="24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1"/>
    <w:bookmarkStart w:id="24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2">
        <w:r>
          <w:rPr>
            <w:rStyle w:val="Hyperlink"/>
          </w:rPr>
          <w:t xml:space="preserve">https://doi.org/10.1016/j.jtbi.2013.03.006</w:t>
        </w:r>
      </w:hyperlink>
      <w:r>
        <w:t xml:space="preserve">.</w:t>
      </w:r>
    </w:p>
    <w:bookmarkEnd w:id="243"/>
    <w:bookmarkStart w:id="24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4">
        <w:r>
          <w:rPr>
            <w:rStyle w:val="Hyperlink"/>
          </w:rPr>
          <w:t xml:space="preserve">https://doi.org/10.1098/rsif.2015.0905</w:t>
        </w:r>
      </w:hyperlink>
      <w:r>
        <w:t xml:space="preserve">.</w:t>
      </w:r>
    </w:p>
    <w:bookmarkEnd w:id="245"/>
    <w:bookmarkStart w:id="24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46">
        <w:r>
          <w:rPr>
            <w:rStyle w:val="Hyperlink"/>
          </w:rPr>
          <w:t xml:space="preserve">https://doi.org/10.1098/rsos.170949</w:t>
        </w:r>
      </w:hyperlink>
      <w:r>
        <w:t xml:space="preserve">.</w:t>
      </w:r>
    </w:p>
    <w:bookmarkEnd w:id="247"/>
    <w:bookmarkStart w:id="24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48">
        <w:r>
          <w:rPr>
            <w:rStyle w:val="Hyperlink"/>
          </w:rPr>
          <w:t xml:space="preserve">https://doi.org/10.1146/annurev-ecolsys-110512-135838</w:t>
        </w:r>
      </w:hyperlink>
      <w:r>
        <w:t xml:space="preserve">.</w:t>
      </w:r>
    </w:p>
    <w:bookmarkEnd w:id="249"/>
    <w:bookmarkStart w:id="25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0"/>
    <w:bookmarkStart w:id="25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51">
        <w:r>
          <w:rPr>
            <w:rStyle w:val="Hyperlink"/>
          </w:rPr>
          <w:t xml:space="preserve">https://doi.org/10.2307/2694529</w:t>
        </w:r>
      </w:hyperlink>
      <w:r>
        <w:t xml:space="preserve">.</w:t>
      </w:r>
    </w:p>
    <w:bookmarkEnd w:id="252"/>
    <w:bookmarkStart w:id="25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3"/>
    <w:bookmarkStart w:id="25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54"/>
    <w:bookmarkStart w:id="25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5"/>
    <w:bookmarkStart w:id="25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6">
        <w:r>
          <w:rPr>
            <w:rStyle w:val="Hyperlink"/>
          </w:rPr>
          <w:t xml:space="preserve">https://doi.org/10.1371/journal.pone.0250690</w:t>
        </w:r>
      </w:hyperlink>
      <w:r>
        <w:t xml:space="preserve">.</w:t>
      </w:r>
    </w:p>
    <w:bookmarkEnd w:id="257"/>
    <w:bookmarkStart w:id="25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8"/>
    <w:bookmarkStart w:id="26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59">
        <w:r>
          <w:rPr>
            <w:rStyle w:val="Hyperlink"/>
          </w:rPr>
          <w:t xml:space="preserve">https://doi.org/10.1016/j.jas.2010.05.015</w:t>
        </w:r>
      </w:hyperlink>
      <w:r>
        <w:t xml:space="preserve">.</w:t>
      </w:r>
    </w:p>
    <w:bookmarkEnd w:id="260"/>
    <w:bookmarkStart w:id="261"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1"/>
    <w:bookmarkStart w:id="26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2">
        <w:r>
          <w:rPr>
            <w:rStyle w:val="Hyperlink"/>
          </w:rPr>
          <w:t xml:space="preserve">https://doi.org/10.1371/journal.pone.0124942</w:t>
        </w:r>
      </w:hyperlink>
      <w:r>
        <w:t xml:space="preserve">.</w:t>
      </w:r>
    </w:p>
    <w:bookmarkEnd w:id="263"/>
    <w:bookmarkStart w:id="26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4">
        <w:r>
          <w:rPr>
            <w:rStyle w:val="Hyperlink"/>
          </w:rPr>
          <w:t xml:space="preserve">https://doi.org/10.1006/jaar.1997.0314</w:t>
        </w:r>
      </w:hyperlink>
      <w:r>
        <w:t xml:space="preserve">.</w:t>
      </w:r>
    </w:p>
    <w:bookmarkEnd w:id="265"/>
    <w:bookmarkStart w:id="26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66">
        <w:r>
          <w:rPr>
            <w:rStyle w:val="Hyperlink"/>
          </w:rPr>
          <w:t xml:space="preserve">https://doi.org/10.1073/pnas.1818346116</w:t>
        </w:r>
      </w:hyperlink>
      <w:r>
        <w:t xml:space="preserve">.</w:t>
      </w:r>
    </w:p>
    <w:bookmarkEnd w:id="267"/>
    <w:bookmarkStart w:id="26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68">
        <w:r>
          <w:rPr>
            <w:rStyle w:val="Hyperlink"/>
          </w:rPr>
          <w:t xml:space="preserve">https://doi.org/10.1016/j.jas.2021.105412</w:t>
        </w:r>
      </w:hyperlink>
      <w:r>
        <w:t xml:space="preserve">.</w:t>
      </w:r>
    </w:p>
    <w:bookmarkEnd w:id="269"/>
    <w:bookmarkStart w:id="270" w:name="ref-madsen_2012"/>
    <w:p>
      <w:pPr>
        <w:pStyle w:val="Bibliography"/>
      </w:pPr>
      <w:r>
        <w:t xml:space="preserve">Madsen, Mark E. 2012. Neutral Cultural Transmission in Time-Averaged Archaeological Assemblages. arXiv preprint arXiv:1204.2043 [physics.soc-ph].</w:t>
      </w:r>
    </w:p>
    <w:bookmarkEnd w:id="270"/>
    <w:bookmarkStart w:id="27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71"/>
    <w:bookmarkStart w:id="27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72"/>
    <w:bookmarkStart w:id="27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73"/>
    <w:bookmarkStart w:id="27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74"/>
    <w:bookmarkStart w:id="27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75"/>
    <w:bookmarkStart w:id="27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76"/>
    <w:bookmarkStart w:id="27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7"/>
    <w:bookmarkStart w:id="27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8">
        <w:r>
          <w:rPr>
            <w:rStyle w:val="Hyperlink"/>
          </w:rPr>
          <w:t xml:space="preserve">https://doi.org/10.1080/20548923.2018.1504490</w:t>
        </w:r>
      </w:hyperlink>
      <w:r>
        <w:t xml:space="preserve">.</w:t>
      </w:r>
    </w:p>
    <w:bookmarkEnd w:id="279"/>
    <w:bookmarkStart w:id="28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80"/>
    <w:bookmarkStart w:id="28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81"/>
    <w:bookmarkStart w:id="28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82"/>
    <w:bookmarkStart w:id="28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83"/>
    <w:bookmarkStart w:id="28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84"/>
    <w:bookmarkStart w:id="285"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85"/>
    <w:bookmarkStart w:id="28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6"/>
    <w:bookmarkStart w:id="28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7"/>
    <w:bookmarkStart w:id="28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8"/>
    <w:bookmarkStart w:id="29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9">
        <w:r>
          <w:rPr>
            <w:rStyle w:val="Hyperlink"/>
          </w:rPr>
          <w:t xml:space="preserve">https://doi.org/10.1098/rstb.2016.0426</w:t>
        </w:r>
      </w:hyperlink>
      <w:r>
        <w:t xml:space="preserve">.</w:t>
      </w:r>
    </w:p>
    <w:bookmarkEnd w:id="290"/>
    <w:bookmarkStart w:id="29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91">
        <w:r>
          <w:rPr>
            <w:rStyle w:val="Hyperlink"/>
          </w:rPr>
          <w:t xml:space="preserve">https://doi.org/10.2307/279066</w:t>
        </w:r>
      </w:hyperlink>
      <w:r>
        <w:t xml:space="preserve">.</w:t>
      </w:r>
    </w:p>
    <w:bookmarkEnd w:id="292"/>
    <w:bookmarkStart w:id="29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93">
        <w:r>
          <w:rPr>
            <w:rStyle w:val="Hyperlink"/>
          </w:rPr>
          <w:t xml:space="preserve">https://doi.org/10.1016/j.jas.2012.04.040</w:t>
        </w:r>
      </w:hyperlink>
      <w:r>
        <w:t xml:space="preserve">.</w:t>
      </w:r>
    </w:p>
    <w:bookmarkEnd w:id="294"/>
    <w:bookmarkStart w:id="29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5">
        <w:r>
          <w:rPr>
            <w:rStyle w:val="Hyperlink"/>
          </w:rPr>
          <w:t xml:space="preserve">https://doi.org/10.1007/s10816-018-9364-4</w:t>
        </w:r>
      </w:hyperlink>
      <w:r>
        <w:t xml:space="preserve">.</w:t>
      </w:r>
    </w:p>
    <w:bookmarkEnd w:id="296"/>
    <w:bookmarkStart w:id="29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7"/>
    <w:bookmarkStart w:id="29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98"/>
    <w:bookmarkStart w:id="29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9"/>
    <w:bookmarkStart w:id="30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300">
        <w:r>
          <w:rPr>
            <w:rStyle w:val="Hyperlink"/>
          </w:rPr>
          <w:t xml:space="preserve">https://doi.org/10.1525/aa.1953.55.5.02a00030</w:t>
        </w:r>
      </w:hyperlink>
      <w:r>
        <w:t xml:space="preserve">.</w:t>
      </w:r>
    </w:p>
    <w:bookmarkEnd w:id="301"/>
    <w:bookmarkStart w:id="30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302">
        <w:r>
          <w:rPr>
            <w:rStyle w:val="Hyperlink"/>
          </w:rPr>
          <w:t xml:space="preserve">https://doi.org/10.1126/science.1170165</w:t>
        </w:r>
      </w:hyperlink>
      <w:r>
        <w:t xml:space="preserve">.</w:t>
      </w:r>
    </w:p>
    <w:bookmarkEnd w:id="303"/>
    <w:bookmarkStart w:id="30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4">
        <w:r>
          <w:rPr>
            <w:rStyle w:val="Hyperlink"/>
          </w:rPr>
          <w:t xml:space="preserve">https://doi.org/10.1086/674873</w:t>
        </w:r>
      </w:hyperlink>
      <w:r>
        <w:t xml:space="preserve">.</w:t>
      </w:r>
    </w:p>
    <w:bookmarkEnd w:id="305"/>
    <w:bookmarkStart w:id="30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6">
        <w:r>
          <w:rPr>
            <w:rStyle w:val="Hyperlink"/>
          </w:rPr>
          <w:t xml:space="preserve">https://doi.org/10.7183/0002-7316.81.4.605</w:t>
        </w:r>
      </w:hyperlink>
      <w:r>
        <w:t xml:space="preserve">.</w:t>
      </w:r>
    </w:p>
    <w:bookmarkEnd w:id="307"/>
    <w:bookmarkStart w:id="30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8">
        <w:r>
          <w:rPr>
            <w:rStyle w:val="Hyperlink"/>
          </w:rPr>
          <w:t xml:space="preserve">https://doi.org/10.7183/0002-7316.76.1.163</w:t>
        </w:r>
      </w:hyperlink>
      <w:r>
        <w:t xml:space="preserve">.</w:t>
      </w:r>
    </w:p>
    <w:bookmarkEnd w:id="309"/>
    <w:bookmarkStart w:id="31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10"/>
    <w:bookmarkStart w:id="31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11">
        <w:r>
          <w:rPr>
            <w:rStyle w:val="Hyperlink"/>
          </w:rPr>
          <w:t xml:space="preserve">https://doi.org/10.1017/RDC.2020.41</w:t>
        </w:r>
      </w:hyperlink>
      <w:r>
        <w:t xml:space="preserve">.</w:t>
      </w:r>
    </w:p>
    <w:bookmarkEnd w:id="312"/>
    <w:bookmarkStart w:id="31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13">
        <w:r>
          <w:rPr>
            <w:rStyle w:val="Hyperlink"/>
          </w:rPr>
          <w:t xml:space="preserve">https://doi.org/10.1017/S0140525X1400106X</w:t>
        </w:r>
      </w:hyperlink>
      <w:r>
        <w:t xml:space="preserve">.</w:t>
      </w:r>
    </w:p>
    <w:bookmarkEnd w:id="314"/>
    <w:bookmarkStart w:id="31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5">
        <w:r>
          <w:rPr>
            <w:rStyle w:val="Hyperlink"/>
          </w:rPr>
          <w:t xml:space="preserve">https://doi.org/10.1057/s41599-019-0260-7</w:t>
        </w:r>
      </w:hyperlink>
      <w:r>
        <w:t xml:space="preserve">.</w:t>
      </w:r>
    </w:p>
    <w:bookmarkEnd w:id="316"/>
    <w:bookmarkStart w:id="31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7"/>
    <w:bookmarkStart w:id="31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8"/>
    <w:bookmarkStart w:id="3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9"/>
    <w:bookmarkStart w:id="3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20">
        <w:r>
          <w:rPr>
            <w:rStyle w:val="Hyperlink"/>
          </w:rPr>
          <w:t xml:space="preserve">https://doi.org/10.1016/j.jtbi.2016.04.024</w:t>
        </w:r>
      </w:hyperlink>
      <w:r>
        <w:t xml:space="preserve">.</w:t>
      </w:r>
    </w:p>
    <w:bookmarkEnd w:id="321"/>
    <w:bookmarkStart w:id="3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22">
        <w:r>
          <w:rPr>
            <w:rStyle w:val="Hyperlink"/>
          </w:rPr>
          <w:t xml:space="preserve">https://doi.org/10.1016/j.evolhumbehav.2014.09.006</w:t>
        </w:r>
      </w:hyperlink>
      <w:r>
        <w:t xml:space="preserve">.</w:t>
      </w:r>
    </w:p>
    <w:bookmarkEnd w:id="323"/>
    <w:bookmarkStart w:id="3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4"/>
    <w:bookmarkStart w:id="3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5"/>
    <w:bookmarkStart w:id="3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6"/>
    <w:bookmarkStart w:id="3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7"/>
    <w:bookmarkStart w:id="3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28">
        <w:r>
          <w:rPr>
            <w:rStyle w:val="Hyperlink"/>
          </w:rPr>
          <w:t xml:space="preserve">https://doi.org/10.1006/jhev.1994.1037</w:t>
        </w:r>
      </w:hyperlink>
      <w:r>
        <w:t xml:space="preserve">.</w:t>
      </w:r>
    </w:p>
    <w:bookmarkEnd w:id="329"/>
    <w:bookmarkStart w:id="3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30">
        <w:r>
          <w:rPr>
            <w:rStyle w:val="Hyperlink"/>
          </w:rPr>
          <w:t xml:space="preserve">https://doi.org/10.1017/aaq.2024.1</w:t>
        </w:r>
      </w:hyperlink>
      <w:r>
        <w:t xml:space="preserve">.</w:t>
      </w:r>
    </w:p>
    <w:bookmarkEnd w:id="331"/>
    <w:bookmarkStart w:id="3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32"/>
    <w:bookmarkStart w:id="3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33">
        <w:r>
          <w:rPr>
            <w:rStyle w:val="Hyperlink"/>
          </w:rPr>
          <w:t xml:space="preserve">https://doi.org/10.1086/651661</w:t>
        </w:r>
      </w:hyperlink>
      <w:r>
        <w:t xml:space="preserve">.</w:t>
      </w:r>
    </w:p>
    <w:bookmarkEnd w:id="334"/>
    <w:bookmarkStart w:id="3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35"/>
    <w:bookmarkStart w:id="336" w:name="ref-williams_1954"/>
    <w:p>
      <w:pPr>
        <w:pStyle w:val="Bibliography"/>
      </w:pPr>
      <w:r>
        <w:t xml:space="preserve">Williams, Stephen. 1954. An Archeological Study of the Mississippian Culture in Southeast Missouri. PhD thesis, Yale University, New Haven.</w:t>
      </w:r>
    </w:p>
    <w:bookmarkEnd w:id="336"/>
    <w:bookmarkStart w:id="33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37">
        <w:r>
          <w:rPr>
            <w:rStyle w:val="Hyperlink"/>
          </w:rPr>
          <w:t xml:space="preserve">https://doi.org/10.1093/genetics/28.2.114</w:t>
        </w:r>
      </w:hyperlink>
      <w:r>
        <w:t xml:space="preserve">.</w:t>
      </w:r>
    </w:p>
    <w:bookmarkEnd w:id="338"/>
    <w:bookmarkStart w:id="34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9">
        <w:r>
          <w:rPr>
            <w:rStyle w:val="Hyperlink"/>
          </w:rPr>
          <w:t xml:space="preserve">https://doi.org/10.1111/j.1469-1809.1949.tb02451.x</w:t>
        </w:r>
      </w:hyperlink>
      <w:r>
        <w:t xml:space="preserve">.</w:t>
      </w:r>
    </w:p>
    <w:bookmarkEnd w:id="340"/>
    <w:bookmarkStart w:id="34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41">
        <w:r>
          <w:rPr>
            <w:rStyle w:val="Hyperlink"/>
          </w:rPr>
          <w:t xml:space="preserve">https://doi.org/10.1017/ehs.2023.5</w:t>
        </w:r>
      </w:hyperlink>
      <w:r>
        <w:t xml:space="preserve">.</w:t>
      </w:r>
    </w:p>
    <w:bookmarkEnd w:id="342"/>
    <w:bookmarkEnd w:id="343"/>
    <w:bookmarkEnd w:id="344"/>
    <w:bookmarkEnd w:id="34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2026-09-23T00:46:29Z</dcterms:created>
  <dcterms:modified xsi:type="dcterms:W3CDTF">2026-09-23T00:46:29Z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