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3"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nearby than to distant neighbors record a bounded society. While the validity of phases has been questioned, the rationale for assuming these units is rarely tested or evaluated. Neutral transmission produces the same clustering with no bounded groups since drift concentrates similar styles nearby.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que los conjuntos más similares a sus vecinos cercanos que a los distantes registran una sociedad delimitada. Aunque la validez de las fases ha sido cuestionada, la justificación para asumir estas unidades rara vez se pone a prueba o se evalúa.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cuenca del St. Francis como en los conjuntos del sureste de Misuri, la estructura se reproduce mediante deriva y no requiere grupos delimitados, y en el conjunto del valle la deriva genera muchos menos grupos coherentes de los que distingue el esquema de fases nombradas. Encontramos que Parkin, a menudo considerada el centro de una entidad política, es un puente de transmisión más que una capital. Evaluada directamente frente a las demás fases nombradas, la fase Parkin muestra a lo sumo una señal débil en el límite de lo que predice la deriva.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among these units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This chiefdom is inferred to have drawn tribute from the smaller villages around it, an argument based on its position on agriculturally poor soil, which required surrounding communities to provide it with provisions</w:t>
      </w:r>
      <w:r>
        <w:t xml:space="preserve"> </w:t>
      </w:r>
      <w:r>
        <w:t xml:space="preserve">(Phyllis A. Morse 1990)</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a landscape of competing peer communities as with a centralized and consolidated hierarchy</w:t>
      </w:r>
      <w:r>
        <w:t xml:space="preserve"> </w:t>
      </w:r>
      <w:r>
        <w:t xml:space="preserve">(King and Freer 1995; Rees 2001)</w:t>
      </w:r>
      <w:r>
        <w:t xml:space="preserve">. The 16th-century historical chronicles describe Casqui and its neighbor Pacaha in open conflict, a relationship interpreted both as rivalry between competing peers and as a ranked order in which Casqui stood below Pacaha. Thus, if Parkin is indeed Casqui, the chronicles do not, by themselves, establish a single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The record shows no evidence of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The answer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goes beyond the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therefore, built into the unit before any independent evidence of hierarchy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the structure of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an imagined moment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one-signature inferences</w:t>
      </w:r>
      <w:r>
        <w:t xml:space="preserve"> </w:t>
      </w:r>
      <w:r>
        <w:t xml:space="preserve">(Barrett 2019; Crema et al. 2016; Kandler and Shennan 2015; Mesoudi 2021)</w:t>
      </w:r>
      <w:r>
        <w:t xml:space="preserve">. Therefore, we compare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Parkin as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widen the test to the other late-period phases of the valley and ask whether decorated-ceramic boundaries exist.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We conclude that Parkin is best understood as a prominent node in a continuous interaction field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It frames the question of phases differently from how the central-valley record is usually interpreted. Archaeologists are traditionally trained to assume the past was made of bounded units: the phase, the polity, the society. These are treated as discrete entities with members and edges, and a cluster of similar assemblages is taken to be one of them. We treat transmission instead as a continuous, variable field of copying events among potters, with no intrinsic boundaries. Interaction falls off with distance, and learning is more local in some places and times than in others. A group, on this view, is not a thing with a boundary but a region where copying is locally intensified. Similarity is a matter of degree, set by how copying is distributed across space. That field can also close by degree. Interaction narrows until potters copy mostly within a subset and rarely outside it, producing something that resembles the bounded groups archaeologists assume.</w:t>
      </w:r>
    </w:p>
    <w:p>
      <w:pPr>
        <w:pStyle w:val="BodyText"/>
      </w:pPr>
      <w:r>
        <w:t xml:space="preserve">The phase gives the central-valley record its social structure. Operationally, a phase is a set of assemblages that seriate together and cluster in space. It is interpreted, however, as a social entity, a bounded interacting community, on the premise that assemblages are more alike within a phase than across its edges and so record who interacted with whom</w:t>
      </w:r>
      <w:r>
        <w:t xml:space="preserve"> </w:t>
      </w:r>
      <w:r>
        <w:t xml:space="preserve">(McNutt 1996; Morse and Morse 1983; Phillips et al. 1951; Williams 1954)</w:t>
      </w:r>
      <w:r>
        <w:t xml:space="preserve">. The premise is not arbitrary. Under the neutral transmission model it would hold if learning were confined within social boundaries, so that decoration drifted in separate pools and diverged between them. The difficulty is that the same pattern arises with no boundary at all. When interaction declines with distance, spatially structured drift concentrates similarity among near neighbors, the isolation-by-distance expectation for cultural similarity</w:t>
      </w:r>
      <w:r>
        <w:t xml:space="preserve"> </w:t>
      </w:r>
      <w:r>
        <w:t xml:space="preserve">(Lipo et al. 2021; Neiman 1995; Shennan et al. 2015)</w:t>
      </w:r>
      <w:r>
        <w:t xml:space="preserve">. A cluster of similar assemblages therefore need not record a bounded group. What would mark a real bounded group is closure beyond what distance predicts, and that excess is the signal we test for. The operational question is whether the similarity structure records bounded interaction or spatially structured drift. Throughout, we call decoration transmitted preferentially within a group and divergent between groups a marker, as opposed to a neutral style drifting in one shared pool. A marker is the ceramic proxy for interaction closing into a bounded group, so the drift-versus-groups question is equivalently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Decorated ceramics record the structure of social interaction because stylistic variants are copied between potters along social-learning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Eerkens and Lipo 2005; Neiman 1995)</w:t>
      </w:r>
      <w:r>
        <w:t xml:space="preserve">. Neutral style is the null condition: assemblages drawn from a single interacting community share one drifting pool, and their decorated-class frequencies admit a single battleship-curve seriation</w:t>
      </w:r>
      <w:r>
        <w:t xml:space="preserve"> </w:t>
      </w:r>
      <w:r>
        <w:t xml:space="preserve">(Lipo et al. 2015)</w:t>
      </w:r>
      <w:r>
        <w:t xml:space="preserve">. Assortment, the tendency for like to learn from like, so that interaction sorts into distinct groups, changes this.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and the discriminating signal, where it survives,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suggests that it drew tribute from smaller villages, a hallmark of an emerging chiefly hierarchy</w:t>
      </w:r>
      <w:r>
        <w:t xml:space="preserve"> </w:t>
      </w:r>
      <w:r>
        <w:t xml:space="preserve">(Phyllis A. 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et al. 2024; Cobb and Butler 2002)</w:t>
      </w:r>
      <w:r>
        <w:t xml:space="preserve">. The second interpretation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within a landscape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cannot be separated by settlement morphology alone. They can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a potter can learn a design from anyone she encounters, near or far, so styles circulate through one connected population. Interaction closes when that circulation narrows: potters come to copy mostly from others inside their own group and rarely from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the test sets out to measure, and in the synthetic experiments below, we tune it as a parameter,</w:t>
      </w:r>
      <w:r>
        <w:t xml:space="preserve"> </w:t>
      </w:r>
      <w:r>
        <w:rPr>
          <w:i/>
          <w:iCs/>
        </w:rPr>
        <w:t xml:space="preserve">s</w:t>
      </w:r>
      <w:r>
        <w:t xml:space="preserve">, from 0 (pure drift, no closure) to 1 (strongly bounded, sharply separated groups). The four signatures are each a different consequence of closure, and we state each first in plain terms before naming its formal measure.</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an assemblage’s diversity agree.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Each yields an estimate of the same underlying transmission parameter, and under random copying, the two estimates coincide. Conformity, in which potters disproportionately copy whatever is already common, is a process that will concentrate frequency to a few ceramic classes.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 Sampling error certainly needs to be accounted for. Classical practice, however, ignores the most valuable aspect of the method: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its genetic counterpart</w:t>
      </w:r>
      <w:r>
        <w:t xml:space="preserve"> </w:t>
      </w:r>
      <w:r>
        <w:t xml:space="preserve">(Bell et al. 2009)</w:t>
      </w:r>
      <w:r>
        <w:t xml:space="preserve">. We compute it here on Gini-Simpson diversity, the chance that two sherds drawn at random from an assemblage are of different classes. F_ST is the share of the total diversity that is due to differences between groups rather than to variation within them. When every assemblage draws on one shared, drifting pool of styles, between-group differences are small, and F_ST sits near zero.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pairs of assemblages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it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 linked movement of these two measures cannot separate a real interaction group from drift. Therefore, we do not depend on these signatures alone. Instead, we compare the two processes generatively by simulating each one, neutral spatial drift and bounded groups alike, using the real geography of the deposits. Using the data from the simulations, we ask which reproduces the observed structure, treating the signatures as diagnostics of where each process leaves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a process drive, and an open circle (○) that leaves it flat. The process columns give the idealized discrimination logic: under smooth, deterministic processes, only a bounded interaction group drives all four, and each alternative drives a characteristic subset, the pattern an idealized simulation confirms (Figure S4).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S5). Stochastic drift thus reproduces the same two-signature pattern as environmental patchiness, so a positive result on either signature cannot by itself separate a bounded group from drift or patchiness. The final column reports the recovery experiment (Figure 4). At this record’s 29 time-averaged assemblages, only cultural F_ST registers an injected-closure signal, and even then, it must be compared against the stochastic-drift null rather than zero. Seriation-coherence breakdown, which only a bounded group drives in principle, is the cleanest discriminator on paper yet undetectable here. The four signatures are therefore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make the central difficulty explicit. Smooth, deterministic isolation by distance produces only a raw decay of similarity with distance, and the distance-controlled boundary excess is near zero under it, so it drives none of the four signatures. Stochastic neutral drift on a finite network is less forgiving. It generates patchy divergence that raises cultural F_ST and registers as a positive boundary excess in the absence of a social boundary, the mimicry that the record-matched controls expose directly (Results, Figure S5).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so on idealized data, genuine convergence would take the form of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converge trivially. As a consequence, we validate the test using simulated assemblages before applying it to confirm that convergence arises only when interactions close into a bounded group and not under any mimic. We also use the simulation to assess whether the four signatures are tightly correlated under such closure yet nearly independent under the mimics, so their joint movement is informative rather than automatic. The use of convergence logic has an archaeological precedent. Neiman</w:t>
      </w:r>
      <w:r>
        <w:t xml:space="preserve"> </w:t>
      </w:r>
      <w:r>
        <w:t xml:space="preserve">(1995)</w:t>
      </w:r>
      <w:r>
        <w:t xml:space="preserve"> </w:t>
      </w:r>
      <w:r>
        <w:t xml:space="preserve">showed that two independently derived, theory-grounded measures of the same ceramic data, within-assemblage diversity and between-assemblage distance, converge on the same inference about past interaction. We generalize that two-measure agreement and apply it to our four. Whether all four signatures, or only some, can actually do so on a record like ours is a separate question that we settle by calibrating the test directly to synthetic data matched to the Parkin assemblages.</w:t>
      </w:r>
    </w:p>
    <w:p>
      <w:pPr>
        <w:pStyle w:val="BodyText"/>
      </w:pPr>
      <w:r>
        <w:t xml:space="preserve">Below, we describe the procedures, their methods, and outcomes. Figure 2 previews what the test distinguishes, the sharp structure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so that no single time-point statistic can be.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of which is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are the decorated-class counts compiled by Phillips, Ford, and Griffin</w:t>
      </w:r>
      <w:r>
        <w:t xml:space="preserve"> </w:t>
      </w:r>
      <w:r>
        <w:t xml:space="preserve">(1951)</w:t>
      </w:r>
      <w:r>
        <w:t xml:space="preserve"> </w:t>
      </w:r>
      <w:r>
        <w:t xml:space="preserve">for the Lower Mississippi Survey, an assemblage-by-class matrix of 266 surface assemblages from the central valley</w:t>
      </w:r>
      <w:r>
        <w:t xml:space="preserve"> </w:t>
      </w:r>
      <w:r>
        <w:t xml:space="preserve">(Lipo 2001)</w:t>
      </w:r>
      <w:r>
        <w:t xml:space="preserve">. Each decorated class is a unit of measurement that the analyst defines to capture stylistic variation, not a native category assumed in advance. We restrict the analysis to the St. Francis basin of northeastern Arkansas, the setting of Parkin, defined hydrologically as the assemblages within 20 km of the St. Francis, Tyronza, and L’Anguille drainage (Figure 1). This yields 29 decorated assemblages for the transmission analysis and 92 sites for the settlement comparison.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therefore,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assemblages, so each aggregate pottery over the use-life of its deposit, and such aggregation distorts diversity and neutrality statistics in proportion to the mean lifetime of the variants</w:t>
      </w:r>
      <w:r>
        <w:t xml:space="preserve"> </w:t>
      </w:r>
      <w:r>
        <w:t xml:space="preserve">(Madsen 2012; Miller-Atkins and Premo 2018)</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w:t>
      </w:r>
      <w:r>
        <w:t xml:space="preserve"> </w:t>
      </w:r>
      <w:r>
        <w:t xml:space="preserve">(2001)</w:t>
      </w:r>
      <w:r>
        <w:t xml:space="preserve"> </w:t>
      </w:r>
      <w:r>
        <w:t xml:space="preserve">compilation yields 109 determinations for the central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an improvement on the +0.50 of the single-date anchors. Four of the five sites fall in calendar order, with one late-dated site departing from it. The axis, therefore, tracks calendar time, but imperfectly. The trajectory we test is an ordinal measure,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classes, using the Ewens sampling formula</w:t>
      </w:r>
      <w:r>
        <w:t xml:space="preserve"> </w:t>
      </w:r>
      <w:r>
        <w:t xml:space="preserve">(1972)</w:t>
      </w:r>
      <w:r>
        <w:t xml:space="preserve"> </w:t>
      </w:r>
      <w:r>
        <w:t xml:space="preserve">to estimate the number of classes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(Dunnell 1970; Graves and Cachola-Abad 1996; Lipo et al. 1997, 2015)</w:t>
      </w:r>
      <w:r>
        <w:t xml:space="preserve">. A set of assemblages is co-seriable if some ordering renders every decorated class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classes: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w:t>
      </w:r>
      <w:r>
        <w:t xml:space="preserve"> </w:t>
      </w:r>
      <w:r>
        <w:t xml:space="preserve">(Brainerd 1951; Robinson 1951)</w:t>
      </w:r>
      <w:r>
        <w:t xml:space="preserve">, a standard index ranging from 0 to 200 that indicates how alike two assemblages are in their class proportions, for every pair of assemblages. We tested its association with inter-site distance by a Mantel</w:t>
      </w:r>
      <w:r>
        <w:t xml:space="preserve"> </w:t>
      </w:r>
      <w:r>
        <w:t xml:space="preserve">(1967)</w:t>
      </w:r>
      <w:r>
        <w:t xml:space="preserve"> </w:t>
      </w:r>
      <w:r>
        <w:t xml:space="preserve">permutation test, which asks whether two distance matrices, here ceramic dissimilarity and geographic distance, are related.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interpreted. Assemblage sample size trends with seriation position, and several of the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The argument uses four simulations, each answering a different question. An idealized validation tests whether the four signatures, in principle, separate a bounded interaction group from its three mimics on large, clean synthetic assemblages (Figure S4). A record-matched recovery test assesses which signatures can detect a known, injected closure at the real record’s sample sizes and time-averaging (Figure 4). A positive control test, which generates neutral spatial drift or bounded groups, reproduces the structure observed in the basin (Figure S5). A forward demonstration runs neutral drift on the real site geography with no boundary imposed, counts how many phase-like groups it produces, and checks whether the named phases exceed that number (Figures 8 and 9). The first two establish what the test can resolve on a record of this size; the second two identify which process the data match. We describe the validation and recovery here and the two drift simulations in the next subsection.</w:t>
      </w:r>
    </w:p>
    <w:p>
      <w:pPr>
        <w:pStyle w:val="BodyText"/>
      </w:pPr>
      <w:r>
        <w:t xml:space="preserve">We validated the test in two stages. The first establishes the principle. A generative model copies decorated variants under neutral transmission, the random-copying process in which learners reproduce variants in proportion to their current frequency</w:t>
      </w:r>
      <w:r>
        <w:t xml:space="preserve"> </w:t>
      </w:r>
      <w:r>
        <w:t xml:space="preserve">(Bentley et al. 2004; Neiman 1995)</w:t>
      </w:r>
      <w:r>
        <w:t xml:space="preserve">, with three tunable controls: the between-group divergence of class profiles, the strength of within-group conformity, and a spatial rule placing group profiles on the landscape. Four generators instantiate the four idealized processes of Table 1, the bounded group and its three mimics</w:t>
      </w:r>
      <w:r>
        <w:t xml:space="preserve"> </w:t>
      </w:r>
      <w:r>
        <w:t xml:space="preserve">(Mesoudi 2021)</w:t>
      </w:r>
      <w:r>
        <w:t xml:space="preserve">. Run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The recovery test is generative: we built synthetic pottery records in which we controlled whether group structure was emerging, dialed from none to strong, and then asked whether our four measures could see it. The synthetic records were matched to the real ones: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 s, with between-group divergence and within-group conformity rising together along the sequence to a maximum of s.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Assemblage sample size trends with seriation position (Spearman rho = +0.59), and several signatures are size-sensitive so that a size-dependent estimator can rise or fall along the axis through sampling alone. We therefore subsample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Innovation enters at a fixed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(1954)</w:t>
      </w:r>
      <w:r>
        <w:t xml:space="preserve">, digitized from the survey tables. We georeferenced both the Phillips-Ford-Griffin and the Williams assemblages using their Lower Mississippi Survey grid designations against the digitized survey point files, so that the two regions share a single coordinate frame. Decorated classes were harmonized between the two typologies, both rooted in the Phillips-Ford-Griffin framework, into a common vocabulary, and the between-region comparison was run both on all decorated classes and on the classes shared by the two typologies (Supplemental Text).</w:t>
      </w:r>
    </w:p>
    <w:p>
      <w:pPr>
        <w:pStyle w:val="BodyText"/>
      </w:pPr>
      <w:r>
        <w:t xml:space="preserve">The same neutral-drift model is also run forward to produce the phase-like groups of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across 500 runs,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And we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while drift and the other mimics each move only a characteristic subset.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every assemblage is trimmed to a common sherd count via subsampling, cultural F_ST falls from a raw value of +0.60 to +0.01. Its uncertainty range runs from no closure to a moderate signal, so it is uninformative rather than a resolved positive. The neutrality departure is likewise size-sensitive (its raw -0.94 only weakens to -0.83 under size control). The recovery shows that it does not track closure in either direction here, so it, too, cannot be interpreted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The result is therefore not only that no bounded group is detectable, but that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The most diverse assemblages are also the most central, the pattern drift produces in a single shared community (Figure S1)</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 decaying over distance and the record’s time-averaging imposed.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predicting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w:t>
      </w:r>
      <w:r>
        <w:t xml:space="preserve"> </w:t>
      </w:r>
      <w:r>
        <w:t xml:space="preserve">(1998)</w:t>
      </w:r>
      <w:r>
        <w:t xml:space="preserve"> </w:t>
      </w:r>
      <w:r>
        <w:t xml:space="preserve">cluster analysis and ordination of the southeast-Missouri assemblages that define the regional phases found them failing as both groups and classes, with assemblages assigned to statistical clusters at random rather than segregating by phase.</w:t>
      </w:r>
    </w:p>
    <w:p>
      <w:pPr>
        <w:pStyle w:val="BodyText"/>
      </w:pPr>
      <w:r>
        <w:t xml:space="preserve">What it means for assemblages to be co-seriable is central to this signature, and the deterministic method is stricter than the seriations most archaeologists have in mind. In conventional practice, an analyst can almost always arrange a set of assemblages into an order in which class frequencies more or less rise and fall, treating the places where a class breaks that pattern as noise to be tolerated by eye. Deterministic frequency seriation removes that tolerance. It accepts an ordering only when every decorated class is at once unimodal, rising to a single peak and then falling away, and continuous, changing without an abrupt jump. It treats any break in a class’s rise and fall as disqualifying that ordering unless the break is small enough to be explained by sampling error in the counts</w:t>
      </w:r>
      <w:r>
        <w:t xml:space="preserve"> </w:t>
      </w:r>
      <w:r>
        <w:t xml:space="preserve">(Dunnell 1970; Lipo et al. 2015)</w:t>
      </w:r>
      <w:r>
        <w:t xml:space="preserve">. Where a conventional seriation would accept one rough ordering and move on, the deterministic method asks whether even one ordering can satisfy every class at once, and reports when none can. A single community drawing on a shared, drifting pool of designs meets that requirement under a single ordering. When learning is partitioned among groups, each with its own rise and fall of styles, no single ordering can hold every class unimodal at once, and the assemblages resolve into several mutually incompatible orderings. The departures a conventional seriation would dismiss as minor irregularities are, interpreted this way, the signature of more than one interaction community. The number of maximal co-seriable groups, together with the number of groups any one assemblage joins, measures that fragmentation directly</w:t>
      </w:r>
      <w:r>
        <w:t xml:space="preserve"> </w:t>
      </w:r>
      <w:r>
        <w:t xml:space="preserve">(Lipo et al. 1997)</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We interpret it differently: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Phyllis A. Morse 1990)</w:t>
      </w:r>
      <w:r>
        <w:t xml:space="preserve">, so we base the settlement comparison on recorded mound height rather than on mound area. Parkin’s roughly 17-acre site area would make it the largest center in the basin. That figure, however, is the total site area rather than the basal mound area on which the other sites are measured, so we treat it as indicative only.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conclusion.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treat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capacity-linked chert hoes was decentralized, with their exchange following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assemblages resemble their near neighbors more than their distant ones.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The decoupling has an independent precedent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whose number grows with geographic extent; restoring the staggered deposition ages collapses the count toward two time-defined groups, because assemblages caught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therefore,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spatial and population structure, not population size, governs how drift partitions diversity in finite structured populations is established in both the cultural-transmission and population-genetics literatures</w:t>
      </w:r>
      <w:r>
        <w:t xml:space="preserve"> </w:t>
      </w:r>
      <w:r>
        <w:t xml:space="preserve">(Barton 1996; Premo 2016; Schneider et al. 2016; Wright 1943)</w:t>
      </w:r>
      <w:r>
        <w:t xml:space="preserve">. A localized neutral process is readily mistaken for biased transmission when diversity is taken at face value</w:t>
      </w:r>
      <w:r>
        <w:t xml:space="preserve"> </w:t>
      </w:r>
      <w:r>
        <w:t xml:space="preserve">(Premo and Scholnick 2011)</w:t>
      </w:r>
      <w:r>
        <w:t xml:space="preserve">. Structure shapes diversity under selective dynamics as well, through a different mechanism of maintenance and recombination</w:t>
      </w:r>
      <w:r>
        <w:t xml:space="preserve"> </w:t>
      </w:r>
      <w:r>
        <w:t xml:space="preserve">(Derex et al. 2018; Derex and Boyd 2016; Saxer et al. 2009)</w:t>
      </w:r>
      <w:r>
        <w:t xml:space="preserve">. The result is not contingent on a tuned parameter set. Across 432 runs spanning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S7 and S8).</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is whether the between-group cultural F_ST across the Parkin-versus-others partition exceeds the drift null. It sits at the extreme upper tail of the null and survives most single-site deletions. The contrast is nonetheless small: the null’s own tail reaches past it, and time-averaging, which deflates between-group variance, is not modeled in the null (Figure 9C, 9D). It is therefore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drift-versus-groups comparison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subsampling every assemblage to a common count, which collapses the raw F_ST trend from +0.60 to +0.01. We calibrated the test on synthetic data matched to the record, in which F_ST recovers a moderate-strength closure (s of about 0.5, rising to 0.7 once the record’s time-averaging is imposed), while maintaining a false-positive rate of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than a record of 29 time-averaged assemblages, which is underpowered to resolve. We state the claim at that bound rather than beyond it. The other three signatures do not track closure reliably here. The neutral departure fails because it is non-monotonic in conformity and sensitive to sample size. The spatial boundary fails because the data support too few spatial clusters, and seriation coherence responds only weakly. We report them as corroboration rather than as independent confirmations. This reduction is a property of the record. When a known closure signal is injected instead through a within-group conformity pathway or a non-spatially-organized social-fragmentation pathway, neither the neutral nor the seriation signature recovers it either, so the three weak signatures fail at this resolution regardless of how closure is produced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Saying so is what licenses interpreting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interpreted as social, which signatures a given record can support and how strong a closure each could detect. The Parkin record shows the test reducing to its single most robust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resists the drift interpretation, if only faintly, and deserves to be named rather than buried. The single place in the valley that carries a faint signal of structure beyond drift is the Parkin phase, and Parkin is the one monumental node, the largest mound, the palisade, the confluence position, the candidate Casqui. A center beginning to differentiate as a distinct node, rather than a finished, bounded group, would leave just such a signal. This is what the origination stage of the two-regime model predicts: a local return generates a group-beneficial pattern at a node before assortment becomes binding and propagates into higher-level structure, with contact and the protohistoric depopulation truncating the sequence before it could consolidate. We do not claim this happened. The contrast is small, the drift null reaches past it, and the time-averaged surface record of eight Parkin-phase assemblages cannot support the claim. The possibility that Parkin was an incipient node nonetheless warrants direct investigation with data classes the present record lacks: stratified, excavated assemblages with independent radiocarbon, to test whether the differentiation grows through time rather than holding flat; compositional and petrographic sourcing of the ceramics, to test whether production and exchange were localizing on the center; and the non-ceramic lines,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to show whether economic and social differentiation track the ceramic hint or run independent of it. Whether Parkin was beginning to pull away from its neighbors, or sits where drift on the river network happens to concentrate interaction, is a question this record raises but cannot settle.</w:t>
      </w:r>
    </w:p>
    <w:p>
      <w:pPr>
        <w:pStyle w:val="BodyText"/>
      </w:pPr>
      <w:r>
        <w:t xml:space="preserve">The test also extends beyond the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Therefore,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separating into clusters. Between the two regions, a genuine discontinuity appears across the roughly 50 km gap separating the central-valley and lower-valley assemblage clusters, with decorated similarity declining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 to middle-Mississippian, and the distinctive lower-valley classes are late</w:t>
      </w:r>
      <w:r>
        <w:t xml:space="preserve"> </w:t>
      </w:r>
      <w:r>
        <w:t xml:space="preserve">(Phillips 1970; Williams 1954)</w:t>
      </w:r>
      <w:r>
        <w:t xml:space="preserve">. The step at the boundary, therefore, cannot be separated from the early-to-late turnover of the repertoire, as reflected in time-averaged surface assemblages. Resolving whether the inter-regional boundary is synchronic and social or a chronological succession would require independent radiocarbon control of the central-valley assemblages, which the present compilation lacks. A second confound compounds the first. The lower-valley assemblages were collected and classified by Ford, later by Phillips, Ford, and Griffin.</w:t>
      </w:r>
    </w:p>
    <w:p>
      <w:pPr>
        <w:pStyle w:val="BodyText"/>
      </w:pPr>
      <w:r>
        <w:t xml:space="preserve">In contrast, the central-valley assemblages were collected and classified separately by Williams, so the two blocks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of the central Mississippi Valley: the southeast-Missouri survey of Williams (CMV, blue) and the lower-valley St. Francis basin Parkin-phase assemblages (LMV, orange), with the gap between the two clusters of assemblage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assemblages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57"/>
    <w:bookmarkStart w:id="58"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No evidence of settlement, exchange, or ceramic transmission marks it as the apex of a polity. The greater similarity among nearby assemblages that defines the phase is reproduced by neutral drift on the basin’s geography, the ordinary residue of continuous interaction structured by where sites sit.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the discipline should weigh: a similarity cluster is not, by itself, a society, and before a phase is interpreted as a social group, the record must be shown to distinguish a real interaction boundary from drift across geography.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42" w:name="references"/>
    <w:p>
      <w:pPr>
        <w:pStyle w:val="Heading2"/>
      </w:pPr>
      <w:r>
        <w:t xml:space="preserve">References</w:t>
      </w:r>
    </w:p>
    <w:bookmarkStart w:id="241"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5"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85"/>
    <w:bookmarkStart w:id="87" w:name="ref-cobb_etal_2024"/>
    <w:p>
      <w:pPr>
        <w:pStyle w:val="Bibliography"/>
      </w:pPr>
      <w:r>
        <w:t xml:space="preserve">Cobb, Charles R., Anthony M. Krus, Aaron Deter-Wolf, Kevin E. Smith, Edmond A. Boudreaux, and Brad R. Lieb. 2024. The Beginning of the End: Abandonment Micro-Histories in the</w:t>
      </w:r>
      <w:r>
        <w:t xml:space="preserve"> </w:t>
      </w:r>
      <w:r>
        <w:t xml:space="preserve">Mississippian</w:t>
      </w:r>
      <w:r>
        <w:t xml:space="preserve"> </w:t>
      </w:r>
      <w:r>
        <w:t xml:space="preserve">Vacant</w:t>
      </w:r>
      <w:r>
        <w:t xml:space="preserve"> </w:t>
      </w:r>
      <w:r>
        <w:t xml:space="preserve">Quarter</w:t>
      </w:r>
      <w:r>
        <w:t xml:space="preserve">.</w:t>
      </w:r>
      <w:r>
        <w:t xml:space="preserve"> </w:t>
      </w:r>
      <w:r>
        <w:rPr>
          <w:i/>
          <w:iCs/>
        </w:rPr>
        <w:t xml:space="preserve">Journal of Archaeological Method and Theory</w:t>
      </w:r>
      <w:r>
        <w:t xml:space="preserve"> </w:t>
      </w:r>
      <w:r>
        <w:t xml:space="preserve">31:619–643.</w:t>
      </w:r>
      <w:r>
        <w:t xml:space="preserve"> </w:t>
      </w:r>
      <w:hyperlink r:id="rId86">
        <w:r>
          <w:rPr>
            <w:rStyle w:val="Hyperlink"/>
          </w:rPr>
          <w:t xml:space="preserve">https://doi.org/10.1007/s10816-023-09613-w</w:t>
        </w:r>
      </w:hyperlink>
      <w:r>
        <w:t xml:space="preserve">.</w:t>
      </w:r>
    </w:p>
    <w:bookmarkEnd w:id="87"/>
    <w:bookmarkStart w:id="89"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8">
        <w:r>
          <w:rPr>
            <w:rStyle w:val="Hyperlink"/>
          </w:rPr>
          <w:t xml:space="preserve">https://doi.org/10.1057/s41599-020-00635-3</w:t>
        </w:r>
      </w:hyperlink>
      <w:r>
        <w:t xml:space="preserve">.</w:t>
      </w:r>
    </w:p>
    <w:bookmarkEnd w:id="89"/>
    <w:bookmarkStart w:id="91"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90">
        <w:r>
          <w:rPr>
            <w:rStyle w:val="Hyperlink"/>
          </w:rPr>
          <w:t xml:space="preserve">https://doi.org/10.1007/s10816-022-09599-x</w:t>
        </w:r>
      </w:hyperlink>
      <w:r>
        <w:t xml:space="preserve">.</w:t>
      </w:r>
    </w:p>
    <w:bookmarkEnd w:id="91"/>
    <w:bookmarkStart w:id="93"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92">
        <w:r>
          <w:rPr>
            <w:rStyle w:val="Hyperlink"/>
          </w:rPr>
          <w:t xml:space="preserve">https://doi.org/10.1016/j.jas.2014.07.014</w:t>
        </w:r>
      </w:hyperlink>
      <w:r>
        <w:t xml:space="preserve">.</w:t>
      </w:r>
    </w:p>
    <w:bookmarkEnd w:id="93"/>
    <w:bookmarkStart w:id="95"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4">
        <w:r>
          <w:rPr>
            <w:rStyle w:val="Hyperlink"/>
          </w:rPr>
          <w:t xml:space="preserve">https://doi.org/10.1038/srep39122</w:t>
        </w:r>
      </w:hyperlink>
      <w:r>
        <w:t xml:space="preserve">.</w:t>
      </w:r>
    </w:p>
    <w:bookmarkEnd w:id="95"/>
    <w:bookmarkStart w:id="97"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96">
        <w:r>
          <w:rPr>
            <w:rStyle w:val="Hyperlink"/>
          </w:rPr>
          <w:t xml:space="preserve">https://doi.org/10.1371/journal.pone.0041010</w:t>
        </w:r>
      </w:hyperlink>
      <w:r>
        <w:t xml:space="preserve">.</w:t>
      </w:r>
    </w:p>
    <w:bookmarkEnd w:id="97"/>
    <w:bookmarkStart w:id="99" w:name="ref-derex_boyd_2016"/>
    <w:p>
      <w:pPr>
        <w:pStyle w:val="Bibliography"/>
      </w:pPr>
      <w:r>
        <w:t xml:space="preserve">Derex, Maxime, and Robert Boyd. 2016. Partial Connectivity Increases Cultural Accumulation Within Groups.</w:t>
      </w:r>
      <w:r>
        <w:t xml:space="preserve"> </w:t>
      </w:r>
      <w:r>
        <w:rPr>
          <w:i/>
          <w:iCs/>
        </w:rPr>
        <w:t xml:space="preserve">Proceedings of the National Academy of Sciences</w:t>
      </w:r>
      <w:r>
        <w:t xml:space="preserve"> </w:t>
      </w:r>
      <w:r>
        <w:t xml:space="preserve">113(11):2982–2987.</w:t>
      </w:r>
      <w:r>
        <w:t xml:space="preserve"> </w:t>
      </w:r>
      <w:hyperlink r:id="rId98">
        <w:r>
          <w:rPr>
            <w:rStyle w:val="Hyperlink"/>
          </w:rPr>
          <w:t xml:space="preserve">https://doi.org/10.1073/pnas.1518798113</w:t>
        </w:r>
      </w:hyperlink>
      <w:r>
        <w:t xml:space="preserve">.</w:t>
      </w:r>
    </w:p>
    <w:bookmarkEnd w:id="99"/>
    <w:bookmarkStart w:id="101" w:name="ref-derex_perreault_boyd_2018"/>
    <w:p>
      <w:pPr>
        <w:pStyle w:val="Bibliography"/>
      </w:pPr>
      <w:r>
        <w:t xml:space="preserve">Derex, Maxime, Charles Perreault, and Robert Boyd. 2018. Divide and Conquer: Intermediate Levels of Population Fragmentation Maximize Cultural Accumulation.</w:t>
      </w:r>
      <w:r>
        <w:t xml:space="preserve"> </w:t>
      </w:r>
      <w:r>
        <w:rPr>
          <w:i/>
          <w:iCs/>
        </w:rPr>
        <w:t xml:space="preserve">Philosophical Transactions of the Royal Society B</w:t>
      </w:r>
      <w:r>
        <w:t xml:space="preserve"> </w:t>
      </w:r>
      <w:r>
        <w:t xml:space="preserve">373(1743):20170062.</w:t>
      </w:r>
      <w:r>
        <w:t xml:space="preserve"> </w:t>
      </w:r>
      <w:hyperlink r:id="rId100">
        <w:r>
          <w:rPr>
            <w:rStyle w:val="Hyperlink"/>
          </w:rPr>
          <w:t xml:space="preserve">https://doi.org/10.1098/rstb.2017.0062</w:t>
        </w:r>
      </w:hyperlink>
      <w:r>
        <w:t xml:space="preserve">.</w:t>
      </w:r>
    </w:p>
    <w:bookmarkEnd w:id="101"/>
    <w:bookmarkStart w:id="103"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02">
        <w:r>
          <w:rPr>
            <w:rStyle w:val="Hyperlink"/>
          </w:rPr>
          <w:t xml:space="preserve">https://doi.org/10.2307/278341</w:t>
        </w:r>
      </w:hyperlink>
      <w:r>
        <w:t xml:space="preserve">.</w:t>
      </w:r>
    </w:p>
    <w:bookmarkEnd w:id="103"/>
    <w:bookmarkStart w:id="105"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104">
        <w:r>
          <w:rPr>
            <w:rStyle w:val="Hyperlink"/>
          </w:rPr>
          <w:t xml:space="preserve">https://doi.org/10.2307/279244</w:t>
        </w:r>
      </w:hyperlink>
      <w:r>
        <w:t xml:space="preserve">.</w:t>
      </w:r>
    </w:p>
    <w:bookmarkEnd w:id="105"/>
    <w:bookmarkStart w:id="106"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06"/>
    <w:bookmarkStart w:id="107"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07"/>
    <w:bookmarkStart w:id="108"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8"/>
    <w:bookmarkStart w:id="110"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9">
        <w:r>
          <w:rPr>
            <w:rStyle w:val="Hyperlink"/>
          </w:rPr>
          <w:t xml:space="preserve">https://doi.org/10.1016/j.jaa.2005.08.001</w:t>
        </w:r>
      </w:hyperlink>
      <w:r>
        <w:t xml:space="preserve">.</w:t>
      </w:r>
    </w:p>
    <w:bookmarkEnd w:id="110"/>
    <w:bookmarkStart w:id="112"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11">
        <w:r>
          <w:rPr>
            <w:rStyle w:val="Hyperlink"/>
          </w:rPr>
          <w:t xml:space="preserve">https://doi.org/10.1007/s10814-007-9013-z</w:t>
        </w:r>
      </w:hyperlink>
      <w:r>
        <w:t xml:space="preserve">.</w:t>
      </w:r>
    </w:p>
    <w:bookmarkEnd w:id="112"/>
    <w:bookmarkStart w:id="113"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13"/>
    <w:bookmarkStart w:id="115"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14">
        <w:r>
          <w:rPr>
            <w:rStyle w:val="Hyperlink"/>
          </w:rPr>
          <w:t xml:space="preserve">https://doi.org/10.1534/genetics.113.158220</w:t>
        </w:r>
      </w:hyperlink>
      <w:r>
        <w:t xml:space="preserve">.</w:t>
      </w:r>
    </w:p>
    <w:bookmarkEnd w:id="115"/>
    <w:bookmarkStart w:id="117"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16">
        <w:r>
          <w:rPr>
            <w:rStyle w:val="Hyperlink"/>
          </w:rPr>
          <w:t xml:space="preserve">https://doi.org/10.1073/pnas.2418106121</w:t>
        </w:r>
      </w:hyperlink>
      <w:r>
        <w:t xml:space="preserve">.</w:t>
      </w:r>
    </w:p>
    <w:bookmarkEnd w:id="117"/>
    <w:bookmarkStart w:id="118"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8"/>
    <w:bookmarkStart w:id="119"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19"/>
    <w:bookmarkStart w:id="120"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20"/>
    <w:bookmarkStart w:id="121"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21"/>
    <w:bookmarkStart w:id="123"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22">
        <w:r>
          <w:rPr>
            <w:rStyle w:val="Hyperlink"/>
          </w:rPr>
          <w:t xml:space="preserve">https://doi.org/10.1525/aa.2001.103.4.992</w:t>
        </w:r>
      </w:hyperlink>
      <w:r>
        <w:t xml:space="preserve">.</w:t>
      </w:r>
    </w:p>
    <w:bookmarkEnd w:id="123"/>
    <w:bookmarkStart w:id="125"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24">
        <w:r>
          <w:rPr>
            <w:rStyle w:val="Hyperlink"/>
          </w:rPr>
          <w:t xml:space="preserve">https://doi.org/10.2307/4128416</w:t>
        </w:r>
      </w:hyperlink>
      <w:r>
        <w:t xml:space="preserve">.</w:t>
      </w:r>
    </w:p>
    <w:bookmarkEnd w:id="125"/>
    <w:bookmarkStart w:id="127"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26">
        <w:r>
          <w:rPr>
            <w:rStyle w:val="Hyperlink"/>
          </w:rPr>
          <w:t xml:space="preserve">https://doi.org/10.1016/S1090-5138(98)00018-X</w:t>
        </w:r>
      </w:hyperlink>
      <w:r>
        <w:t xml:space="preserve">.</w:t>
      </w:r>
    </w:p>
    <w:bookmarkEnd w:id="127"/>
    <w:bookmarkStart w:id="128"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8"/>
    <w:bookmarkStart w:id="130"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9">
        <w:r>
          <w:rPr>
            <w:rStyle w:val="Hyperlink"/>
          </w:rPr>
          <w:t xml:space="preserve">https://doi.org/10.1017/aap.2021.10</w:t>
        </w:r>
      </w:hyperlink>
      <w:r>
        <w:t xml:space="preserve">.</w:t>
      </w:r>
    </w:p>
    <w:bookmarkEnd w:id="130"/>
    <w:bookmarkStart w:id="131"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31"/>
    <w:bookmarkStart w:id="132"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32"/>
    <w:bookmarkStart w:id="133"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33"/>
    <w:bookmarkStart w:id="135"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34">
        <w:r>
          <w:rPr>
            <w:rStyle w:val="Hyperlink"/>
          </w:rPr>
          <w:t xml:space="preserve">https://doi.org/10.1666/05070.1</w:t>
        </w:r>
      </w:hyperlink>
      <w:r>
        <w:t xml:space="preserve">.</w:t>
      </w:r>
    </w:p>
    <w:bookmarkEnd w:id="135"/>
    <w:bookmarkStart w:id="137"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36">
        <w:r>
          <w:rPr>
            <w:rStyle w:val="Hyperlink"/>
          </w:rPr>
          <w:t xml:space="preserve">https://doi.org/10.1111/j.1558-5646.2007.00310.x</w:t>
        </w:r>
      </w:hyperlink>
      <w:r>
        <w:t xml:space="preserve">.</w:t>
      </w:r>
    </w:p>
    <w:bookmarkEnd w:id="137"/>
    <w:bookmarkStart w:id="138"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8"/>
    <w:bookmarkStart w:id="140"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9">
        <w:r>
          <w:rPr>
            <w:rStyle w:val="Hyperlink"/>
          </w:rPr>
          <w:t xml:space="preserve">https://doi.org/10.1016/j.jtbi.2013.03.006</w:t>
        </w:r>
      </w:hyperlink>
      <w:r>
        <w:t xml:space="preserve">.</w:t>
      </w:r>
    </w:p>
    <w:bookmarkEnd w:id="140"/>
    <w:bookmarkStart w:id="142"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41">
        <w:r>
          <w:rPr>
            <w:rStyle w:val="Hyperlink"/>
          </w:rPr>
          <w:t xml:space="preserve">https://doi.org/10.1098/rsif.2015.0905</w:t>
        </w:r>
      </w:hyperlink>
      <w:r>
        <w:t xml:space="preserve">.</w:t>
      </w:r>
    </w:p>
    <w:bookmarkEnd w:id="142"/>
    <w:bookmarkStart w:id="144"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43">
        <w:r>
          <w:rPr>
            <w:rStyle w:val="Hyperlink"/>
          </w:rPr>
          <w:t xml:space="preserve">https://doi.org/10.1098/rsos.170949</w:t>
        </w:r>
      </w:hyperlink>
      <w:r>
        <w:t xml:space="preserve">.</w:t>
      </w:r>
    </w:p>
    <w:bookmarkEnd w:id="144"/>
    <w:bookmarkStart w:id="146"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45">
        <w:r>
          <w:rPr>
            <w:rStyle w:val="Hyperlink"/>
          </w:rPr>
          <w:t xml:space="preserve">https://doi.org/10.1146/annurev-ecolsys-110512-135838</w:t>
        </w:r>
      </w:hyperlink>
      <w:r>
        <w:t xml:space="preserve">.</w:t>
      </w:r>
    </w:p>
    <w:bookmarkEnd w:id="146"/>
    <w:bookmarkStart w:id="147"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7"/>
    <w:bookmarkStart w:id="149"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8">
        <w:r>
          <w:rPr>
            <w:rStyle w:val="Hyperlink"/>
          </w:rPr>
          <w:t xml:space="preserve">https://doi.org/10.2307/2694529</w:t>
        </w:r>
      </w:hyperlink>
      <w:r>
        <w:t xml:space="preserve">.</w:t>
      </w:r>
    </w:p>
    <w:bookmarkEnd w:id="149"/>
    <w:bookmarkStart w:id="150"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50"/>
    <w:bookmarkStart w:id="151"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51"/>
    <w:bookmarkStart w:id="153"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52">
        <w:r>
          <w:rPr>
            <w:rStyle w:val="Hyperlink"/>
          </w:rPr>
          <w:t xml:space="preserve">https://doi.org/10.1371/journal.pone.0250690</w:t>
        </w:r>
      </w:hyperlink>
      <w:r>
        <w:t xml:space="preserve">.</w:t>
      </w:r>
    </w:p>
    <w:bookmarkEnd w:id="153"/>
    <w:bookmarkStart w:id="154"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54"/>
    <w:bookmarkStart w:id="156"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55">
        <w:r>
          <w:rPr>
            <w:rStyle w:val="Hyperlink"/>
          </w:rPr>
          <w:t xml:space="preserve">https://doi.org/10.1016/j.jas.2010.05.015</w:t>
        </w:r>
      </w:hyperlink>
      <w:r>
        <w:t xml:space="preserve">.</w:t>
      </w:r>
    </w:p>
    <w:bookmarkEnd w:id="156"/>
    <w:bookmarkStart w:id="158"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7">
        <w:r>
          <w:rPr>
            <w:rStyle w:val="Hyperlink"/>
          </w:rPr>
          <w:t xml:space="preserve">https://doi.org/10.1371/journal.pone.0124942</w:t>
        </w:r>
      </w:hyperlink>
      <w:r>
        <w:t xml:space="preserve">.</w:t>
      </w:r>
    </w:p>
    <w:bookmarkEnd w:id="158"/>
    <w:bookmarkStart w:id="160"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9">
        <w:r>
          <w:rPr>
            <w:rStyle w:val="Hyperlink"/>
          </w:rPr>
          <w:t xml:space="preserve">https://doi.org/10.1006/jaar.1997.0314</w:t>
        </w:r>
      </w:hyperlink>
      <w:r>
        <w:t xml:space="preserve">.</w:t>
      </w:r>
    </w:p>
    <w:bookmarkEnd w:id="160"/>
    <w:bookmarkStart w:id="162"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61">
        <w:r>
          <w:rPr>
            <w:rStyle w:val="Hyperlink"/>
          </w:rPr>
          <w:t xml:space="preserve">https://doi.org/10.1073/pnas.1818346116</w:t>
        </w:r>
      </w:hyperlink>
      <w:r>
        <w:t xml:space="preserve">.</w:t>
      </w:r>
    </w:p>
    <w:bookmarkEnd w:id="162"/>
    <w:bookmarkStart w:id="164"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63">
        <w:r>
          <w:rPr>
            <w:rStyle w:val="Hyperlink"/>
          </w:rPr>
          <w:t xml:space="preserve">https://doi.org/10.1016/j.jas.2021.105412</w:t>
        </w:r>
      </w:hyperlink>
      <w:r>
        <w:t xml:space="preserve">.</w:t>
      </w:r>
    </w:p>
    <w:bookmarkEnd w:id="164"/>
    <w:bookmarkStart w:id="165" w:name="ref-madsen_2012"/>
    <w:p>
      <w:pPr>
        <w:pStyle w:val="Bibliography"/>
      </w:pPr>
      <w:r>
        <w:t xml:space="preserve">Madsen, Mark E. 2012. Neutral Cultural Transmission in Time-Averaged Archaeological Assemblages. arXiv preprint arXiv:1204.2043 [physics.soc-ph].</w:t>
      </w:r>
    </w:p>
    <w:bookmarkEnd w:id="165"/>
    <w:bookmarkStart w:id="166"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6"/>
    <w:bookmarkStart w:id="167"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7"/>
    <w:bookmarkStart w:id="168"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8"/>
    <w:bookmarkStart w:id="169"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9"/>
    <w:bookmarkStart w:id="170"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70"/>
    <w:bookmarkStart w:id="171"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71"/>
    <w:bookmarkStart w:id="172"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72"/>
    <w:bookmarkStart w:id="174"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73">
        <w:r>
          <w:rPr>
            <w:rStyle w:val="Hyperlink"/>
          </w:rPr>
          <w:t xml:space="preserve">https://doi.org/10.1080/20548923.2018.1504490</w:t>
        </w:r>
      </w:hyperlink>
      <w:r>
        <w:t xml:space="preserve">.</w:t>
      </w:r>
    </w:p>
    <w:bookmarkEnd w:id="174"/>
    <w:bookmarkStart w:id="175"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75"/>
    <w:bookmarkStart w:id="176"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6"/>
    <w:bookmarkStart w:id="177"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7"/>
    <w:bookmarkStart w:id="178"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8"/>
    <w:bookmarkStart w:id="179"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9"/>
    <w:bookmarkStart w:id="180"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80"/>
    <w:bookmarkStart w:id="181"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81"/>
    <w:bookmarkStart w:id="183"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82">
        <w:r>
          <w:rPr>
            <w:rStyle w:val="Hyperlink"/>
          </w:rPr>
          <w:t xml:space="preserve">https://doi.org/10.1098/rstb.2016.0426</w:t>
        </w:r>
      </w:hyperlink>
      <w:r>
        <w:t xml:space="preserve">.</w:t>
      </w:r>
    </w:p>
    <w:bookmarkEnd w:id="183"/>
    <w:bookmarkStart w:id="185"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84">
        <w:r>
          <w:rPr>
            <w:rStyle w:val="Hyperlink"/>
          </w:rPr>
          <w:t xml:space="preserve">https://doi.org/10.2307/279066</w:t>
        </w:r>
      </w:hyperlink>
      <w:r>
        <w:t xml:space="preserve">.</w:t>
      </w:r>
    </w:p>
    <w:bookmarkEnd w:id="185"/>
    <w:bookmarkStart w:id="187"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6">
        <w:r>
          <w:rPr>
            <w:rStyle w:val="Hyperlink"/>
          </w:rPr>
          <w:t xml:space="preserve">https://doi.org/10.1016/j.jas.2012.04.040</w:t>
        </w:r>
      </w:hyperlink>
      <w:r>
        <w:t xml:space="preserve">.</w:t>
      </w:r>
    </w:p>
    <w:bookmarkEnd w:id="187"/>
    <w:bookmarkStart w:id="189"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8">
        <w:r>
          <w:rPr>
            <w:rStyle w:val="Hyperlink"/>
          </w:rPr>
          <w:t xml:space="preserve">https://doi.org/10.1007/s10816-018-9364-4</w:t>
        </w:r>
      </w:hyperlink>
      <w:r>
        <w:t xml:space="preserve">.</w:t>
      </w:r>
    </w:p>
    <w:bookmarkEnd w:id="189"/>
    <w:bookmarkStart w:id="190"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90"/>
    <w:bookmarkStart w:id="191"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91"/>
    <w:bookmarkStart w:id="192"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92"/>
    <w:bookmarkStart w:id="194"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93">
        <w:r>
          <w:rPr>
            <w:rStyle w:val="Hyperlink"/>
          </w:rPr>
          <w:t xml:space="preserve">https://doi.org/10.1525/aa.1953.55.5.02a00030</w:t>
        </w:r>
      </w:hyperlink>
      <w:r>
        <w:t xml:space="preserve">.</w:t>
      </w:r>
    </w:p>
    <w:bookmarkEnd w:id="194"/>
    <w:bookmarkStart w:id="196"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5">
        <w:r>
          <w:rPr>
            <w:rStyle w:val="Hyperlink"/>
          </w:rPr>
          <w:t xml:space="preserve">https://doi.org/10.1126/science.1170165</w:t>
        </w:r>
      </w:hyperlink>
      <w:r>
        <w:t xml:space="preserve">.</w:t>
      </w:r>
    </w:p>
    <w:bookmarkEnd w:id="196"/>
    <w:bookmarkStart w:id="198"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7">
        <w:r>
          <w:rPr>
            <w:rStyle w:val="Hyperlink"/>
          </w:rPr>
          <w:t xml:space="preserve">https://doi.org/10.1086/674873</w:t>
        </w:r>
      </w:hyperlink>
      <w:r>
        <w:t xml:space="preserve">.</w:t>
      </w:r>
    </w:p>
    <w:bookmarkEnd w:id="198"/>
    <w:bookmarkStart w:id="200"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9">
        <w:r>
          <w:rPr>
            <w:rStyle w:val="Hyperlink"/>
          </w:rPr>
          <w:t xml:space="preserve">https://doi.org/10.7183/0002-7316.81.4.605</w:t>
        </w:r>
      </w:hyperlink>
      <w:r>
        <w:t xml:space="preserve">.</w:t>
      </w:r>
    </w:p>
    <w:bookmarkEnd w:id="200"/>
    <w:bookmarkStart w:id="202"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201">
        <w:r>
          <w:rPr>
            <w:rStyle w:val="Hyperlink"/>
          </w:rPr>
          <w:t xml:space="preserve">https://doi.org/10.7183/0002-7316.76.1.163</w:t>
        </w:r>
      </w:hyperlink>
      <w:r>
        <w:t xml:space="preserve">.</w:t>
      </w:r>
    </w:p>
    <w:bookmarkEnd w:id="202"/>
    <w:bookmarkStart w:id="203"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203"/>
    <w:bookmarkStart w:id="205"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4">
        <w:r>
          <w:rPr>
            <w:rStyle w:val="Hyperlink"/>
          </w:rPr>
          <w:t xml:space="preserve">https://doi.org/10.1017/RDC.2020.41</w:t>
        </w:r>
      </w:hyperlink>
      <w:r>
        <w:t xml:space="preserve">.</w:t>
      </w:r>
    </w:p>
    <w:bookmarkEnd w:id="205"/>
    <w:bookmarkStart w:id="207"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6">
        <w:r>
          <w:rPr>
            <w:rStyle w:val="Hyperlink"/>
          </w:rPr>
          <w:t xml:space="preserve">https://doi.org/10.1017/S0140525X1400106X</w:t>
        </w:r>
      </w:hyperlink>
      <w:r>
        <w:t xml:space="preserve">.</w:t>
      </w:r>
    </w:p>
    <w:bookmarkEnd w:id="207"/>
    <w:bookmarkStart w:id="209"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8">
        <w:r>
          <w:rPr>
            <w:rStyle w:val="Hyperlink"/>
          </w:rPr>
          <w:t xml:space="preserve">https://doi.org/10.1057/s41599-019-0260-7</w:t>
        </w:r>
      </w:hyperlink>
      <w:r>
        <w:t xml:space="preserve">.</w:t>
      </w:r>
    </w:p>
    <w:bookmarkEnd w:id="209"/>
    <w:bookmarkStart w:id="210"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10"/>
    <w:bookmarkStart w:id="211"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11"/>
    <w:bookmarkStart w:id="213" w:name="ref-saxer_doebeli_travisano_2009"/>
    <w:p>
      <w:pPr>
        <w:pStyle w:val="Bibliography"/>
      </w:pPr>
      <w:r>
        <w:t xml:space="preserve">Saxer, Gerda, Michael Doebeli, and Michael Travisano. 2009. Spatial Structure Leads to Ecological Breakdown and Loss of Diversity.</w:t>
      </w:r>
      <w:r>
        <w:t xml:space="preserve"> </w:t>
      </w:r>
      <w:r>
        <w:rPr>
          <w:i/>
          <w:iCs/>
        </w:rPr>
        <w:t xml:space="preserve">Proceedings of the Royal Society B: Biological Sciences</w:t>
      </w:r>
      <w:r>
        <w:t xml:space="preserve"> </w:t>
      </w:r>
      <w:r>
        <w:t xml:space="preserve">276(1664):2065–2070.</w:t>
      </w:r>
      <w:r>
        <w:t xml:space="preserve"> </w:t>
      </w:r>
      <w:hyperlink r:id="rId212">
        <w:r>
          <w:rPr>
            <w:rStyle w:val="Hyperlink"/>
          </w:rPr>
          <w:t xml:space="preserve">https://doi.org/10.1098/rspb.2008.1827</w:t>
        </w:r>
      </w:hyperlink>
      <w:r>
        <w:t xml:space="preserve">.</w:t>
      </w:r>
    </w:p>
    <w:bookmarkEnd w:id="213"/>
    <w:bookmarkStart w:id="215"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214">
        <w:r>
          <w:rPr>
            <w:rStyle w:val="Hyperlink"/>
          </w:rPr>
          <w:t xml:space="preserve">https://doi.org/10.1038/nature08227</w:t>
        </w:r>
      </w:hyperlink>
      <w:r>
        <w:t xml:space="preserve">.</w:t>
      </w:r>
    </w:p>
    <w:bookmarkEnd w:id="215"/>
    <w:bookmarkStart w:id="216"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16"/>
    <w:bookmarkStart w:id="218"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17">
        <w:r>
          <w:rPr>
            <w:rStyle w:val="Hyperlink"/>
          </w:rPr>
          <w:t xml:space="preserve">https://doi.org/10.1016/j.jtbi.2016.04.024</w:t>
        </w:r>
      </w:hyperlink>
      <w:r>
        <w:t xml:space="preserve">.</w:t>
      </w:r>
    </w:p>
    <w:bookmarkEnd w:id="218"/>
    <w:bookmarkStart w:id="220"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9">
        <w:r>
          <w:rPr>
            <w:rStyle w:val="Hyperlink"/>
          </w:rPr>
          <w:t xml:space="preserve">https://doi.org/10.1016/j.evolhumbehav.2014.09.006</w:t>
        </w:r>
      </w:hyperlink>
      <w:r>
        <w:t xml:space="preserve">.</w:t>
      </w:r>
    </w:p>
    <w:bookmarkEnd w:id="220"/>
    <w:bookmarkStart w:id="221"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21"/>
    <w:bookmarkStart w:id="222"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22"/>
    <w:bookmarkStart w:id="223"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23"/>
    <w:bookmarkStart w:id="224"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24"/>
    <w:bookmarkStart w:id="226"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25">
        <w:r>
          <w:rPr>
            <w:rStyle w:val="Hyperlink"/>
          </w:rPr>
          <w:t xml:space="preserve">https://doi.org/10.1006/jhev.1994.1037</w:t>
        </w:r>
      </w:hyperlink>
      <w:r>
        <w:t xml:space="preserve">.</w:t>
      </w:r>
    </w:p>
    <w:bookmarkEnd w:id="226"/>
    <w:bookmarkStart w:id="228"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27">
        <w:r>
          <w:rPr>
            <w:rStyle w:val="Hyperlink"/>
          </w:rPr>
          <w:t xml:space="preserve">https://doi.org/10.1017/aaq.2024.1</w:t>
        </w:r>
      </w:hyperlink>
      <w:r>
        <w:t xml:space="preserve">.</w:t>
      </w:r>
    </w:p>
    <w:bookmarkEnd w:id="228"/>
    <w:bookmarkStart w:id="229"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9"/>
    <w:bookmarkStart w:id="231"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30">
        <w:r>
          <w:rPr>
            <w:rStyle w:val="Hyperlink"/>
          </w:rPr>
          <w:t xml:space="preserve">https://doi.org/10.1086/651661</w:t>
        </w:r>
      </w:hyperlink>
      <w:r>
        <w:t xml:space="preserve">.</w:t>
      </w:r>
    </w:p>
    <w:bookmarkEnd w:id="231"/>
    <w:bookmarkStart w:id="232"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32"/>
    <w:bookmarkStart w:id="233" w:name="ref-williams_1954"/>
    <w:p>
      <w:pPr>
        <w:pStyle w:val="Bibliography"/>
      </w:pPr>
      <w:r>
        <w:t xml:space="preserve">Williams, Stephen. 1954. An Archeological Study of the Mississippian Culture in Southeast Missouri. PhD thesis, Yale University, New Haven.</w:t>
      </w:r>
    </w:p>
    <w:bookmarkEnd w:id="233"/>
    <w:bookmarkStart w:id="234"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34"/>
    <w:bookmarkStart w:id="236"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35">
        <w:r>
          <w:rPr>
            <w:rStyle w:val="Hyperlink"/>
          </w:rPr>
          <w:t xml:space="preserve">https://doi.org/10.1093/genetics/28.2.114</w:t>
        </w:r>
      </w:hyperlink>
      <w:r>
        <w:t xml:space="preserve">.</w:t>
      </w:r>
    </w:p>
    <w:bookmarkEnd w:id="236"/>
    <w:bookmarkStart w:id="238"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37">
        <w:r>
          <w:rPr>
            <w:rStyle w:val="Hyperlink"/>
          </w:rPr>
          <w:t xml:space="preserve">https://doi.org/10.1111/j.1469-1809.1949.tb02451.x</w:t>
        </w:r>
      </w:hyperlink>
      <w:r>
        <w:t xml:space="preserve">.</w:t>
      </w:r>
    </w:p>
    <w:bookmarkEnd w:id="238"/>
    <w:bookmarkStart w:id="240"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39">
        <w:r>
          <w:rPr>
            <w:rStyle w:val="Hyperlink"/>
          </w:rPr>
          <w:t xml:space="preserve">https://doi.org/10.1017/ehs.2023.5</w:t>
        </w:r>
      </w:hyperlink>
      <w:r>
        <w:t xml:space="preserve">.</w:t>
      </w:r>
    </w:p>
    <w:bookmarkEnd w:id="240"/>
    <w:bookmarkEnd w:id="241"/>
    <w:bookmarkEnd w:id="242"/>
    <w:bookmarkEnd w:id="2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9" Target="https://doi.org/10.1006/jaar.1997.0314" TargetMode="External" /><Relationship Type="http://schemas.openxmlformats.org/officeDocument/2006/relationships/hyperlink" Id="rId225" Target="https://doi.org/10.1006/jhev.1994.1037" TargetMode="External" /><Relationship Type="http://schemas.openxmlformats.org/officeDocument/2006/relationships/hyperlink" Id="rId111" Target="https://doi.org/10.1007/s10814-007-9013-z" TargetMode="External" /><Relationship Type="http://schemas.openxmlformats.org/officeDocument/2006/relationships/hyperlink" Id="rId188"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6"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9" Target="https://doi.org/10.1016/j.evolhumbehav.2014.09.006" TargetMode="External" /><Relationship Type="http://schemas.openxmlformats.org/officeDocument/2006/relationships/hyperlink" Id="rId109"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5" Target="https://doi.org/10.1016/j.jas.2010.05.015" TargetMode="External" /><Relationship Type="http://schemas.openxmlformats.org/officeDocument/2006/relationships/hyperlink" Id="rId186"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63" Target="https://doi.org/10.1016/j.jas.2021.105412" TargetMode="External" /><Relationship Type="http://schemas.openxmlformats.org/officeDocument/2006/relationships/hyperlink" Id="rId139" Target="https://doi.org/10.1016/j.jtbi.2013.03.006" TargetMode="External" /><Relationship Type="http://schemas.openxmlformats.org/officeDocument/2006/relationships/hyperlink" Id="rId217" Target="https://doi.org/10.1016/j.jtbi.2016.04.024" TargetMode="External" /><Relationship Type="http://schemas.openxmlformats.org/officeDocument/2006/relationships/hyperlink" Id="rId204"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6" Target="https://doi.org/10.1017/S0140525X1400106X" TargetMode="External" /><Relationship Type="http://schemas.openxmlformats.org/officeDocument/2006/relationships/hyperlink" Id="rId129" Target="https://doi.org/10.1017/aap.2021.10" TargetMode="External" /><Relationship Type="http://schemas.openxmlformats.org/officeDocument/2006/relationships/hyperlink" Id="rId227" Target="https://doi.org/10.1017/aaq.2024.1" TargetMode="External" /><Relationship Type="http://schemas.openxmlformats.org/officeDocument/2006/relationships/hyperlink" Id="rId239" Target="https://doi.org/10.1017/ehs.2023.5" TargetMode="External" /><Relationship Type="http://schemas.openxmlformats.org/officeDocument/2006/relationships/hyperlink" Id="rId214" Target="https://doi.org/10.1038/nature08227" TargetMode="External" /><Relationship Type="http://schemas.openxmlformats.org/officeDocument/2006/relationships/hyperlink" Id="rId94" Target="https://doi.org/10.1038/srep39122" TargetMode="External" /><Relationship Type="http://schemas.openxmlformats.org/officeDocument/2006/relationships/hyperlink" Id="rId208"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98" Target="https://doi.org/10.1073/pnas.1518798113" TargetMode="External" /><Relationship Type="http://schemas.openxmlformats.org/officeDocument/2006/relationships/hyperlink" Id="rId161" Target="https://doi.org/10.1073/pnas.1818346116" TargetMode="External" /><Relationship Type="http://schemas.openxmlformats.org/officeDocument/2006/relationships/hyperlink" Id="rId116" Target="https://doi.org/10.1073/pnas.2418106121" TargetMode="External" /><Relationship Type="http://schemas.openxmlformats.org/officeDocument/2006/relationships/hyperlink" Id="rId173" Target="https://doi.org/10.1080/20548923.2018.1504490" TargetMode="External" /><Relationship Type="http://schemas.openxmlformats.org/officeDocument/2006/relationships/hyperlink" Id="rId230" Target="https://doi.org/10.1086/651661" TargetMode="External" /><Relationship Type="http://schemas.openxmlformats.org/officeDocument/2006/relationships/hyperlink" Id="rId197" Target="https://doi.org/10.1086/674873" TargetMode="External" /><Relationship Type="http://schemas.openxmlformats.org/officeDocument/2006/relationships/hyperlink" Id="rId235" Target="https://doi.org/10.1093/genetics/28.2.114" TargetMode="External" /><Relationship Type="http://schemas.openxmlformats.org/officeDocument/2006/relationships/hyperlink" Id="rId141" Target="https://doi.org/10.1098/rsif.2015.0905" TargetMode="External" /><Relationship Type="http://schemas.openxmlformats.org/officeDocument/2006/relationships/hyperlink" Id="rId143"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212" Target="https://doi.org/10.1098/rspb.2008.1827" TargetMode="External" /><Relationship Type="http://schemas.openxmlformats.org/officeDocument/2006/relationships/hyperlink" Id="rId65" Target="https://doi.org/10.1098/rstb.1996.0073" TargetMode="External" /><Relationship Type="http://schemas.openxmlformats.org/officeDocument/2006/relationships/hyperlink" Id="rId182" Target="https://doi.org/10.1098/rstb.2016.0426" TargetMode="External" /><Relationship Type="http://schemas.openxmlformats.org/officeDocument/2006/relationships/hyperlink" Id="rId100" Target="https://doi.org/10.1098/rstb.2017.0062" TargetMode="External" /><Relationship Type="http://schemas.openxmlformats.org/officeDocument/2006/relationships/hyperlink" Id="rId237" Target="https://doi.org/10.1111/j.1469-1809.1949.tb02451.x" TargetMode="External" /><Relationship Type="http://schemas.openxmlformats.org/officeDocument/2006/relationships/hyperlink" Id="rId136" Target="https://doi.org/10.1111/j.1558-5646.2007.00310.x" TargetMode="External" /><Relationship Type="http://schemas.openxmlformats.org/officeDocument/2006/relationships/hyperlink" Id="rId195" Target="https://doi.org/10.1126/science.1170165" TargetMode="External" /><Relationship Type="http://schemas.openxmlformats.org/officeDocument/2006/relationships/hyperlink" Id="rId145"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96" Target="https://doi.org/10.1371/journal.pone.0041010" TargetMode="External" /><Relationship Type="http://schemas.openxmlformats.org/officeDocument/2006/relationships/hyperlink" Id="rId157" Target="https://doi.org/10.1371/journal.pone.0124942" TargetMode="External" /><Relationship Type="http://schemas.openxmlformats.org/officeDocument/2006/relationships/hyperlink" Id="rId152" Target="https://doi.org/10.1371/journal.pone.0250690" TargetMode="External" /><Relationship Type="http://schemas.openxmlformats.org/officeDocument/2006/relationships/hyperlink" Id="rId193" Target="https://doi.org/10.1525/aa.1953.55.5.02a00030" TargetMode="External" /><Relationship Type="http://schemas.openxmlformats.org/officeDocument/2006/relationships/hyperlink" Id="rId122" Target="https://doi.org/10.1525/aa.2001.103.4.992" TargetMode="External" /><Relationship Type="http://schemas.openxmlformats.org/officeDocument/2006/relationships/hyperlink" Id="rId114" Target="https://doi.org/10.1534/genetics.113.158220" TargetMode="External" /><Relationship Type="http://schemas.openxmlformats.org/officeDocument/2006/relationships/hyperlink" Id="rId134"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8" Target="https://doi.org/10.2307/2694529" TargetMode="External" /><Relationship Type="http://schemas.openxmlformats.org/officeDocument/2006/relationships/hyperlink" Id="rId102" Target="https://doi.org/10.2307/278341" TargetMode="External" /><Relationship Type="http://schemas.openxmlformats.org/officeDocument/2006/relationships/hyperlink" Id="rId184" Target="https://doi.org/10.2307/279066" TargetMode="External" /><Relationship Type="http://schemas.openxmlformats.org/officeDocument/2006/relationships/hyperlink" Id="rId104"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24" Target="https://doi.org/10.2307/4128416" TargetMode="External" /><Relationship Type="http://schemas.openxmlformats.org/officeDocument/2006/relationships/hyperlink" Id="rId201" Target="https://doi.org/10.7183/0002-7316.76.1.163" TargetMode="External" /><Relationship Type="http://schemas.openxmlformats.org/officeDocument/2006/relationships/hyperlink" Id="rId199"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9" Target="https://doi.org/10.1006/jaar.1997.0314" TargetMode="External" /><Relationship Type="http://schemas.openxmlformats.org/officeDocument/2006/relationships/hyperlink" Id="rId225" Target="https://doi.org/10.1006/jhev.1994.1037" TargetMode="External" /><Relationship Type="http://schemas.openxmlformats.org/officeDocument/2006/relationships/hyperlink" Id="rId111" Target="https://doi.org/10.1007/s10814-007-9013-z" TargetMode="External" /><Relationship Type="http://schemas.openxmlformats.org/officeDocument/2006/relationships/hyperlink" Id="rId188"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6"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9" Target="https://doi.org/10.1016/j.evolhumbehav.2014.09.006" TargetMode="External" /><Relationship Type="http://schemas.openxmlformats.org/officeDocument/2006/relationships/hyperlink" Id="rId109"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5" Target="https://doi.org/10.1016/j.jas.2010.05.015" TargetMode="External" /><Relationship Type="http://schemas.openxmlformats.org/officeDocument/2006/relationships/hyperlink" Id="rId186"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63" Target="https://doi.org/10.1016/j.jas.2021.105412" TargetMode="External" /><Relationship Type="http://schemas.openxmlformats.org/officeDocument/2006/relationships/hyperlink" Id="rId139" Target="https://doi.org/10.1016/j.jtbi.2013.03.006" TargetMode="External" /><Relationship Type="http://schemas.openxmlformats.org/officeDocument/2006/relationships/hyperlink" Id="rId217" Target="https://doi.org/10.1016/j.jtbi.2016.04.024" TargetMode="External" /><Relationship Type="http://schemas.openxmlformats.org/officeDocument/2006/relationships/hyperlink" Id="rId204"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6" Target="https://doi.org/10.1017/S0140525X1400106X" TargetMode="External" /><Relationship Type="http://schemas.openxmlformats.org/officeDocument/2006/relationships/hyperlink" Id="rId129" Target="https://doi.org/10.1017/aap.2021.10" TargetMode="External" /><Relationship Type="http://schemas.openxmlformats.org/officeDocument/2006/relationships/hyperlink" Id="rId227" Target="https://doi.org/10.1017/aaq.2024.1" TargetMode="External" /><Relationship Type="http://schemas.openxmlformats.org/officeDocument/2006/relationships/hyperlink" Id="rId239" Target="https://doi.org/10.1017/ehs.2023.5" TargetMode="External" /><Relationship Type="http://schemas.openxmlformats.org/officeDocument/2006/relationships/hyperlink" Id="rId214" Target="https://doi.org/10.1038/nature08227" TargetMode="External" /><Relationship Type="http://schemas.openxmlformats.org/officeDocument/2006/relationships/hyperlink" Id="rId94" Target="https://doi.org/10.1038/srep39122" TargetMode="External" /><Relationship Type="http://schemas.openxmlformats.org/officeDocument/2006/relationships/hyperlink" Id="rId208"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98" Target="https://doi.org/10.1073/pnas.1518798113" TargetMode="External" /><Relationship Type="http://schemas.openxmlformats.org/officeDocument/2006/relationships/hyperlink" Id="rId161" Target="https://doi.org/10.1073/pnas.1818346116" TargetMode="External" /><Relationship Type="http://schemas.openxmlformats.org/officeDocument/2006/relationships/hyperlink" Id="rId116" Target="https://doi.org/10.1073/pnas.2418106121" TargetMode="External" /><Relationship Type="http://schemas.openxmlformats.org/officeDocument/2006/relationships/hyperlink" Id="rId173" Target="https://doi.org/10.1080/20548923.2018.1504490" TargetMode="External" /><Relationship Type="http://schemas.openxmlformats.org/officeDocument/2006/relationships/hyperlink" Id="rId230" Target="https://doi.org/10.1086/651661" TargetMode="External" /><Relationship Type="http://schemas.openxmlformats.org/officeDocument/2006/relationships/hyperlink" Id="rId197" Target="https://doi.org/10.1086/674873" TargetMode="External" /><Relationship Type="http://schemas.openxmlformats.org/officeDocument/2006/relationships/hyperlink" Id="rId235" Target="https://doi.org/10.1093/genetics/28.2.114" TargetMode="External" /><Relationship Type="http://schemas.openxmlformats.org/officeDocument/2006/relationships/hyperlink" Id="rId141" Target="https://doi.org/10.1098/rsif.2015.0905" TargetMode="External" /><Relationship Type="http://schemas.openxmlformats.org/officeDocument/2006/relationships/hyperlink" Id="rId143"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212" Target="https://doi.org/10.1098/rspb.2008.1827" TargetMode="External" /><Relationship Type="http://schemas.openxmlformats.org/officeDocument/2006/relationships/hyperlink" Id="rId65" Target="https://doi.org/10.1098/rstb.1996.0073" TargetMode="External" /><Relationship Type="http://schemas.openxmlformats.org/officeDocument/2006/relationships/hyperlink" Id="rId182" Target="https://doi.org/10.1098/rstb.2016.0426" TargetMode="External" /><Relationship Type="http://schemas.openxmlformats.org/officeDocument/2006/relationships/hyperlink" Id="rId100" Target="https://doi.org/10.1098/rstb.2017.0062" TargetMode="External" /><Relationship Type="http://schemas.openxmlformats.org/officeDocument/2006/relationships/hyperlink" Id="rId237" Target="https://doi.org/10.1111/j.1469-1809.1949.tb02451.x" TargetMode="External" /><Relationship Type="http://schemas.openxmlformats.org/officeDocument/2006/relationships/hyperlink" Id="rId136" Target="https://doi.org/10.1111/j.1558-5646.2007.00310.x" TargetMode="External" /><Relationship Type="http://schemas.openxmlformats.org/officeDocument/2006/relationships/hyperlink" Id="rId195" Target="https://doi.org/10.1126/science.1170165" TargetMode="External" /><Relationship Type="http://schemas.openxmlformats.org/officeDocument/2006/relationships/hyperlink" Id="rId145"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96" Target="https://doi.org/10.1371/journal.pone.0041010" TargetMode="External" /><Relationship Type="http://schemas.openxmlformats.org/officeDocument/2006/relationships/hyperlink" Id="rId157" Target="https://doi.org/10.1371/journal.pone.0124942" TargetMode="External" /><Relationship Type="http://schemas.openxmlformats.org/officeDocument/2006/relationships/hyperlink" Id="rId152" Target="https://doi.org/10.1371/journal.pone.0250690" TargetMode="External" /><Relationship Type="http://schemas.openxmlformats.org/officeDocument/2006/relationships/hyperlink" Id="rId193" Target="https://doi.org/10.1525/aa.1953.55.5.02a00030" TargetMode="External" /><Relationship Type="http://schemas.openxmlformats.org/officeDocument/2006/relationships/hyperlink" Id="rId122" Target="https://doi.org/10.1525/aa.2001.103.4.992" TargetMode="External" /><Relationship Type="http://schemas.openxmlformats.org/officeDocument/2006/relationships/hyperlink" Id="rId114" Target="https://doi.org/10.1534/genetics.113.158220" TargetMode="External" /><Relationship Type="http://schemas.openxmlformats.org/officeDocument/2006/relationships/hyperlink" Id="rId134"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8" Target="https://doi.org/10.2307/2694529" TargetMode="External" /><Relationship Type="http://schemas.openxmlformats.org/officeDocument/2006/relationships/hyperlink" Id="rId102" Target="https://doi.org/10.2307/278341" TargetMode="External" /><Relationship Type="http://schemas.openxmlformats.org/officeDocument/2006/relationships/hyperlink" Id="rId184" Target="https://doi.org/10.2307/279066" TargetMode="External" /><Relationship Type="http://schemas.openxmlformats.org/officeDocument/2006/relationships/hyperlink" Id="rId104"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24" Target="https://doi.org/10.2307/4128416" TargetMode="External" /><Relationship Type="http://schemas.openxmlformats.org/officeDocument/2006/relationships/hyperlink" Id="rId201" Target="https://doi.org/10.7183/0002-7316.76.1.163" TargetMode="External" /><Relationship Type="http://schemas.openxmlformats.org/officeDocument/2006/relationships/hyperlink" Id="rId199"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2026-06-16T21:55:29Z</dcterms:created>
  <dcterms:modified xsi:type="dcterms:W3CDTF">2026-06-16T21:55:29Z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