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3"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los conjuntos del sureste de Misuri,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Una frontera más marcada aparece solo entre el valle central y el valle inferior, confundida con el cambio cronológico y con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and Central Mississippi Valley records are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signaling, and smooth distance-limited drift</w:t>
      </w:r>
      <w:r>
        <w:t xml:space="preserve"> </w:t>
      </w:r>
      <w:r>
        <w:t xml:space="preserve">(Mesoudi 2021)</w:t>
      </w:r>
      <w:r>
        <w:t xml:space="preserve">. We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varied from none to strong, and ask whether our four measures can detect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first is that assemblage size trends with seriation position, as noted above, so a size-dependent estimator can move along the axis through sampling alone. We subsample every assemblage, synthetic and real, to a common count before scoring. The second is time-averaging, which we reproduce by blending adjacent-bin production within a window. Our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Within a run, innovation enters at a constant per-generation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(6 to 24 km), between-node mixing rate (0.02 to 0.20), and innovation rate (0.005 to 0.02 per learner per generation),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registered.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2" w:name="references"/>
    <w:p>
      <w:pPr>
        <w:pStyle w:val="Heading2"/>
      </w:pPr>
      <w:r>
        <w:t xml:space="preserve">References</w:t>
      </w:r>
    </w:p>
    <w:bookmarkStart w:id="231"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1"/>
    <w:bookmarkStart w:id="11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2"/>
    <w:bookmarkStart w:id="11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3"/>
    <w:bookmarkStart w:id="11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4"/>
    <w:bookmarkStart w:id="11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5">
        <w:r>
          <w:rPr>
            <w:rStyle w:val="Hyperlink"/>
          </w:rPr>
          <w:t xml:space="preserve">https://doi.org/10.1525/aa.2001.103.4.992</w:t>
        </w:r>
      </w:hyperlink>
      <w:r>
        <w:t xml:space="preserve">.</w:t>
      </w:r>
    </w:p>
    <w:bookmarkEnd w:id="116"/>
    <w:bookmarkStart w:id="11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7">
        <w:r>
          <w:rPr>
            <w:rStyle w:val="Hyperlink"/>
          </w:rPr>
          <w:t xml:space="preserve">https://doi.org/10.2307/4128416</w:t>
        </w:r>
      </w:hyperlink>
      <w:r>
        <w:t xml:space="preserve">.</w:t>
      </w:r>
    </w:p>
    <w:bookmarkEnd w:id="118"/>
    <w:bookmarkStart w:id="12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9">
        <w:r>
          <w:rPr>
            <w:rStyle w:val="Hyperlink"/>
          </w:rPr>
          <w:t xml:space="preserve">https://doi.org/10.1016/S1090-5138(98)00018-X</w:t>
        </w:r>
      </w:hyperlink>
      <w:r>
        <w:t xml:space="preserve">.</w:t>
      </w:r>
    </w:p>
    <w:bookmarkEnd w:id="120"/>
    <w:bookmarkStart w:id="12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1"/>
    <w:bookmarkStart w:id="12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2">
        <w:r>
          <w:rPr>
            <w:rStyle w:val="Hyperlink"/>
          </w:rPr>
          <w:t xml:space="preserve">https://doi.org/10.1017/aap.2021.10</w:t>
        </w:r>
      </w:hyperlink>
      <w:r>
        <w:t xml:space="preserve">.</w:t>
      </w:r>
    </w:p>
    <w:bookmarkEnd w:id="123"/>
    <w:bookmarkStart w:id="12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4"/>
    <w:bookmarkStart w:id="12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5"/>
    <w:bookmarkStart w:id="12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6"/>
    <w:bookmarkStart w:id="12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7">
        <w:r>
          <w:rPr>
            <w:rStyle w:val="Hyperlink"/>
          </w:rPr>
          <w:t xml:space="preserve">https://doi.org/10.1666/05070.1</w:t>
        </w:r>
      </w:hyperlink>
      <w:r>
        <w:t xml:space="preserve">.</w:t>
      </w:r>
    </w:p>
    <w:bookmarkEnd w:id="128"/>
    <w:bookmarkStart w:id="13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9">
        <w:r>
          <w:rPr>
            <w:rStyle w:val="Hyperlink"/>
          </w:rPr>
          <w:t xml:space="preserve">https://doi.org/10.1111/j.1558-5646.2007.00310.x</w:t>
        </w:r>
      </w:hyperlink>
      <w:r>
        <w:t xml:space="preserve">.</w:t>
      </w:r>
    </w:p>
    <w:bookmarkEnd w:id="130"/>
    <w:bookmarkStart w:id="13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1"/>
    <w:bookmarkStart w:id="13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2">
        <w:r>
          <w:rPr>
            <w:rStyle w:val="Hyperlink"/>
          </w:rPr>
          <w:t xml:space="preserve">https://doi.org/10.1016/j.jtbi.2013.03.006</w:t>
        </w:r>
      </w:hyperlink>
      <w:r>
        <w:t xml:space="preserve">.</w:t>
      </w:r>
    </w:p>
    <w:bookmarkEnd w:id="133"/>
    <w:bookmarkStart w:id="13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4">
        <w:r>
          <w:rPr>
            <w:rStyle w:val="Hyperlink"/>
          </w:rPr>
          <w:t xml:space="preserve">https://doi.org/10.1098/rsif.2015.0905</w:t>
        </w:r>
      </w:hyperlink>
      <w:r>
        <w:t xml:space="preserve">.</w:t>
      </w:r>
    </w:p>
    <w:bookmarkEnd w:id="135"/>
    <w:bookmarkStart w:id="13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6">
        <w:r>
          <w:rPr>
            <w:rStyle w:val="Hyperlink"/>
          </w:rPr>
          <w:t xml:space="preserve">https://doi.org/10.1098/rsos.170949</w:t>
        </w:r>
      </w:hyperlink>
      <w:r>
        <w:t xml:space="preserve">.</w:t>
      </w:r>
    </w:p>
    <w:bookmarkEnd w:id="137"/>
    <w:bookmarkStart w:id="13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8">
        <w:r>
          <w:rPr>
            <w:rStyle w:val="Hyperlink"/>
          </w:rPr>
          <w:t xml:space="preserve">https://doi.org/10.1146/annurev-ecolsys-110512-135838</w:t>
        </w:r>
      </w:hyperlink>
      <w:r>
        <w:t xml:space="preserve">.</w:t>
      </w:r>
    </w:p>
    <w:bookmarkEnd w:id="139"/>
    <w:bookmarkStart w:id="14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0"/>
    <w:bookmarkStart w:id="14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1">
        <w:r>
          <w:rPr>
            <w:rStyle w:val="Hyperlink"/>
          </w:rPr>
          <w:t xml:space="preserve">https://doi.org/10.2307/2694529</w:t>
        </w:r>
      </w:hyperlink>
      <w:r>
        <w:t xml:space="preserve">.</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5"/>
    <w:bookmarkStart w:id="166"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6"/>
    <w:bookmarkStart w:id="168"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7">
        <w:r>
          <w:rPr>
            <w:rStyle w:val="Hyperlink"/>
          </w:rPr>
          <w:t xml:space="preserve">https://doi.org/10.1080/20548923.2018.1504490</w:t>
        </w:r>
      </w:hyperlink>
      <w:r>
        <w:t xml:space="preserve">.</w:t>
      </w:r>
    </w:p>
    <w:bookmarkEnd w:id="168"/>
    <w:bookmarkStart w:id="169"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9"/>
    <w:bookmarkStart w:id="17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0"/>
    <w:bookmarkStart w:id="171"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1"/>
    <w:bookmarkStart w:id="17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2"/>
    <w:bookmarkStart w:id="17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3"/>
    <w:bookmarkStart w:id="17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4"/>
    <w:bookmarkStart w:id="17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5"/>
    <w:bookmarkStart w:id="176"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6"/>
    <w:bookmarkStart w:id="178"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7">
        <w:r>
          <w:rPr>
            <w:rStyle w:val="Hyperlink"/>
          </w:rPr>
          <w:t xml:space="preserve">https://doi.org/10.1098/rstb.2016.0426</w:t>
        </w:r>
      </w:hyperlink>
      <w:r>
        <w:t xml:space="preserve">.</w:t>
      </w:r>
    </w:p>
    <w:bookmarkEnd w:id="178"/>
    <w:bookmarkStart w:id="180"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9">
        <w:r>
          <w:rPr>
            <w:rStyle w:val="Hyperlink"/>
          </w:rPr>
          <w:t xml:space="preserve">https://doi.org/10.2307/279066</w:t>
        </w:r>
      </w:hyperlink>
      <w:r>
        <w:t xml:space="preserve">.</w:t>
      </w:r>
    </w:p>
    <w:bookmarkEnd w:id="180"/>
    <w:bookmarkStart w:id="182"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1">
        <w:r>
          <w:rPr>
            <w:rStyle w:val="Hyperlink"/>
          </w:rPr>
          <w:t xml:space="preserve">https://doi.org/10.1016/j.jas.2012.04.040</w:t>
        </w:r>
      </w:hyperlink>
      <w:r>
        <w:t xml:space="preserve">.</w:t>
      </w:r>
    </w:p>
    <w:bookmarkEnd w:id="182"/>
    <w:bookmarkStart w:id="184"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3">
        <w:r>
          <w:rPr>
            <w:rStyle w:val="Hyperlink"/>
          </w:rPr>
          <w:t xml:space="preserve">https://doi.org/10.1007/s10816-018-9364-4</w:t>
        </w:r>
      </w:hyperlink>
      <w:r>
        <w:t xml:space="preserve">.</w:t>
      </w:r>
    </w:p>
    <w:bookmarkEnd w:id="184"/>
    <w:bookmarkStart w:id="18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5"/>
    <w:bookmarkStart w:id="186"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6"/>
    <w:bookmarkStart w:id="187"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7"/>
    <w:bookmarkStart w:id="189"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8">
        <w:r>
          <w:rPr>
            <w:rStyle w:val="Hyperlink"/>
          </w:rPr>
          <w:t xml:space="preserve">https://doi.org/10.1525/aa.1953.55.5.02a00030</w:t>
        </w:r>
      </w:hyperlink>
      <w:r>
        <w:t xml:space="preserve">.</w:t>
      </w:r>
    </w:p>
    <w:bookmarkEnd w:id="189"/>
    <w:bookmarkStart w:id="191"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0">
        <w:r>
          <w:rPr>
            <w:rStyle w:val="Hyperlink"/>
          </w:rPr>
          <w:t xml:space="preserve">https://doi.org/10.1126/science.1170165</w:t>
        </w:r>
      </w:hyperlink>
      <w:r>
        <w:t xml:space="preserve">.</w:t>
      </w:r>
    </w:p>
    <w:bookmarkEnd w:id="191"/>
    <w:bookmarkStart w:id="193"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2">
        <w:r>
          <w:rPr>
            <w:rStyle w:val="Hyperlink"/>
          </w:rPr>
          <w:t xml:space="preserve">https://doi.org/10.1086/674873</w:t>
        </w:r>
      </w:hyperlink>
      <w:r>
        <w:t xml:space="preserve">.</w:t>
      </w:r>
    </w:p>
    <w:bookmarkEnd w:id="193"/>
    <w:bookmarkStart w:id="195"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4">
        <w:r>
          <w:rPr>
            <w:rStyle w:val="Hyperlink"/>
          </w:rPr>
          <w:t xml:space="preserve">https://doi.org/10.7183/0002-7316.81.4.605</w:t>
        </w:r>
      </w:hyperlink>
      <w:r>
        <w:t xml:space="preserve">.</w:t>
      </w:r>
    </w:p>
    <w:bookmarkEnd w:id="195"/>
    <w:bookmarkStart w:id="197"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6">
        <w:r>
          <w:rPr>
            <w:rStyle w:val="Hyperlink"/>
          </w:rPr>
          <w:t xml:space="preserve">https://doi.org/10.7183/0002-7316.76.1.163</w:t>
        </w:r>
      </w:hyperlink>
      <w:r>
        <w:t xml:space="preserve">.</w:t>
      </w:r>
    </w:p>
    <w:bookmarkEnd w:id="197"/>
    <w:bookmarkStart w:id="19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8"/>
    <w:bookmarkStart w:id="20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9">
        <w:r>
          <w:rPr>
            <w:rStyle w:val="Hyperlink"/>
          </w:rPr>
          <w:t xml:space="preserve">https://doi.org/10.1017/RDC.2020.41</w:t>
        </w:r>
      </w:hyperlink>
      <w:r>
        <w:t xml:space="preserve">.</w:t>
      </w:r>
    </w:p>
    <w:bookmarkEnd w:id="200"/>
    <w:bookmarkStart w:id="20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1">
        <w:r>
          <w:rPr>
            <w:rStyle w:val="Hyperlink"/>
          </w:rPr>
          <w:t xml:space="preserve">https://doi.org/10.1017/S0140525X1400106X</w:t>
        </w:r>
      </w:hyperlink>
      <w:r>
        <w:t xml:space="preserve">.</w:t>
      </w:r>
    </w:p>
    <w:bookmarkEnd w:id="202"/>
    <w:bookmarkStart w:id="20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3">
        <w:r>
          <w:rPr>
            <w:rStyle w:val="Hyperlink"/>
          </w:rPr>
          <w:t xml:space="preserve">https://doi.org/10.1057/s41599-019-0260-7</w:t>
        </w:r>
      </w:hyperlink>
      <w:r>
        <w:t xml:space="preserve">.</w:t>
      </w:r>
    </w:p>
    <w:bookmarkEnd w:id="204"/>
    <w:bookmarkStart w:id="20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5"/>
    <w:bookmarkStart w:id="20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6"/>
    <w:bookmarkStart w:id="207"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7"/>
    <w:bookmarkStart w:id="209"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8">
        <w:r>
          <w:rPr>
            <w:rStyle w:val="Hyperlink"/>
          </w:rPr>
          <w:t xml:space="preserve">https://doi.org/10.1016/j.jtbi.2016.04.024</w:t>
        </w:r>
      </w:hyperlink>
      <w:r>
        <w:t xml:space="preserve">.</w:t>
      </w:r>
    </w:p>
    <w:bookmarkEnd w:id="209"/>
    <w:bookmarkStart w:id="21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0">
        <w:r>
          <w:rPr>
            <w:rStyle w:val="Hyperlink"/>
          </w:rPr>
          <w:t xml:space="preserve">https://doi.org/10.1016/j.evolhumbehav.2014.09.006</w:t>
        </w:r>
      </w:hyperlink>
      <w:r>
        <w:t xml:space="preserve">.</w:t>
      </w:r>
    </w:p>
    <w:bookmarkEnd w:id="211"/>
    <w:bookmarkStart w:id="21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2"/>
    <w:bookmarkStart w:id="213"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3"/>
    <w:bookmarkStart w:id="214"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4"/>
    <w:bookmarkStart w:id="215"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5"/>
    <w:bookmarkStart w:id="217"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6">
        <w:r>
          <w:rPr>
            <w:rStyle w:val="Hyperlink"/>
          </w:rPr>
          <w:t xml:space="preserve">https://doi.org/10.1006/jhev.1994.1037</w:t>
        </w:r>
      </w:hyperlink>
      <w:r>
        <w:t xml:space="preserve">.</w:t>
      </w:r>
    </w:p>
    <w:bookmarkEnd w:id="217"/>
    <w:bookmarkStart w:id="219"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8">
        <w:r>
          <w:rPr>
            <w:rStyle w:val="Hyperlink"/>
          </w:rPr>
          <w:t xml:space="preserve">https://doi.org/10.1017/aaq.2024.1</w:t>
        </w:r>
      </w:hyperlink>
      <w:r>
        <w:t xml:space="preserve">.</w:t>
      </w:r>
    </w:p>
    <w:bookmarkEnd w:id="219"/>
    <w:bookmarkStart w:id="220"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0"/>
    <w:bookmarkStart w:id="222"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1">
        <w:r>
          <w:rPr>
            <w:rStyle w:val="Hyperlink"/>
          </w:rPr>
          <w:t xml:space="preserve">https://doi.org/10.1086/651661</w:t>
        </w:r>
      </w:hyperlink>
      <w:r>
        <w:t xml:space="preserve">.</w:t>
      </w:r>
    </w:p>
    <w:bookmarkEnd w:id="222"/>
    <w:bookmarkStart w:id="223"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3"/>
    <w:bookmarkStart w:id="224" w:name="ref-williams_1954"/>
    <w:p>
      <w:pPr>
        <w:pStyle w:val="Bibliography"/>
      </w:pPr>
      <w:r>
        <w:t xml:space="preserve">Williams, Stephen. 1954. An Archeological Study of the Mississippian Culture in Southeast Missouri. PhD thesis, Yale University, New Haven.</w:t>
      </w:r>
    </w:p>
    <w:bookmarkEnd w:id="224"/>
    <w:bookmarkStart w:id="226"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5">
        <w:r>
          <w:rPr>
            <w:rStyle w:val="Hyperlink"/>
          </w:rPr>
          <w:t xml:space="preserve">https://doi.org/10.1093/genetics/28.2.114</w:t>
        </w:r>
      </w:hyperlink>
      <w:r>
        <w:t xml:space="preserve">.</w:t>
      </w:r>
    </w:p>
    <w:bookmarkEnd w:id="226"/>
    <w:bookmarkStart w:id="228"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7">
        <w:r>
          <w:rPr>
            <w:rStyle w:val="Hyperlink"/>
          </w:rPr>
          <w:t xml:space="preserve">https://doi.org/10.1111/j.1469-1809.1949.tb02451.x</w:t>
        </w:r>
      </w:hyperlink>
      <w:r>
        <w:t xml:space="preserve">.</w:t>
      </w:r>
    </w:p>
    <w:bookmarkEnd w:id="228"/>
    <w:bookmarkStart w:id="230"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9">
        <w:r>
          <w:rPr>
            <w:rStyle w:val="Hyperlink"/>
          </w:rPr>
          <w:t xml:space="preserve">https://doi.org/10.1017/ehs.2023.5</w:t>
        </w:r>
      </w:hyperlink>
      <w:r>
        <w:t xml:space="preserve">.</w:t>
      </w:r>
    </w:p>
    <w:bookmarkEnd w:id="230"/>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2026-06-19T16:43:37Z</dcterms:created>
  <dcterms:modified xsi:type="dcterms:W3CDTF">2026-06-19T16:43:37Z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