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equifinality, the same pattern reached by different processes, and it undermines any inference resting on one signature</w:t>
      </w:r>
      <w:r>
        <w:t xml:space="preserve"> </w:t>
      </w:r>
      <w:r>
        <w:t xml:space="preserve">(Barrett 2019; Crema et al. 2016; Kandler and Shennan 2015; Mesoudi 2021)</w:t>
      </w:r>
      <w:r>
        <w:t xml:space="preserve">. We therefore compare the candidate processes generatively, simulating neutral spatial drift and bounded groups on the real coordinate layout of the assemblages and asking which reproduces the observed structure. Because the assemblages are time-averaged and sampled, we calibrate that comparison to the record with a signal-recovery experiment, so that a negative result reflects the absence of group structure rather than a failure of resolution. This calibration is the transferable contribution, because before any similarity structure is interpreted as social, a record must be shown able to distinguish drift from groups at all.</w:t>
      </w:r>
    </w:p>
    <w:p>
      <w:pPr>
        <w:pStyle w:val="BodyText"/>
      </w:pPr>
      <w:r>
        <w:t xml:space="preserve">The argument proceeds in five steps. First, we examine where the phase concept comes from and how Parkin came to be recognized as a center, since that reading is inherited from the unit rather than established on its own evidence. Second, we develop a theoretical basis for detecting structure among interacting populations, one in which a group is a region of locally intensified copying rather than a bounded type. Third, we select theory-grounded signatures that can register whether a set of decorated ceramic type frequencies carries the structure that closed groups would leave. Fourth, we develop methods matched to the quality of the archaeological record, whose assemblages are time-averaged rather than synchronic snapshots, so that each signature is tested against the resolution the deposits actually preserve. Finally, we assess the decorated-ceramic record of the lower Mississippi Valley, first the St. Francis basin Parkin phase and then the independently defined southeast-Missouri phases of Williams.</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introduced to archaeology by Dunnell</w:t>
      </w:r>
      <w:r>
        <w:t xml:space="preserve"> </w:t>
      </w:r>
      <w:r>
        <w:t xml:space="preserve">(1980)</w:t>
      </w:r>
      <w:r>
        <w:t xml:space="preserve">, which frames the question differently from the way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treating variation among individuals as reality and the type as an abstraction derived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3" w:name="references"/>
    <w:p>
      <w:pPr>
        <w:pStyle w:val="Heading2"/>
      </w:pPr>
      <w:r>
        <w:t xml:space="preserve">References</w:t>
      </w:r>
    </w:p>
    <w:bookmarkStart w:id="232"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2026-06-20T10:13:24Z</dcterms:created>
  <dcterms:modified xsi:type="dcterms:W3CDTF">2026-06-20T10:13:24Z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