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32.png" ContentType="image/png"/>
  <Override PartName="/word/media/rId36.png" ContentType="image/png"/>
  <Override PartName="/word/media/rId10.png" ContentType="image/png"/>
  <Override PartName="/word/media/rId19.png" ContentType="image/png"/>
  <Override PartName="/word/media/rId28.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central Mississippi Valley decorated ceramics</w:t>
      </w:r>
    </w:p>
    <w:p>
      <w:pPr>
        <w:pStyle w:val="BodyText"/>
      </w:pPr>
      <w:r>
        <w:rPr>
          <w:b/>
          <w:bCs/>
        </w:rPr>
        <w:t xml:space="preserve">Carl P. Lipo, Robert J. DiNapoli, and Mark E. Madsen</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type</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types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types,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type’s frequency both unimodal and continuous.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type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processes of Table 1.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group-by-type slices along an ordinal axis. We ran the four-signature procedure on each, blind to its source, and recorded which registered as convergent, repeating this across 20 random seeds and computing the correlation matrix of the four signatures on the bounded-groups output to confirm that their joint movement is informative rather than an artifact of redundancy (Figure S4).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4.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4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and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type’s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S1.</w:t>
      </w:r>
    </w:p>
    <w:p>
      <w:pPr>
        <w:pStyle w:val="CaptionedFigure"/>
      </w:pPr>
      <w:r>
        <w:drawing>
          <wp:inline>
            <wp:extent cx="5334000" cy="2759675"/>
            <wp:effectExtent b="0" l="0" r="0" t="0"/>
            <wp:docPr descr="Figure S1.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1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a fair objection is that the experiment merely certifies an F_ST test recovering an F_ST-shaped signal. We tested this by injecting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and in two ways. First, the conformity pathway is recovered by no signature (the neutral departure, which should detect it, inverts rather than rises), and the non-spatial social pathway is not recovered by seriation either. Hence, the neutral and seriation signatures fail to register an injected signal even through the pathway each is designed for. Second, F_ST is not a clean spatial-divergence test but a near-omnibus one, responding to group structure, however it is organized. It recovers the spatial-divergence pathway strongly (mean trend rising from the null to +0.76 at strong injection) and also recovers the non-spatial social pathway (+0.77), because both ultimately raise between-group variance somewhere the partition can see it. The four signatures are therefore not four independent pathways, even in this diagnostic. The only one that registers an injected signal at this resolution is F_ST, and it does so for divergence. However, its signal is organized. The reduction to F_ST is a property of the record’s resolution, 29 time-averaged assemblages subsampled to a common count over ten aggregated types, not an artifact of a generator whose injected closure is collinear with F_ST. A subsampling-depth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decorated-type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subsampled to the observed per-assemblage counts. We swept the interaction range (6, 12, and 24 km), the between-node mixing rate (0.02, 0.05, and 0.20), and the innovation rate (0.005, 0.01, and 0.02), in both snapshot and time-averaged form, at 100 seeds per cell, recording for each cell whether the four observed statistics fall inside the neutral null. Across the time-averaged sweep, the region that brackets all four at once is the low-mixing, sub-basin-range corner (24 km, mixing 0.02, innovation 0.01), as reported in Figure S5.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so the contrast between drift, which can reproduce the data, and bounded groups, which cannot, is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5. 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5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3" w:name="the-time-aware-emergence-simulation"/>
    <w:p>
      <w:pPr>
        <w:pStyle w:val="Heading2"/>
      </w:pPr>
      <w:r>
        <w:t xml:space="preserve">The time-aware emergence simulation</w:t>
      </w:r>
    </w:p>
    <w:p>
      <w:pPr>
        <w:pStyle w:val="FirstParagraph"/>
      </w:pPr>
      <w:r>
        <w:t xml:space="preserve">The constructive demonstration in the main text (Figure 8) and its robustness check (Figure S7) use a forward neutral-drift model run on the real geography, distinct from the null-comparison of the positive control above. The model evolves a population of decorated-type variants at each of the 29 assemblage locations. Each location holds a fixed finite population of 120 learners. In each generation every learner copies the decorated type of another learner, drawn from its own location with high probability and, with probability 0.02, from another location chosen with a weight that decays exponentially with along-waterway (river-network) distance, described below, at a length scale of 24 river-km. With probability 0.012 a learner instead adopts a newly invented type, so the decorated repertoire turns over and new types appear through time. That turnover is the source of the differential late-type frequencies that let assemblages be seriated. No interaction boundary is imposed anywhere, so any structure in the output is produced by river-network position and time alone. The engine is the finite-population network-drift model of Lipo, DiNapoli, Madsen, and Hunt</w:t>
      </w:r>
      <w:r>
        <w:t xml:space="preserve"> </w:t>
      </w:r>
      <w:r>
        <w:t xml:space="preserve">(2021)</w:t>
      </w:r>
      <w:r>
        <w:t xml:space="preserve">, here run forward with innovation switched on rather than set to zero to isolate structure.</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bridging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29 assemblages connect on the resulting network, the mean access distance from an assemblage to a mapped channel is 3.1 km, and along-water paths average about 2.3 times the straight-line distance. Substituting straight-line distance changes the results negligibly (between-group F_ST and community counts shift within sampling error), so the conclusions do not depend on the choice, but the river-network distance is the more faithful representation of how potters in the basin could interact.</w:t>
      </w:r>
    </w:p>
    <w:p>
      <w:pPr>
        <w:pStyle w:val="BodyText"/>
      </w:pPr>
      <w:r>
        <w:t xml:space="preserve">The assemblages are not contemporaneous, which is both why they can be seriated and why some carry more of the late types than others, so the evolving field is sampled time-transgressively rather than at a single instant. The field is recorded at 90 evenly spaced time slices over 1,800 generations. Each synthetic assemblage is drawn from the slice that matches its observed seriation position, its rank on the first correspondence-analysis axis of the real data, and accumulated over a trailing window of eight slices so that, like a real death assemblage, it mixes production across its span. Each synthetic assemblage is then sampled to the observed sherd count of the corresponding real assemblage. The synthetic assemblages are read exactly as the empirical ones: interaction communities by the same modularity partition, between-group cultural F_ST on the resulting groups, and a seriation order from a fresh correspondence analysis. A contemporaneous control, with every assemblage drawn from the final slice, is sampled the same way for comparison.</w:t>
      </w:r>
    </w:p>
    <w:p>
      <w:pPr>
        <w:pStyle w:val="BodyText"/>
      </w:pPr>
      <w:r>
        <w:t xml:space="preserve">For Figure 8 we summarize 500 independent realizations at the positive-control corner (interaction length 24 river-km, between-node mixing 0.02, innovation 0.012). Because community labels are arbitrary and switch between runs, groupness is summarized by co-membership rather than by a single partition: for each assemblage, the fraction of the 500 runs in which it falls in the same emergent community as Parkin. This quantity is label-invariant, needs no alignment across runs, and renders the otherwise hidden contingency of any one solution as a probability surface. Figure 8A shows this for the contemporaneous snapshot, in which every assemblage is drawn from the same final time slice, so it isolates the spatial signal: co-membership with Parkin falls off with river distance, the intuitive gradient. Under the full time-transgressive sampling that gradient disappears, because assemblages drawn at different seriation positions carry different repertoires and fall into different, time-defined communities; membership then reflects space and time jointly, and a site’s nearest neighbors need not share its phase. Either way, no assemblage is a certain member or non-member, so the phase has no stable membership. Figure S7 repeats the experiment across a grid of the three governing parameters to show that the result does not depend on this corner.</w:t>
      </w:r>
    </w:p>
    <w:bookmarkEnd w:id="23"/>
    <w:bookmarkStart w:id="27" w:name="X46f06afe48e87b8ae1167d65cf212c2920f73fa"/>
    <w:p>
      <w:pPr>
        <w:pStyle w:val="Heading2"/>
      </w:pPr>
      <w:r>
        <w:t xml:space="preserve">Robustness of the emergent phase-like structure</w:t>
      </w:r>
    </w:p>
    <w:p>
      <w:pPr>
        <w:pStyle w:val="FirstParagraph"/>
      </w:pPr>
      <w:r>
        <w:t xml:space="preserve">The positive control shows the observed structure falls inside the drift distribution. The constructive demonstration in the main text (Figure 8) goes further, generating phase-like structure from drift on the real geography, and we checked that this generative result is not contingent on a single stochastic draw or a tuned parameter set. We repeated the time-transgressive emergence experiment across 432 runs spanning a grid of interaction length (12, 18, 24, and 36 river-km), between-node mixing (0.01, 0.02, and 0.05), and innovation rate (0.006, 0.012, and 0.024), with twelve seeds per cell (Figure S7). Two or more spatially coherent communities, the phase-like territories a culture historian would name, emerge in every run. The between-group cultural F_ST sits at or below the observed value in 85 percent of runs and within a factor of two of it in 53 percent, short of the bounded-groups expectation throughout. F_ST is essentially flat across interaction length and declines with more mixing or more innovation, the expected behavior of a drift process, and the synthetic record re-seriates across the full grid (mean absolute Spearman correlation 0.44 between recovered and imposed order). The appearance of phase-like structure at the observed magnitude is therefore a generic outcome of distance-structured drift on this geography rather than a product of the chosen parameters.</w:t>
      </w:r>
    </w:p>
    <w:p>
      <w:pPr>
        <w:pStyle w:val="CaptionedFigure"/>
      </w:pPr>
      <w:r>
        <w:drawing>
          <wp:inline>
            <wp:extent cx="5334000" cy="4112375"/>
            <wp:effectExtent b="0" l="0" r="0" t="0"/>
            <wp:docPr descr="Figure S7. Robustness of phase-like emergence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emergent communities per run, with 99 percent yielding two or more, the phase-like groups. (D) Distribution of seriation recovery, the absolute Spearman correlation between the recovered CA1 rank and the imposed time order, across runs (mean 0.45)." title="" id="25" name="Picture"/>
            <a:graphic>
              <a:graphicData uri="http://schemas.openxmlformats.org/drawingml/2006/picture">
                <pic:pic>
                  <pic:nvPicPr>
                    <pic:cNvPr descr="../../figures/figS7_emergence_robustness.png" id="26" name="Picture"/>
                    <pic:cNvPicPr>
                      <a:picLocks noChangeArrowheads="1" noChangeAspect="1"/>
                    </pic:cNvPicPr>
                  </pic:nvPicPr>
                  <pic:blipFill>
                    <a:blip r:embed="rId24"/>
                    <a:stretch>
                      <a:fillRect/>
                    </a:stretch>
                  </pic:blipFill>
                  <pic:spPr bwMode="auto">
                    <a:xfrm>
                      <a:off x="0" y="0"/>
                      <a:ext cx="5334000" cy="4112375"/>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Robustness of phase-like emergence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emergent communities per run, with 99 percent yielding two or more, the phase-like groups. (D) Distribution of seriation recovery, the absolute Spearman correlation between the recovered CA1 rank and the imposed time order, across runs (mean 0.45).</w:t>
      </w:r>
    </w:p>
    <w:bookmarkEnd w:id="27"/>
    <w:bookmarkStart w:id="31"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(1954)</w:t>
      </w:r>
      <w:r>
        <w:t xml:space="preserve">, comprising 50 collections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0.04, near the drift level, once the analysis is restricted to Mississippian types.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types differing in proportion. Restricting the comparison to types present in both regions, which removes the mutually exclusive distinctive types that carry the strongest temporal contrast, reduces the step but does not erase it: the boundary excess falls to +38 Brainerd-Robinson units. It remains above the neutral-drift null, so the boundary is not solely an artifact of distinctive-type turnover, although the shared types themselves retain some temporal structure. The step is real but confounded by time, because the northern distinctive types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type names may have been applied to different criteria. The shared-type restriction (boundary excess falling to +38 Brainerd-Robinson units but not vanishing) limits this artifact without removing it, leaving open the possibility that the interaction was continuous across the entire region and that the apparent boundary is a product of two separate collection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29" name="Picture"/>
            <a:graphic>
              <a:graphicData uri="http://schemas.openxmlformats.org/drawingml/2006/picture">
                <pic:pic>
                  <pic:nvPicPr>
                    <pic:cNvPr descr="../../figures/figS6_macro_transect.png" id="30" name="Picture"/>
                    <pic:cNvPicPr>
                      <a:picLocks noChangeArrowheads="1" noChangeAspect="1"/>
                    </pic:cNvPicPr>
                  </pic:nvPicPr>
                  <pic:blipFill>
                    <a:blip r:embed="rId28"/>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31"/>
    <w:bookmarkStart w:id="35" w:name="X61b4c874ea32e31666b882bda5fae1d71873809"/>
    <w:p>
      <w:pPr>
        <w:pStyle w:val="Heading2"/>
      </w:pPr>
      <w:r>
        <w:t xml:space="preserve">Dynamic-sufficiency tests in the time domain</w:t>
      </w:r>
    </w:p>
    <w:p>
      <w:pPr>
        <w:pStyle w:val="FirstParagraph"/>
      </w:pPr>
      <w:r>
        <w:t xml:space="preserve">The four convergence signatures are read as states along the seriation sequence, so on their own they are only partially dynamically sufficient.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collections, then read off the kind of copying implied by the surviving scenarios,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types in a finite population. Each generation, the adoption weight of a type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types.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simulated a six-bin sequence from each, and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S4A).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and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read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collections’ diversity drifts aimlessly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types, binned along the oriented axis, we fit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and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S4B). The diversity trajectory is the trait of interest here, because the correspondence-analysis ordering does not arrange it by construction. Individual-type trajectories more often favor the directional model. That comparison, however, is weak and partly tautological because the seriation axis is designed to maximize monotonic type-frequency turnover, and only three types are abundant enough across the sequence to fit. The robust reading is neutral drift, not a sustained directional transition.</w:t>
      </w:r>
    </w:p>
    <w:p>
      <w:pPr>
        <w:pStyle w:val="CaptionedFigure"/>
      </w:pPr>
      <w:r>
        <w:drawing>
          <wp:inline>
            <wp:extent cx="5334000" cy="2794140"/>
            <wp:effectExtent b="0" l="0" r="0" t="0"/>
            <wp:docPr descr="Figure S2.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 title="" id="33" name="Picture"/>
            <a:graphic>
              <a:graphicData uri="http://schemas.openxmlformats.org/drawingml/2006/picture">
                <pic:pic>
                  <pic:nvPicPr>
                    <pic:cNvPr descr="../../figures/figS2_dynamic.png" id="34" name="Picture"/>
                    <pic:cNvPicPr>
                      <a:picLocks noChangeArrowheads="1" noChangeAspect="1"/>
                    </pic:cNvPicPr>
                  </pic:nvPicPr>
                  <pic:blipFill>
                    <a:blip r:embed="rId32"/>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5"/>
    <w:bookmarkStart w:id="39"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compilation of central-valley determinations 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and declines across the contact interval: 29 percent of the basin probability mass postdates AD 1541 and 18 percent postdates AD 1600 (Figure S3).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3.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37" name="Picture"/>
            <a:graphic>
              <a:graphicData uri="http://schemas.openxmlformats.org/drawingml/2006/picture">
                <pic:pic>
                  <pic:nvPicPr>
                    <pic:cNvPr descr="../../figures/figS3_chronology.png" id="38" name="Picture"/>
                    <pic:cNvPicPr>
                      <a:picLocks noChangeArrowheads="1" noChangeAspect="1"/>
                    </pic:cNvPicPr>
                  </pic:nvPicPr>
                  <pic:blipFill>
                    <a:blip r:embed="rId36"/>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39"/>
    <w:bookmarkStart w:id="90" w:name="references"/>
    <w:p>
      <w:pPr>
        <w:pStyle w:val="Heading2"/>
      </w:pPr>
      <w:r>
        <w:t xml:space="preserve">References</w:t>
      </w:r>
    </w:p>
    <w:bookmarkStart w:id="89" w:name="refs"/>
    <w:bookmarkStart w:id="41"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40">
        <w:r>
          <w:rPr>
            <w:rStyle w:val="Hyperlink"/>
          </w:rPr>
          <w:t xml:space="preserve">https://doi.org/10.1073/pnas.0903232106</w:t>
        </w:r>
      </w:hyperlink>
      <w:r>
        <w:t xml:space="preserve">.</w:t>
      </w:r>
    </w:p>
    <w:bookmarkEnd w:id="41"/>
    <w:bookmarkStart w:id="43"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42">
        <w:r>
          <w:rPr>
            <w:rStyle w:val="Hyperlink"/>
          </w:rPr>
          <w:t xml:space="preserve">https://doi.org/10.1098/rspb.2004.2746</w:t>
        </w:r>
      </w:hyperlink>
      <w:r>
        <w:t xml:space="preserve">.</w:t>
      </w:r>
    </w:p>
    <w:bookmarkEnd w:id="43"/>
    <w:bookmarkStart w:id="45"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44">
        <w:r>
          <w:rPr>
            <w:rStyle w:val="Hyperlink"/>
          </w:rPr>
          <w:t xml:space="preserve">https://doi.org/10.1057/s41599-019-0295-9</w:t>
        </w:r>
      </w:hyperlink>
      <w:r>
        <w:t xml:space="preserve">.</w:t>
      </w:r>
    </w:p>
    <w:bookmarkEnd w:id="45"/>
    <w:bookmarkStart w:id="46"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46"/>
    <w:bookmarkStart w:id="48"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47">
        <w:r>
          <w:rPr>
            <w:rStyle w:val="Hyperlink"/>
          </w:rPr>
          <w:t xml:space="preserve">https://doi.org/10.1016/j.jas.2014.07.014</w:t>
        </w:r>
      </w:hyperlink>
      <w:r>
        <w:t xml:space="preserve">.</w:t>
      </w:r>
    </w:p>
    <w:bookmarkEnd w:id="48"/>
    <w:bookmarkStart w:id="50"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49">
        <w:r>
          <w:rPr>
            <w:rStyle w:val="Hyperlink"/>
          </w:rPr>
          <w:t xml:space="preserve">https://doi.org/10.1038/srep39122</w:t>
        </w:r>
      </w:hyperlink>
      <w:r>
        <w:t xml:space="preserve">.</w:t>
      </w:r>
    </w:p>
    <w:bookmarkEnd w:id="50"/>
    <w:bookmarkStart w:id="52"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51">
        <w:r>
          <w:rPr>
            <w:rStyle w:val="Hyperlink"/>
          </w:rPr>
          <w:t xml:space="preserve">https://doi.org/10.1371/journal.pone.0041010</w:t>
        </w:r>
      </w:hyperlink>
      <w:r>
        <w:t xml:space="preserve">.</w:t>
      </w:r>
    </w:p>
    <w:bookmarkEnd w:id="52"/>
    <w:bookmarkStart w:id="5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53">
        <w:r>
          <w:rPr>
            <w:rStyle w:val="Hyperlink"/>
          </w:rPr>
          <w:t xml:space="preserve">https://doi.org/10.2307/278341</w:t>
        </w:r>
      </w:hyperlink>
      <w:r>
        <w:t xml:space="preserve">.</w:t>
      </w:r>
    </w:p>
    <w:bookmarkEnd w:id="54"/>
    <w:bookmarkStart w:id="55"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55"/>
    <w:bookmarkStart w:id="57"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56">
        <w:r>
          <w:rPr>
            <w:rStyle w:val="Hyperlink"/>
          </w:rPr>
          <w:t xml:space="preserve">https://doi.org/10.1534/genetics.113.158220</w:t>
        </w:r>
      </w:hyperlink>
      <w:r>
        <w:t xml:space="preserve">.</w:t>
      </w:r>
    </w:p>
    <w:bookmarkEnd w:id="57"/>
    <w:bookmarkStart w:id="58"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58"/>
    <w:bookmarkStart w:id="60"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59">
        <w:r>
          <w:rPr>
            <w:rStyle w:val="Hyperlink"/>
          </w:rPr>
          <w:t xml:space="preserve">https://doi.org/10.1525/aa.2001.103.4.992</w:t>
        </w:r>
      </w:hyperlink>
      <w:r>
        <w:t xml:space="preserve">.</w:t>
      </w:r>
    </w:p>
    <w:bookmarkEnd w:id="60"/>
    <w:bookmarkStart w:id="61"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61"/>
    <w:bookmarkStart w:id="63"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62">
        <w:r>
          <w:rPr>
            <w:rStyle w:val="Hyperlink"/>
          </w:rPr>
          <w:t xml:space="preserve">https://doi.org/10.1666/05070.1</w:t>
        </w:r>
      </w:hyperlink>
      <w:r>
        <w:t xml:space="preserve">.</w:t>
      </w:r>
    </w:p>
    <w:bookmarkEnd w:id="63"/>
    <w:bookmarkStart w:id="65"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64">
        <w:r>
          <w:rPr>
            <w:rStyle w:val="Hyperlink"/>
          </w:rPr>
          <w:t xml:space="preserve">https://doi.org/10.1111/j.1558-5646.2007.00310.x</w:t>
        </w:r>
      </w:hyperlink>
      <w:r>
        <w:t xml:space="preserve">.</w:t>
      </w:r>
    </w:p>
    <w:bookmarkEnd w:id="65"/>
    <w:bookmarkStart w:id="67"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66">
        <w:r>
          <w:rPr>
            <w:rStyle w:val="Hyperlink"/>
          </w:rPr>
          <w:t xml:space="preserve">https://doi.org/10.1371/journal.pone.0250690</w:t>
        </w:r>
      </w:hyperlink>
      <w:r>
        <w:t xml:space="preserve">.</w:t>
      </w:r>
    </w:p>
    <w:bookmarkEnd w:id="67"/>
    <w:bookmarkStart w:id="69"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68">
        <w:r>
          <w:rPr>
            <w:rStyle w:val="Hyperlink"/>
          </w:rPr>
          <w:t xml:space="preserve">https://doi.org/10.1371/journal.pone.0124942</w:t>
        </w:r>
      </w:hyperlink>
      <w:r>
        <w:t xml:space="preserve">.</w:t>
      </w:r>
    </w:p>
    <w:bookmarkEnd w:id="69"/>
    <w:bookmarkStart w:id="71"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70">
        <w:r>
          <w:rPr>
            <w:rStyle w:val="Hyperlink"/>
          </w:rPr>
          <w:t xml:space="preserve">https://doi.org/10.1006/jaar.1997.0314</w:t>
        </w:r>
      </w:hyperlink>
      <w:r>
        <w:t xml:space="preserve">.</w:t>
      </w:r>
    </w:p>
    <w:bookmarkEnd w:id="71"/>
    <w:bookmarkStart w:id="72"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72"/>
    <w:bookmarkStart w:id="73"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73"/>
    <w:bookmarkStart w:id="74"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74"/>
    <w:bookmarkStart w:id="7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75"/>
    <w:bookmarkStart w:id="76"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76"/>
    <w:bookmarkStart w:id="77"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77"/>
    <w:bookmarkStart w:id="7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78">
        <w:r>
          <w:rPr>
            <w:rStyle w:val="Hyperlink"/>
          </w:rPr>
          <w:t xml:space="preserve">https://doi.org/10.1017/RDC.2020.41</w:t>
        </w:r>
      </w:hyperlink>
      <w:r>
        <w:t xml:space="preserve">.</w:t>
      </w:r>
    </w:p>
    <w:bookmarkEnd w:id="79"/>
    <w:bookmarkStart w:id="80"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80"/>
    <w:bookmarkStart w:id="82"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81">
        <w:r>
          <w:rPr>
            <w:rStyle w:val="Hyperlink"/>
          </w:rPr>
          <w:t xml:space="preserve">https://doi.org/10.1038/nature08227</w:t>
        </w:r>
      </w:hyperlink>
      <w:r>
        <w:t xml:space="preserve">.</w:t>
      </w:r>
    </w:p>
    <w:bookmarkEnd w:id="82"/>
    <w:bookmarkStart w:id="84"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83">
        <w:r>
          <w:rPr>
            <w:rStyle w:val="Hyperlink"/>
          </w:rPr>
          <w:t xml:space="preserve">https://doi.org/10.1016/j.jas.2007.01.003</w:t>
        </w:r>
      </w:hyperlink>
      <w:r>
        <w:t xml:space="preserve">.</w:t>
      </w:r>
    </w:p>
    <w:bookmarkEnd w:id="84"/>
    <w:bookmarkStart w:id="86"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85">
        <w:r>
          <w:rPr>
            <w:rStyle w:val="Hyperlink"/>
          </w:rPr>
          <w:t xml:space="preserve">https://doi.org/10.1016/j.jas.2009.03.029</w:t>
        </w:r>
      </w:hyperlink>
      <w:r>
        <w:t xml:space="preserve">.</w:t>
      </w:r>
    </w:p>
    <w:bookmarkEnd w:id="86"/>
    <w:bookmarkStart w:id="87"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87"/>
    <w:bookmarkStart w:id="88" w:name="ref-williams_1954"/>
    <w:p>
      <w:pPr>
        <w:pStyle w:val="Bibliography"/>
      </w:pPr>
      <w:r>
        <w:t xml:space="preserve">Williams, Stephen. 1954. An Archeological Study of the Mississippian Culture in Southeast Missouri. PhD thesis, Yale University, New Haven.</w:t>
      </w:r>
    </w:p>
    <w:bookmarkEnd w:id="88"/>
    <w:bookmarkEnd w:id="89"/>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hyperlink" Id="rId70" Target="https://doi.org/10.1006/jaar.1997.0314" TargetMode="External" /><Relationship Type="http://schemas.openxmlformats.org/officeDocument/2006/relationships/hyperlink" Id="rId83" Target="https://doi.org/10.1016/j.jas.2007.01.003" TargetMode="External" /><Relationship Type="http://schemas.openxmlformats.org/officeDocument/2006/relationships/hyperlink" Id="rId85" Target="https://doi.org/10.1016/j.jas.2009.03.029" TargetMode="External" /><Relationship Type="http://schemas.openxmlformats.org/officeDocument/2006/relationships/hyperlink" Id="rId47" Target="https://doi.org/10.1016/j.jas.2014.07.014" TargetMode="External" /><Relationship Type="http://schemas.openxmlformats.org/officeDocument/2006/relationships/hyperlink" Id="rId78" Target="https://doi.org/10.1017/RDC.2020.41" TargetMode="External" /><Relationship Type="http://schemas.openxmlformats.org/officeDocument/2006/relationships/hyperlink" Id="rId81" Target="https://doi.org/10.1038/nature08227" TargetMode="External" /><Relationship Type="http://schemas.openxmlformats.org/officeDocument/2006/relationships/hyperlink" Id="rId49" Target="https://doi.org/10.1038/srep39122" TargetMode="External" /><Relationship Type="http://schemas.openxmlformats.org/officeDocument/2006/relationships/hyperlink" Id="rId44" Target="https://doi.org/10.1057/s41599-019-0295-9" TargetMode="External" /><Relationship Type="http://schemas.openxmlformats.org/officeDocument/2006/relationships/hyperlink" Id="rId40" Target="https://doi.org/10.1073/pnas.0903232106" TargetMode="External" /><Relationship Type="http://schemas.openxmlformats.org/officeDocument/2006/relationships/hyperlink" Id="rId42" Target="https://doi.org/10.1098/rspb.2004.2746" TargetMode="External" /><Relationship Type="http://schemas.openxmlformats.org/officeDocument/2006/relationships/hyperlink" Id="rId64" Target="https://doi.org/10.1111/j.1558-5646.2007.00310.x" TargetMode="External" /><Relationship Type="http://schemas.openxmlformats.org/officeDocument/2006/relationships/hyperlink" Id="rId51" Target="https://doi.org/10.1371/journal.pone.0041010" TargetMode="External" /><Relationship Type="http://schemas.openxmlformats.org/officeDocument/2006/relationships/hyperlink" Id="rId68" Target="https://doi.org/10.1371/journal.pone.0124942" TargetMode="External" /><Relationship Type="http://schemas.openxmlformats.org/officeDocument/2006/relationships/hyperlink" Id="rId66" Target="https://doi.org/10.1371/journal.pone.0250690" TargetMode="External" /><Relationship Type="http://schemas.openxmlformats.org/officeDocument/2006/relationships/hyperlink" Id="rId59" Target="https://doi.org/10.1525/aa.2001.103.4.992" TargetMode="External" /><Relationship Type="http://schemas.openxmlformats.org/officeDocument/2006/relationships/hyperlink" Id="rId56" Target="https://doi.org/10.1534/genetics.113.158220" TargetMode="External" /><Relationship Type="http://schemas.openxmlformats.org/officeDocument/2006/relationships/hyperlink" Id="rId62" Target="https://doi.org/10.1666/05070.1" TargetMode="External" /><Relationship Type="http://schemas.openxmlformats.org/officeDocument/2006/relationships/hyperlink" Id="rId53"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06/jaar.1997.0314" TargetMode="External" /><Relationship Type="http://schemas.openxmlformats.org/officeDocument/2006/relationships/hyperlink" Id="rId83" Target="https://doi.org/10.1016/j.jas.2007.01.003" TargetMode="External" /><Relationship Type="http://schemas.openxmlformats.org/officeDocument/2006/relationships/hyperlink" Id="rId85" Target="https://doi.org/10.1016/j.jas.2009.03.029" TargetMode="External" /><Relationship Type="http://schemas.openxmlformats.org/officeDocument/2006/relationships/hyperlink" Id="rId47" Target="https://doi.org/10.1016/j.jas.2014.07.014" TargetMode="External" /><Relationship Type="http://schemas.openxmlformats.org/officeDocument/2006/relationships/hyperlink" Id="rId78" Target="https://doi.org/10.1017/RDC.2020.41" TargetMode="External" /><Relationship Type="http://schemas.openxmlformats.org/officeDocument/2006/relationships/hyperlink" Id="rId81" Target="https://doi.org/10.1038/nature08227" TargetMode="External" /><Relationship Type="http://schemas.openxmlformats.org/officeDocument/2006/relationships/hyperlink" Id="rId49" Target="https://doi.org/10.1038/srep39122" TargetMode="External" /><Relationship Type="http://schemas.openxmlformats.org/officeDocument/2006/relationships/hyperlink" Id="rId44" Target="https://doi.org/10.1057/s41599-019-0295-9" TargetMode="External" /><Relationship Type="http://schemas.openxmlformats.org/officeDocument/2006/relationships/hyperlink" Id="rId40" Target="https://doi.org/10.1073/pnas.0903232106" TargetMode="External" /><Relationship Type="http://schemas.openxmlformats.org/officeDocument/2006/relationships/hyperlink" Id="rId42" Target="https://doi.org/10.1098/rspb.2004.2746" TargetMode="External" /><Relationship Type="http://schemas.openxmlformats.org/officeDocument/2006/relationships/hyperlink" Id="rId64" Target="https://doi.org/10.1111/j.1558-5646.2007.00310.x" TargetMode="External" /><Relationship Type="http://schemas.openxmlformats.org/officeDocument/2006/relationships/hyperlink" Id="rId51" Target="https://doi.org/10.1371/journal.pone.0041010" TargetMode="External" /><Relationship Type="http://schemas.openxmlformats.org/officeDocument/2006/relationships/hyperlink" Id="rId68" Target="https://doi.org/10.1371/journal.pone.0124942" TargetMode="External" /><Relationship Type="http://schemas.openxmlformats.org/officeDocument/2006/relationships/hyperlink" Id="rId66" Target="https://doi.org/10.1371/journal.pone.0250690" TargetMode="External" /><Relationship Type="http://schemas.openxmlformats.org/officeDocument/2006/relationships/hyperlink" Id="rId59" Target="https://doi.org/10.1525/aa.2001.103.4.992" TargetMode="External" /><Relationship Type="http://schemas.openxmlformats.org/officeDocument/2006/relationships/hyperlink" Id="rId56" Target="https://doi.org/10.1534/genetics.113.158220" TargetMode="External" /><Relationship Type="http://schemas.openxmlformats.org/officeDocument/2006/relationships/hyperlink" Id="rId62" Target="https://doi.org/10.1666/05070.1" TargetMode="External" /><Relationship Type="http://schemas.openxmlformats.org/officeDocument/2006/relationships/hyperlink" Id="rId53"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2026-06-15T16:11:48Z</dcterms:created>
  <dcterms:modified xsi:type="dcterms:W3CDTF">2026-06-15T16:11:48Z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