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50.png" ContentType="image/png"/>
  <Override PartName="/word/media/rId111.png" ContentType="image/png"/>
  <Override PartName="/word/media/rId117.png" ContentType="image/png"/>
  <Override PartName="/word/media/rId143.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Traditionally, archaeologists group assemblages into phases and assign them community or polity status. Earlier studies have shown that the phases of the Lower Mississippi River Valley do not separate cleanly, but they have not explained what produces their apparent organization. We explain phases using cultural transmission theory in which potters copy near neighbors more than distant ones. Neutral drift makes nearby assemblages alike whether or not groups exist. Settlement is clumped, and a smooth gradient sampled at clumps and sorted by resemblance and proximity looks like a set of groups. We present a method for determining whether a phase marks a restriction on the copying of decorated pottery. In such cases, the frequencies of artifact classes show what distance-limited copying does not produce: learning concentrated inside and divergence across its edge. We test this on the decorated-type frequencies of the Late Mississippian St. Francis basin in northeastern Arkansas, including the Parkin phase, long read as a polity. The site map alone recovers the phases; alternative spatial divisions of the same sites capture as much or more of the ceramic differentiation, and sherd frequencies simulated with no groups sort into the phases as readily as the real assemblages. The Parkin phase differs from the rest of the basin no more than arbitrary divisions of the map. The frequencies of assemblage types vary over shorter distances than a copying model predicts, but that variation does not follow phase borders. Phases therefore do not uniquely capture the basin’s ceramic differentiation, and spatially structured copying plausibly accounts for their apparent organization. The results do not exclude a Parkin polity, since political boundaries need not coincide with ceramic traditions.</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Tradicionalmente, los arqueólogos agrupan los conjuntos cerámicos en fases y les atribuyen las cualidades de comunidades o entidades políticas. Estudios anteriores han mostrado que las fases del valle bajo del río Misisipi no se separan con nitidez, pero no han explicado qué produce su aparente organización. Explicamos las fases con la teoría de la transmisión cultural, según la cual los alfareros copian a sus vecinos cercanos más que a los lejanos. La deriva neutral hace que los conjuntos cercanos se parezcan, ya existan o no grupos. Los asentamientos están agrupados, y un gradiente continuo, muestreado en esos agrupamientos y ordenado por semejanza y proximidad, parece un conjunto de grupos. Presentamos un método para determinar si una fase constituye una restricción para la copia de la cerámica decorada. En tal caso, las frecuencias de las clases de artefactos muestran lo que la copia limitada por la distancia no produce: aprendizaje concentrado en su interior y divergencia a través de su límite. Lo ponemos a prueba con las frecuencias de los tipos decorados del Misisipiano tardío en la cuenca del río St. Francis, en el noreste de Arkansas, incluida la fase Parkin, interpretada durante mucho tiempo como una entidad política. El mapa de sitios, por sí solo, recupera las fases; otras divisiones espaciales de los mismos sitios captan tanta o más diferenciación cerámica, y las frecuencias simuladas sin grupos se clasifican en las fases con la misma facilidad que los conjuntos reales. La fase Parkin no difiere del resto de la cuenca más que por divisiones arbitrarias del mapa. Las frecuencias de los tipos varían a distancias más cortas de las predichas por un modelo de copia, pero esa variación no sigue los límites de las fases. Por lo tanto, las fases heredadas no captan de manera exclusiva la diferenciación cerámica de la cuenca, y la copia estructurada en el espacio constituye una explicación plausible de su aparente organización. Los resultados no excluyen la existencia de una entidad política en Parkin, ya que los límites políticos no tienen por qué coincidir con las tradiciones cerámicas.</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have divided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Reconstructions of the Hernando de Soto expedition’s route identify it as Casqui, the seat of a paramount chief the expedition met in 1541</w:t>
      </w:r>
      <w:r>
        <w:t xml:space="preserve"> </w:t>
      </w:r>
      <w:r>
        <w:t xml:space="preserve">(Hudson et al. 1990; Mitchem et al. 2017; Phyllis A. Morse 1990:125–129)</w:t>
      </w:r>
      <w:r>
        <w:t xml:space="preserve">. Because of its size, fortification, platform mound, and ethnohistoric identification, Parkin is routinely read as the center of a Mississippian polity, following the long-standing expectation that a ranked society leaves a hierarchy of settlement types and sizes with its center at the top</w:t>
      </w:r>
      <w:r>
        <w:t xml:space="preserve"> </w:t>
      </w:r>
      <w:r>
        <w:t xml:space="preserve">(Peebles and Kus 1977:431)</w:t>
      </w:r>
      <w:r>
        <w:t xml:space="preserve">. That reading makes a specific claim: the Parkin phase was a bounded, hierarchically organized society with Parkin at its head.</w:t>
      </w:r>
    </w:p>
    <w:p>
      <w:pPr>
        <w:pStyle w:val="CaptionedFigure"/>
      </w:pPr>
      <w:r>
        <w:drawing>
          <wp:inline>
            <wp:extent cx="4114800" cy="8037789"/>
            <wp:effectExtent b="0" l="0" r="0" t="0"/>
            <wp:docPr descr="Figure 1. Decorated-ceramic assemblages of the lower Mississippi Valley and the culture-historical phase scheme this paper tests. Each territory is built by assigning every point on the map to its nearest assemblage and then merging those areas according to the phase Mainfort (1996) assigns to each assemblage; assemblages without a phase assignment are not drawn. Territories are drawn over the HydroRIVERS river network (Lehner and Grill 2013), with line width scaled by flow order. Markers show each assemblage that comprises it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Each territory is built by assigning every point on the map to its nearest assemblage and then merging those areas according to the phase Mainfort</w:t>
      </w:r>
      <w:r>
        <w:t xml:space="preserve"> </w:t>
      </w:r>
      <w:r>
        <w:t xml:space="preserve">(1996)</w:t>
      </w:r>
      <w:r>
        <w:t xml:space="preserve"> </w:t>
      </w:r>
      <w:r>
        <w:t xml:space="preserve">assigns to each assemblage; assemblages without a phase assignment are not drawn. Territories are drawn over the HydroRIVERS river network</w:t>
      </w:r>
      <w:r>
        <w:t xml:space="preserve"> </w:t>
      </w:r>
      <w:r>
        <w:t xml:space="preserve">(Lehner and Grill 2013)</w:t>
      </w:r>
      <w:r>
        <w:t xml:space="preserve">, with line width scaled by flow order. Markers show each assemblage that comprises its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A phase is a culture-history construct in which a set of assemblages are grouped together because their decorated-class frequencies seriate, meaning they can be placed in one sequence of gradually changing frequencies, and because the sites lie near one another. In the Willey-Phillips framework, the phase is</w:t>
      </w:r>
      <w:r>
        <w:t xml:space="preserve"> </w:t>
      </w:r>
      <w:r>
        <w:t xml:space="preserve">“the practicable and intelligible unit”</w:t>
      </w:r>
      <w:r>
        <w:t xml:space="preserve"> </w:t>
      </w:r>
      <w:r>
        <w:t xml:space="preserve">of archaeological study, defined by traits in space and time with no social criterion</w:t>
      </w:r>
      <w:r>
        <w:t xml:space="preserve"> </w:t>
      </w:r>
      <w:r>
        <w:t xml:space="preserve">(Phillips and Willey 1953; Willey and Phillips 1958:22)</w:t>
      </w:r>
      <w:r>
        <w:t xml:space="preserve">. Phillips formulated the lower-valley phases tested here within that framework</w:t>
      </w:r>
      <w:r>
        <w:t xml:space="preserve"> </w:t>
      </w:r>
      <w:r>
        <w:t xml:space="preserve">(1970)</w:t>
      </w:r>
      <w:r>
        <w:t xml:space="preserve">. In practice, however, researchers have treated phases as societies, and the survey phases of the lower valley were built as units</w:t>
      </w:r>
      <w:r>
        <w:t xml:space="preserve"> </w:t>
      </w:r>
      <w:r>
        <w:t xml:space="preserve">“which were also spatial and intended to elucidate sociopolitical boundaries”</w:t>
      </w:r>
      <w:r>
        <w:t xml:space="preserve"> </w:t>
      </w:r>
      <w:r>
        <w:t xml:space="preserve">(Haley 2014)</w:t>
      </w:r>
      <w:r>
        <w:t xml:space="preserve">. Willey and Phillips</w:t>
      </w:r>
      <w:r>
        <w:t xml:space="preserve"> </w:t>
      </w:r>
      <w:r>
        <w:t xml:space="preserve">(1958:48–50)</w:t>
      </w:r>
      <w:r>
        <w:t xml:space="preserve"> </w:t>
      </w:r>
      <w:r>
        <w:t xml:space="preserve">set out the reasoning that equates phase with society, conceded that</w:t>
      </w:r>
      <w:r>
        <w:t xml:space="preserve"> </w:t>
      </w:r>
      <w:r>
        <w:t xml:space="preserve">“in practice it does not work,”</w:t>
      </w:r>
      <w:r>
        <w:t xml:space="preserve"> </w:t>
      </w:r>
      <w:r>
        <w:t xml:space="preserve">and then proposed that archaeologists</w:t>
      </w:r>
      <w:r>
        <w:t xml:space="preserve"> </w:t>
      </w:r>
      <w:r>
        <w:t xml:space="preserve">“may act as if”</w:t>
      </w:r>
      <w:r>
        <w:t xml:space="preserve"> </w:t>
      </w:r>
      <w:r>
        <w:t xml:space="preserve">phases had social reality. Williams, defining the southeast-Missouri phases, wrote that</w:t>
      </w:r>
      <w:r>
        <w:t xml:space="preserve"> </w:t>
      </w:r>
      <w:r>
        <w:t xml:space="preserve">“in most cases, phase probably equals</w:t>
      </w:r>
      <w:r>
        <w:t xml:space="preserve"> </w:t>
      </w:r>
      <w:r>
        <w:t xml:space="preserve">‘society’</w:t>
      </w:r>
      <w:r>
        <w:t xml:space="preserve">”</w:t>
      </w:r>
      <w:r>
        <w:t xml:space="preserve"> </w:t>
      </w:r>
      <w:r>
        <w:t xml:space="preserve">(Williams 1954:25; quoted in Fox 1998:33)</w:t>
      </w:r>
      <w:r>
        <w:t xml:space="preserve">.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(Fox 1998)</w:t>
      </w:r>
      <w:r>
        <w:t xml:space="preserve">.</w:t>
      </w:r>
    </w:p>
    <w:p>
      <w:pPr>
        <w:pStyle w:val="BodyText"/>
      </w:pPr>
      <w:r>
        <w:t xml:space="preserve">This point has been raised before. Fox</w:t>
      </w:r>
      <w:r>
        <w:t xml:space="preserve"> </w:t>
      </w:r>
      <w:r>
        <w:t xml:space="preserve">(1998)</w:t>
      </w:r>
      <w:r>
        <w:t xml:space="preserve"> </w:t>
      </w:r>
      <w:r>
        <w:t xml:space="preserve">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put the same question to the assemblages of the Lower Mississippi Valley, ordinating ten decorated types from 39 sites and finding</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them explains what the phases are, or why they looked real to the people who drew them. Ordination methods alone cannot explain these units because loosely clustered assemblages could arise from both bounded groups and unbounded copying across distance.</w:t>
      </w:r>
    </w:p>
    <w:p>
      <w:pPr>
        <w:pStyle w:val="BodyText"/>
      </w:pPr>
      <w:r>
        <w:t xml:space="preserve">This paper offers and tests that explanation. We ask two questions. First, what explains the phases? We argue that they can follow from how people learn. Potters copy near neighbors more than distant ones, settlements clump, and a smooth gradient in style sampled at those clumps looks like groups. Second, does the Parkin phase, the one most often treated as a polity, show anything in its decorated-type frequencies that sets it apart? Both questions turn on the same test. Copying across space produces spatial structure in stylistic frequencies whatever else is happening, so a phase marks a restriction on the copying of decorated pottery only if its class frequencies show properties that spatially structured drift does not produce. This test is narrower than the question of whether a society or polity existed. Political affiliation need not coincide with a ceramic tradition, so what the pottery can show is whether learning was bounded where the phase lines fall, not whether people were politically organized.</w:t>
      </w:r>
    </w:p>
    <w:p>
      <w:pPr>
        <w:pStyle w:val="BodyText"/>
      </w:pPr>
      <w:r>
        <w:t xml:space="preserve">We proceed in two steps, and the order matters. Our primary test concerns the inherited scheme, the phases as Phillips</w:t>
      </w:r>
      <w:r>
        <w:t xml:space="preserve"> </w:t>
      </w:r>
      <w:r>
        <w:t xml:space="preserve">(1970)</w:t>
      </w:r>
      <w:r>
        <w:t xml:space="preserve"> </w:t>
      </w:r>
      <w:r>
        <w:t xml:space="preserve">formulated them and Mainfort</w:t>
      </w:r>
      <w:r>
        <w:t xml:space="preserve"> </w:t>
      </w:r>
      <w:r>
        <w:t xml:space="preserve">(1996)</w:t>
      </w:r>
      <w:r>
        <w:t xml:space="preserve"> </w:t>
      </w:r>
      <w:r>
        <w:t xml:space="preserve">mapped them, because that scheme is the one that has been read as a set of societies and because it was drawn by inspection and proximity. We then turn to the phases that Mainfort</w:t>
      </w:r>
      <w:r>
        <w:t xml:space="preserve"> </w:t>
      </w:r>
      <w:r>
        <w:t xml:space="preserve">(2003)</w:t>
      </w:r>
      <w:r>
        <w:t xml:space="preserve"> </w:t>
      </w:r>
      <w:r>
        <w:t xml:space="preserve">redrew after ordinating the decorated types of largely the same collections. That scheme cannot carry the primary test, since lines drawn from the pottery will separate the pottery whether or not they mark bounded groups. It serves instead as a contrast: it shows what the same tests return when phase lines follow the assemblages rather than the map.</w:t>
      </w:r>
    </w:p>
    <w:p>
      <w:pPr>
        <w:pStyle w:val="BodyText"/>
      </w:pPr>
      <w:r>
        <w:t xml:space="preserve">The late pre-contact St. Francis basin provides the data for our test. Its decorated assemblages are built from the well-documented decorated classes of the long-established Phillips-Ford-Griffin types</w:t>
      </w:r>
      <w:r>
        <w:t xml:space="preserve"> </w:t>
      </w:r>
      <w:r>
        <w:t xml:space="preserve">(Phillips et al. 1951)</w:t>
      </w:r>
      <w:r>
        <w:t xml:space="preserve">. European contact and the demographic collapse that followed ended the sequence before any later reorganization could overwrite it</w:t>
      </w:r>
      <w:r>
        <w:t xml:space="preserve"> </w:t>
      </w:r>
      <w:r>
        <w:t xml:space="preserve">(Lipo 2001; Morse and Morse 1996)</w:t>
      </w:r>
      <w:r>
        <w:t xml:space="preserve">. Like much of the archaeological record, these assemblages are time-averaged surface collections, built up over many years of use and discard. We treat them as the accumulated product of copying across a population, to be measured and explained as they are, rather than as degraded snapshots of a single moment</w:t>
      </w:r>
      <w:r>
        <w:t xml:space="preserve"> </w:t>
      </w:r>
      <w:r>
        <w:t xml:space="preserve">(Dunnell 1995; Holdaway and Wandsnider 2008; Lipo et al. 2015; Neiman 1995; Perreault 2019; Schiffer 1972)</w:t>
      </w:r>
      <w:r>
        <w:t xml:space="preserve">. Their coarse resolution limits the questions they can answer, but it does not disqualify them.</w:t>
      </w:r>
    </w:p>
    <w:bookmarkEnd w:id="114"/>
    <w:bookmarkStart w:id="115" w:name="why-phases-look-like-groups"/>
    <w:p>
      <w:pPr>
        <w:pStyle w:val="Heading2"/>
      </w:pPr>
      <w:r>
        <w:t xml:space="preserve">Why phases look like groups</w:t>
      </w:r>
    </w:p>
    <w:p>
      <w:pPr>
        <w:pStyle w:val="FirstParagraph"/>
      </w:pPr>
      <w:r>
        <w:t xml:space="preserve">The explanation rests on the theory of cultural transmission, and it is simple. Potters learned how to decorate pots from others, and the decorations they made reflect who they learned from. Under the neutral model of cultural transmission, decorative variants that make no difference to how a pot performs change in frequency through innovation and chance copying in a finite population of learners, much as selectively neutral alleles do</w:t>
      </w:r>
      <w:r>
        <w:t xml:space="preserve"> </w:t>
      </w:r>
      <w:r>
        <w:t xml:space="preserve">(Bentley et al. 2004; Dunnell 1978; Eerkens and Lipo 2005, 2007; Fogarty et al. 2024; Neiman 1995)</w:t>
      </w:r>
      <w:r>
        <w:t xml:space="preserve">. Four expectations follow, three about what copying does on its own and one about what a group would add.</w:t>
      </w:r>
    </w:p>
    <w:p>
      <w:pPr>
        <w:pStyle w:val="BodyText"/>
      </w:pPr>
      <w:r>
        <w:rPr>
          <w:i/>
          <w:iCs/>
        </w:rPr>
        <w:t xml:space="preserve">Copying falls off with distance.</w:t>
      </w:r>
      <w:r>
        <w:t xml:space="preserve"> </w:t>
      </w:r>
      <w:r>
        <w:t xml:space="preserve">People learn from those they live near and see often, so a potter is more likely to copy a neighbor than someone further away. Under neutral drift, that alone makes nearby assemblages more alike than distant ones, and similarity fades smoothly with distance. Population geneticists call this isolation by distance</w:t>
      </w:r>
      <w:r>
        <w:t xml:space="preserve"> </w:t>
      </w:r>
      <w:r>
        <w:t xml:space="preserve">(Wright 1943)</w:t>
      </w:r>
      <w:r>
        <w:t xml:space="preserve">, and it has long been expected of stylistic frequencies</w:t>
      </w:r>
      <w:r>
        <w:t xml:space="preserve"> </w:t>
      </w:r>
      <w:r>
        <w:t xml:space="preserve">(Neiman 1995; Shennan et al. 2015)</w:t>
      </w:r>
      <w:r>
        <w:t xml:space="preserve">. It requires no groups. This effect is what copying produces across any landscape with local interaction. It produces between-place differences on its own, because small or poorly connected places drift toward distinctive and idiosyncratic repertoires</w:t>
      </w:r>
      <w:r>
        <w:t xml:space="preserve"> </w:t>
      </w:r>
      <w:r>
        <w:t xml:space="preserve">(Lipo et al. 2021)</w:t>
      </w:r>
      <w:r>
        <w:t xml:space="preserve">.</w:t>
      </w:r>
    </w:p>
    <w:p>
      <w:pPr>
        <w:pStyle w:val="BodyText"/>
      </w:pPr>
      <w:r>
        <w:rPr>
          <w:i/>
          <w:iCs/>
        </w:rPr>
        <w:t xml:space="preserve">Settlement is clumped.</w:t>
      </w:r>
      <w:r>
        <w:t xml:space="preserve"> </w:t>
      </w:r>
      <w:r>
        <w:t xml:space="preserve">People did not live evenly across the basin. Sites concentrate on particular reaches of the basin’s rivers, with less-occupied stretches between them. The smooth gradient in style is therefore sampled unevenly, densely in some places and sparsely or not at all in others.</w:t>
      </w:r>
    </w:p>
    <w:p>
      <w:pPr>
        <w:pStyle w:val="BodyText"/>
      </w:pPr>
      <w:r>
        <w:rPr>
          <w:i/>
          <w:iCs/>
        </w:rPr>
        <w:t xml:space="preserve">A gradient sampled at clumps looks like groups.</w:t>
      </w:r>
      <w:r>
        <w:t xml:space="preserve"> </w:t>
      </w:r>
      <w:r>
        <w:t xml:space="preserve">Seriation and ordination sort assemblages by resemblance, and the culture historians who drew the phases also sorted them by proximity. On a smooth gradient sampled at clumps, both criteria gather the assemblages of each clump together and draw the lines between clumps. The result looks like a set of distinct groups with boundaries, although nothing in the process that made the type frequencies has a boundary</w:t>
      </w:r>
      <w:r>
        <w:t xml:space="preserve"> </w:t>
      </w:r>
      <w:r>
        <w:t xml:space="preserve">(Lipo et al. 1997, 2021)</w:t>
      </w:r>
      <w:r>
        <w:t xml:space="preserve">. This is the difference between typological and population thinking</w:t>
      </w:r>
      <w:r>
        <w:t xml:space="preserve"> </w:t>
      </w:r>
      <w:r>
        <w:t xml:space="preserve">(Dunnell 1980; Mayr 1959)</w:t>
      </w:r>
      <w:r>
        <w:t xml:space="preserve">. Read typologically, a cluster of similar assemblages is a unit with members and an edge. Read as a population, it is a place where a continuous field of copying happened to be sampled.</w:t>
      </w:r>
    </w:p>
    <w:p>
      <w:pPr>
        <w:pStyle w:val="BodyText"/>
      </w:pPr>
      <w:r>
        <w:rPr>
          <w:i/>
          <w:iCs/>
        </w:rPr>
        <w:t xml:space="preserve">A bounded interaction group requires more.</w:t>
      </w:r>
      <w:r>
        <w:t xml:space="preserve"> </w:t>
      </w:r>
      <w:r>
        <w:t xml:space="preserve">A group that concentrates learning inside itself and restricts it across its edge leaves properties in stylistic frequencies that spatially structured drift does not produce. These are conceptually detectable as differences between groups larger than what copying across the same map generates. This difference will appear as a step in similarity at the group’s edge, beyond what distance predicts. Boundaries also appear where assemblage styles change fastest, so type frequencies rather than the map reveal them</w:t>
      </w:r>
      <w:r>
        <w:t xml:space="preserve"> </w:t>
      </w:r>
      <w:r>
        <w:t xml:space="preserve">(Crema et al. 2016; Henrich 2001; Henrich and Boyd 1998)</w:t>
      </w:r>
      <w:r>
        <w:t xml:space="preserve">. Divergence that grows as interaction narrows would be a further sign, but this record’s chronology is not suited for testing this possibility (Supplemental Text). Each of these possibilities has to be judged against copying with no groups on the real geography, not against zero, and against other lines drawn across the same map, because any line cut through a gradient separates some difference.</w:t>
      </w:r>
    </w:p>
    <w:p>
      <w:pPr>
        <w:pStyle w:val="BodyText"/>
      </w:pPr>
      <w:r>
        <w:t xml:space="preserve">These expectations give the Parkin phase a clear test. If the Parkin phase was a polity whose members learned from, married into, and exchanged with one another more than with outsiders, its assemblage composition should stand apart from the rest of the basin by more than copying across distance produces. Assemblages should be more distinctive than what an arbitrary line drawn across the same sites separates. Empirically, there should be a step in similarity at its edge that other lines do not show. Alternative models of late pre-contact valley populations do not require these attributes. The alternative finding is that the polities in this part of the valley never achieved regional integration</w:t>
      </w:r>
      <w:r>
        <w:t xml:space="preserve"> </w:t>
      </w:r>
      <w:r>
        <w:t xml:space="preserve">(Rees 2001)</w:t>
      </w:r>
      <w:r>
        <w:t xml:space="preserve">, consistent with models in which Mississippian polities were weakly consolidated, cycling, and short-lived</w:t>
      </w:r>
      <w:r>
        <w:t xml:space="preserve"> </w:t>
      </w:r>
      <w:r>
        <w:t xml:space="preserve">(Anderson 1996; Beck 2003; Blitz 1999; King and Freer 1995)</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Settlement form cannot decide between these readings, because a large center with a palisade and a platform mound is as compatible with competing peer communities as with a consolidated hierarchy</w:t>
      </w:r>
      <w:r>
        <w:t xml:space="preserve"> </w:t>
      </w:r>
      <w:r>
        <w:t xml:space="preserve">(King and Freer 1995; Rees 2001)</w:t>
      </w:r>
      <w:r>
        <w:t xml:space="preserve">.</w:t>
      </w:r>
    </w:p>
    <w:bookmarkEnd w:id="115"/>
    <w:bookmarkStart w:id="125" w:name="materials-and-methods"/>
    <w:p>
      <w:pPr>
        <w:pStyle w:val="Heading2"/>
      </w:pPr>
      <w:r>
        <w:t xml:space="preserve">Materials and methods</w:t>
      </w:r>
    </w:p>
    <w:bookmarkStart w:id="116" w:name="data"/>
    <w:p>
      <w:pPr>
        <w:pStyle w:val="Heading3"/>
      </w:pPr>
      <w:r>
        <w:t xml:space="preserve">Data</w:t>
      </w:r>
    </w:p>
    <w:p>
      <w:pPr>
        <w:pStyle w:val="FirstParagraph"/>
      </w:pPr>
      <w:r>
        <w:t xml:space="preserve">In this study, we test the phase assignments Mainfort</w:t>
      </w:r>
      <w:r>
        <w:t xml:space="preserve"> </w:t>
      </w:r>
      <w:r>
        <w:t xml:space="preserve">(1996)</w:t>
      </w:r>
      <w:r>
        <w:t xml:space="preserve"> </w:t>
      </w:r>
      <w:r>
        <w:t xml:space="preserve">presents, which largely follow Phillips</w:t>
      </w:r>
      <w:r>
        <w:t xml:space="preserve"> </w:t>
      </w:r>
      <w:r>
        <w:t xml:space="preserve">(1970)</w:t>
      </w:r>
      <w:r>
        <w:t xml:space="preserve">. 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because the neutral model applies to stylistic variation, variants whose frequencies change through copying and chance rather than through how a pot performs</w:t>
      </w:r>
      <w:r>
        <w:t xml:space="preserve"> </w:t>
      </w:r>
      <w:r>
        <w:t xml:space="preserve">(Dunnell 1978; Neiman 1995)</w:t>
      </w:r>
      <w:r>
        <w:t xml:space="preserve">. Plain wares track vessel function, paste, and site activities, none of which a copying model represents. Combining the frequency of plain and decorated classes also mixes factors driving relative investment in decorated ceramics, which social learning and copying do not simply drive. Mississippi Plain and Bell Plain make up 87 percent of the typed sherds in the one published table for the region that reports them</w:t>
      </w:r>
      <w:r>
        <w:t xml:space="preserve"> </w:t>
      </w:r>
      <w:r>
        <w:t xml:space="preserve">(Mainfort 2003)</w:t>
      </w:r>
      <w:r>
        <w:t xml:space="preserve">. Ten decorated classes remain, one pooling Barton Incised, Kent Incised, and Mound Place Incised, and one pooling the painted types Old Town Red, Nodena Red and White, and Avenue Polychrome. Each class is a culture-history type, a unit of measurement built by analysts, not a category assumed to have existed in the past.</w:t>
      </w:r>
    </w:p>
    <w:p>
      <w:pPr>
        <w:pStyle w:val="BodyText"/>
      </w:pPr>
      <w:r>
        <w:t xml:space="preserve">Of the 38 assemblages used in this study, 20 come from Lipo’s compilation, which adds controlled surface collections and limited excavation in 1996 and 1997 at seven sites</w:t>
      </w:r>
      <w:r>
        <w:t xml:space="preserve"> </w:t>
      </w:r>
      <w:r>
        <w:t xml:space="preserve">(Lipo 2001)</w:t>
      </w:r>
      <w:r>
        <w:t xml:space="preserve">, and 18 consist of the original survey counts from Phillips, Ford, and Griffin</w:t>
      </w:r>
      <w:r>
        <w:t xml:space="preserve"> </w:t>
      </w:r>
      <w:r>
        <w:t xml:space="preserve">(1951)</w:t>
      </w:r>
      <w:r>
        <w:t xml:space="preserve">. Mainfort</w:t>
      </w:r>
      <w:r>
        <w:t xml:space="preserve"> </w:t>
      </w:r>
      <w:r>
        <w:t xml:space="preserve">(2003)</w:t>
      </w:r>
      <w:r>
        <w:t xml:space="preserve"> </w:t>
      </w:r>
      <w:r>
        <w:t xml:space="preserve">compiled a separate table of 39 sites, each with at least 800 sherds, drawn largely from the same survey files with additional sources</w:t>
      </w:r>
      <w:r>
        <w:t xml:space="preserve"> </w:t>
      </w:r>
      <w:r>
        <w:t xml:space="preserve">(Mainfort 2003:182)</w:t>
      </w:r>
      <w:r>
        <w:t xml:space="preserve">. Because his counts are not entirely independent of ours, we do not combine them. Nor do we make his table the primary dataset. His phases were drawn from an ordination of these types, as noted above, and his table is not a larger sample once it is restricted to decorated classes: at a minimum of 100 decorated sherds, it holds 29 sites and 13,296 sherds in five phases, two of which have only four and three sites, against the 28 assemblages and 14,101 sherds analyzed here. We therefore analyze his table and his phases separately, as a contrast case.</w:t>
      </w:r>
    </w:p>
    <w:p>
      <w:pPr>
        <w:pStyle w:val="BodyText"/>
      </w:pPr>
      <w:r>
        <w:t xml:space="preserve">An assemblage enters our analysis based on the phase Mainfort</w:t>
      </w:r>
      <w:r>
        <w:t xml:space="preserve"> </w:t>
      </w:r>
      <w:r>
        <w:t xml:space="preserve">(1996:Figure 1)</w:t>
      </w:r>
      <w:r>
        <w:t xml:space="preserve"> </w:t>
      </w:r>
      <w:r>
        <w:t xml:space="preserve">assigns it to, or when it falls within the territory his assignments define. We exclude the Parchman phase on geography because its three assemblages lie across the Mississippi in Coahoma County, 30 to 46 km from the nearest other assemblage. We include only assemblages with at least 75 decorated sherds, the smallest count tested at which the</w:t>
      </w:r>
      <w:r>
        <w:t xml:space="preserve"> </w:t>
      </w:r>
      <m:oMath>
        <m:sSub>
          <m:e>
            <m:r>
              <m:t>F</m:t>
            </m:r>
          </m:e>
          <m:sub>
            <m:r>
              <m:t>S</m:t>
            </m:r>
            <m:r>
              <m:t>T</m:t>
            </m:r>
          </m:sub>
        </m:sSub>
      </m:oMath>
      <w:r>
        <w:t xml:space="preserve"> </w:t>
      </w:r>
      <w:r>
        <w:t xml:space="preserve">that sampling alone produces between two assemblages drawn from one profile falls, at its 95th percentile, below the observed five-cluster value (Supplemental Text). These rules leave 28 assemblages holding 14,101 decorated sherds (median 251 per assemblage, range 79 to 1,709) in three phases: Parkin with 11 assemblages, Kent with 8, and Walls with 9. Twenty-five carry Mainfort’s assignment and three the territory’s. We georeferenced each assemblage from the Lower Mississippi Survey site files. We obtained settlement attributes from a regional database</w:t>
      </w:r>
      <w:r>
        <w:t xml:space="preserve"> </w:t>
      </w:r>
      <w:r>
        <w:t xml:space="preserve">(Lipo and Dunnell 2007)</w:t>
      </w:r>
      <w:r>
        <w:t xml:space="preserve">.</w:t>
      </w:r>
    </w:p>
    <w:p>
      <w:pPr>
        <w:pStyle w:val="BodyText"/>
      </w:pPr>
      <w:r>
        <w:t xml:space="preserve">Two properties of our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the model’s expectations apply only approximately to this record</w:t>
      </w:r>
      <w:r>
        <w:t xml:space="preserve"> </w:t>
      </w:r>
      <w:r>
        <w:t xml:space="preserve">(Crema et al. 2024)</w:t>
      </w:r>
      <w:r>
        <w:t xml:space="preserve">.</w:t>
      </w:r>
    </w:p>
    <w:bookmarkEnd w:id="116"/>
    <w:bookmarkStart w:id="120" w:name="chronology"/>
    <w:p>
      <w:pPr>
        <w:pStyle w:val="Heading3"/>
      </w:pPr>
      <w:r>
        <w:t xml:space="preserve">Chronology</w:t>
      </w:r>
    </w:p>
    <w:p>
      <w:pPr>
        <w:pStyle w:val="FirstParagraph"/>
      </w:pPr>
      <w:r>
        <w:t xml:space="preserve">Radiocarbon determinations compiled by Mainfort</w:t>
      </w:r>
      <w:r>
        <w:t xml:space="preserve"> </w:t>
      </w:r>
      <w:r>
        <w:t xml:space="preserve">(2001)</w:t>
      </w:r>
      <w:r>
        <w:t xml:space="preserve">, calibrated against IntCal20</w:t>
      </w:r>
      <w:r>
        <w:t xml:space="preserve"> </w:t>
      </w:r>
      <w:r>
        <w:t xml:space="preserve">(</w:t>
      </w:r>
      <w:r>
        <w:t xml:space="preserve">Reimer et al.</w:t>
      </w:r>
      <w:r>
        <w:t xml:space="preserve"> </w:t>
      </w:r>
      <w:r>
        <w:t xml:space="preserve">2020)</w:t>
      </w:r>
      <w:r>
        <w:t xml:space="preserve">,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and only four dated proveniences match our assemblages. We therefore order the assemblages by the first axis of a correspondence analysis of their decorated-class frequencies (Figure 2)</w:t>
      </w:r>
      <w:r>
        <w:t xml:space="preserve"> </w:t>
      </w:r>
      <w:r>
        <w:t xml:space="preserve">(Baxter 1994; Peeples and Schachner 2012; Smith and Neiman 2007)</w:t>
      </w:r>
      <w:r>
        <w:t xml:space="preserve">. That axis follows geography more closely than time. Its rank correlation with latitude is +0.77, and latitude and longitude together account for 62 percent of its variance. Kent Place and Hollywood, the two earliest dated deposits, lie at the same end as Clay Hill, the latest</w:t>
      </w:r>
      <w:r>
        <w:t xml:space="preserve"> </w:t>
      </w:r>
      <w:r>
        <w:t xml:space="preserve">(Haley 2014; House 1993:23)</w:t>
      </w:r>
      <w:r>
        <w:t xml:space="preserve"> </w:t>
      </w:r>
      <w:r>
        <w:t xml:space="preserve">(Supplemental Text). Fortunately for our analysis, an order along the axis is an order in space at least as much as in time, and none of our phase-line tests depends on it.</w:t>
      </w:r>
    </w:p>
    <w:p>
      <w:pPr>
        <w:pStyle w:val="CaptionedFigure"/>
      </w:pPr>
      <w:r>
        <w:drawing>
          <wp:inline>
            <wp:extent cx="5334000" cy="3639186"/>
            <wp:effectExtent b="0" l="0" r="0" t="0"/>
            <wp:docPr descr="Figure 2. Correspondence-analysis seriation of the 28 decorated assemblages, plotted on the first two dimensions and colored by rank on the first (oriented, as in every analysis, in the direction the pooled calibrated medians of the four radiocarbon-dated assemblages weakly favor; they do not establish it). Parkin is the starred marker. The assemblages form a continuum rather than discrete clusters, echoing Mainfort’s (2003) independent ordination." title="" id="118" name="Picture"/>
            <a:graphic>
              <a:graphicData uri="http://schemas.openxmlformats.org/drawingml/2006/picture">
                <pic:pic>
                  <pic:nvPicPr>
                    <pic:cNvPr descr="../../figures/fig4_ca_ordination.png" id="119" name="Picture"/>
                    <pic:cNvPicPr>
                      <a:picLocks noChangeArrowheads="1" noChangeAspect="1"/>
                    </pic:cNvPicPr>
                  </pic:nvPicPr>
                  <pic:blipFill>
                    <a:blip r:embed="rId11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Correspondence-analysis seriation of the 28 decorated assemblages, plotted on the first two dimensions and colored by rank on the first (oriented, as in every analysis, in the direction the pooled calibrated medians of the four radiocarbon-dated assemblages weakly favor; they do not establish it). Parkin is the starred marker. The assemblages form a continuum rather than discrete clusters, echoing Mainfort’s (2003) independent ordination.</w:t>
      </w:r>
    </w:p>
    <w:bookmarkEnd w:id="120"/>
    <w:bookmarkStart w:id="121" w:name="measures"/>
    <w:p>
      <w:pPr>
        <w:pStyle w:val="Heading3"/>
      </w:pPr>
      <w:r>
        <w:t xml:space="preserve">Measures</w:t>
      </w:r>
    </w:p>
    <w:p>
      <w:pPr>
        <w:pStyle w:val="FirstParagraph"/>
      </w:pPr>
      <w:r>
        <w:t xml:space="preserve">Two measures underpin our tests. The first is a cultural version of Wright’s</w:t>
      </w:r>
      <w:r>
        <w:t xml:space="preserve"> </w:t>
      </w:r>
      <m:oMath>
        <m:sSub>
          <m:e>
            <m:r>
              <m:t>F</m:t>
            </m:r>
          </m:e>
          <m:sub>
            <m:r>
              <m:t>S</m:t>
            </m:r>
            <m:r>
              <m:t>T</m:t>
            </m:r>
          </m:sub>
        </m:sSub>
      </m:oMath>
      <w:r>
        <w:t xml:space="preserve"> </w:t>
      </w:r>
      <w:r>
        <w:t xml:space="preserve">(Bell et al. 2009; Wright 1951)</w:t>
      </w:r>
      <w:r>
        <w:t xml:space="preserve">, which indicates how much variation in decoration lies between groups rather than within them. We measure decorated diversity with the Gini-Simpson index, the probability that two sherds drawn at random belong to different classes, and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weighted by assemblage size. This is Nei’s</w:t>
      </w:r>
      <w:r>
        <w:t xml:space="preserve"> </w:t>
      </w:r>
      <w:r>
        <w:t xml:space="preserve">(1973)</w:t>
      </w:r>
      <w:r>
        <w:t xml:space="preserve"> </w:t>
      </w:r>
      <w:r>
        <w:t xml:space="preserve">diversity form of the index. When all groups draw on one shared pool, it sits near zero. As groups favor distinct repertoires, it climbs. The second measure is the boundary excess. Similarity between assemblages, measured with the Brainerd-Robinson coefficient</w:t>
      </w:r>
      <w:r>
        <w:t xml:space="preserve"> </w:t>
      </w:r>
      <w:r>
        <w:t xml:space="preserve">(Brainerd 1951; Robinson 1951)</w:t>
      </w:r>
      <w:r>
        <w:t xml:space="preserve">, normally fades smoothly with distance. The boundary excess is how much more similarity is lost across a line than distance predicts, a step in similarity at the line.</w:t>
      </w:r>
    </w:p>
    <w:p>
      <w:pPr>
        <w:pStyle w:val="BodyText"/>
      </w:pPr>
      <w:r>
        <w:t xml:space="preserve">Before looking at the phases, we established that cultural</w:t>
      </w:r>
      <w:r>
        <w:t xml:space="preserve"> </w:t>
      </w:r>
      <m:oMath>
        <m:sSub>
          <m:e>
            <m:r>
              <m:t>F</m:t>
            </m:r>
          </m:e>
          <m:sub>
            <m:r>
              <m:t>S</m:t>
            </m:r>
            <m:r>
              <m:t>T</m:t>
            </m:r>
          </m:sub>
        </m:sSub>
      </m:oMath>
      <w:r>
        <w:t xml:space="preserve"> </w:t>
      </w:r>
      <w:r>
        <w:t xml:space="preserve">can detect a boundary on a record like this one. On synthetic assemblages built to match the real record, at its real sample sizes, positions, and time-averaging, with groups of known strength imposed, cultural</w:t>
      </w:r>
      <w:r>
        <w:t xml:space="preserve"> </w:t>
      </w:r>
      <m:oMath>
        <m:sSub>
          <m:e>
            <m:r>
              <m:t>F</m:t>
            </m:r>
          </m:e>
          <m:sub>
            <m:r>
              <m:t>S</m:t>
            </m:r>
            <m:r>
              <m:t>T</m:t>
            </m:r>
          </m:sub>
        </m:sSub>
      </m:oMath>
      <w:r>
        <w:t xml:space="preserve"> </w:t>
      </w:r>
      <w:r>
        <w:t xml:space="preserve">tracked the imposed groups steadily. We found that three other measures often used for the purpose, the departure from unbiased copying</w:t>
      </w:r>
      <w:r>
        <w:t xml:space="preserve"> </w:t>
      </w:r>
      <w:r>
        <w:t xml:space="preserve">(Neiman 1995; Shennan and Wilkinson 2001)</w:t>
      </w:r>
      <w:r>
        <w:t xml:space="preserve">, the breakdown of a single seriation into several</w:t>
      </w:r>
      <w:r>
        <w:t xml:space="preserve"> </w:t>
      </w:r>
      <w:r>
        <w:t xml:space="preserve">(Lipo et al. 2015)</w:t>
      </w:r>
      <w:r>
        <w:t xml:space="preserve">, and the boundary excess, do not sufficiently detect boundaries under real-world conditions (Supplemental Text, Figures S1 to S3). We therefore draw inferences about groups from cultural</w:t>
      </w:r>
      <w:r>
        <w:t xml:space="preserve"> </w:t>
      </w:r>
      <m:oMath>
        <m:sSub>
          <m:e>
            <m:r>
              <m:t>F</m:t>
            </m:r>
          </m:e>
          <m:sub>
            <m:r>
              <m:t>S</m:t>
            </m:r>
            <m:r>
              <m:t>T</m:t>
            </m:r>
          </m:sub>
        </m:sSub>
      </m:oMath>
      <w:r>
        <w:t xml:space="preserve">, and use the step in similarity to describe what the copying model misses and to ask whether the phase lines show more of it than other lines do.</w:t>
      </w:r>
    </w:p>
    <w:p>
      <w:pPr>
        <w:pStyle w:val="BodyText"/>
      </w:pPr>
      <w:r>
        <w:t xml:space="preserve">Spatial divisions of the basin other than the phases are formed by</w:t>
      </w:r>
      <w:r>
        <w:t xml:space="preserve"> </w:t>
      </w:r>
      <w:r>
        <w:rPr>
          <w:i/>
          <w:iCs/>
        </w:rPr>
        <w:t xml:space="preserve">k</w:t>
      </w:r>
      <w:r>
        <w:t xml:space="preserve">-means on the assemblage coordinates. The site layout is best described by two clusters, as indicated by the silhouette score, which rewards compact, well-separated clusters. Because cultural</w:t>
      </w:r>
      <w:r>
        <w:t xml:space="preserve"> </w:t>
      </w:r>
      <m:oMath>
        <m:sSub>
          <m:e>
            <m:r>
              <m:t>F</m:t>
            </m:r>
          </m:e>
          <m:sub>
            <m:r>
              <m:t>S</m:t>
            </m:r>
            <m:r>
              <m:t>T</m:t>
            </m:r>
          </m:sub>
        </m:sSub>
      </m:oMath>
      <w:r>
        <w:t xml:space="preserve"> </w:t>
      </w:r>
      <w:r>
        <w:t xml:space="preserve">depends on how many pieces the basin is cut into, we also fit a model with no divisions. It treats decorated-class composition as a continuous surface over the map, with a separate term for site-specific deviations, and asks how well that surface describes the record. It is a description, not a test for groups: a group whose members lie near one another shares a composition that a smooth surface can absorb at the sampled sites, so the model cannot tell continuous copying from groups aligned with geography.</w:t>
      </w:r>
    </w:p>
    <w:bookmarkEnd w:id="121"/>
    <w:bookmarkStart w:id="122" w:name="neutral-copying-on-the-real-map"/>
    <w:p>
      <w:pPr>
        <w:pStyle w:val="Heading3"/>
      </w:pPr>
      <w:r>
        <w:t xml:space="preserve">Neutral copying on the real map</w:t>
      </w:r>
    </w:p>
    <w:p>
      <w:pPr>
        <w:pStyle w:val="FirstParagraph"/>
      </w:pPr>
      <w:r>
        <w:t xml:space="preserve">The central comparison runs a copying model with no groups on the real geography of the St. Francis River basin using assemblage data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measured along the rivers. New variants enter at a constant rate, proportional to each class’s share of the region’s pooled counts, reflecting that types lump unequal numbers of decorative variants. We call this the copying model. It contains no groups. We pool deposition over a trailing window of eight time steps to reproduce time-averaging, and we subsample the simulated assemblages to match each real assemblage’s sherd count.</w:t>
      </w:r>
    </w:p>
    <w:p>
      <w:pPr>
        <w:pStyle w:val="BodyText"/>
      </w:pPr>
      <w:r>
        <w:t xml:space="preserve">A copying model’s predictions about differences between groups depend on population size, innovation rate, and mixing rate together, so we first tune those three to reproduce the diversity within the real assemblages, including mean within-assemblage diversity, mean number of classes present, and the diversity of all assemblages pooled. None of these involves the groups being tested. We search a grid of 297 combinations and keep those whose simulations match all three summaries within 10 percent, confirmed by rerunning each matched combination fifty times (Supplemental Text). Among the confirmed combinations, we use the one that produces the most between-group difference, so the comparison is as favorable to the no-groups model as the grid allows.</w:t>
      </w:r>
    </w:p>
    <w:p>
      <w:pPr>
        <w:pStyle w:val="BodyText"/>
      </w:pPr>
      <w:r>
        <w:t xml:space="preserve">To give the phases a fair chance to be groups, we also ran the model with two properties a bounded group would have. First, we simulate copying across the phase lines weakened to between half and three percent of its strength. Second, we add new variants in each phase drawn from a partly reordered version of the regional profile, so that new styles arise locally. We ran each of the 16 combinations of those settings 300 times. An approximate Bayesian posterior over them indicates which the record favors (Supplemental Text).</w:t>
      </w:r>
    </w:p>
    <w:bookmarkEnd w:id="122"/>
    <w:bookmarkStart w:id="123" w:name="X3bf400f88ac4cd19518a893400b8bcdfe3bddf5"/>
    <w:p>
      <w:pPr>
        <w:pStyle w:val="Heading3"/>
      </w:pPr>
      <w:r>
        <w:t xml:space="preserve">Tests of the phase lines and of the Parkin phase</w:t>
      </w:r>
    </w:p>
    <w:p>
      <w:pPr>
        <w:pStyle w:val="FirstParagraph"/>
      </w:pPr>
      <w:r>
        <w:t xml:space="preserve">We conduct five tests to ask whether the phase lines behave as group edges would. First, we compare the between-group</w:t>
      </w:r>
      <w:r>
        <w:t xml:space="preserve"> </w:t>
      </w:r>
      <m:oMath>
        <m:sSub>
          <m:e>
            <m:r>
              <m:t>F</m:t>
            </m:r>
          </m:e>
          <m:sub>
            <m:r>
              <m:t>S</m:t>
            </m:r>
            <m:r>
              <m:t>T</m:t>
            </m:r>
          </m:sub>
        </m:sSub>
      </m:oMath>
      <w:r>
        <w:t xml:space="preserve"> </w:t>
      </w:r>
      <w:r>
        <w:t xml:space="preserve">and boundary excess under the phase assignments with alternative divisions of the same assemblages into groups of the same sizes, drawn around randomly placed centers or made as spatially compact as possible. We state each comparison as the posterior probability that the phase lines separate type frequencies better than an alternative (see Statistical approach). Simulations with copying restricted at the phase lines show whether this comparison could detect such a restriction. Second, we cluster the assemblages using site coordinates and decorated-class composition together, vary how much weight composition carries, and measure agreement with Mainfort’s assignments with the adjusted Rand index</w:t>
      </w:r>
      <w:r>
        <w:t xml:space="preserve"> </w:t>
      </w:r>
      <w:r>
        <w:t xml:space="preserve">(Hubert and Arabie 1985)</w:t>
      </w:r>
      <w:r>
        <w:t xml:space="preserve">, which averages zero for unrelated divisions and one for identical ones. Third, we map the local rate of composition change and ask whether the phase lines fall where it changes fastest. Fourth, we run the copying model on the real map of the valley and cluster its simulated assemblages the same way we cluster the real assemblages. Fifth, we ask whether the phase lines run through gaps in late-period settlement, using sites independent of the analyzed assemblages.</w:t>
      </w:r>
    </w:p>
    <w:p>
      <w:pPr>
        <w:pStyle w:val="BodyText"/>
      </w:pPr>
      <w:r>
        <w:t xml:space="preserve">We test the Parkin phase the same way, dividing the basin into the Parkin phase and the rest, against the copying model and against arbitrary divisions of the same sizes. A polity should also leave traces outside the ceramic assemblages. We describe the distribution of maximum mound height within the basin, the only size attribute the regional compilation records for most sites, as context for whether sites form the hierarchy of settlement types and sizes that Peebles and Kus</w:t>
      </w:r>
      <w:r>
        <w:t xml:space="preserve"> </w:t>
      </w:r>
      <w:r>
        <w:t xml:space="preserve">(1977:431)</w:t>
      </w:r>
      <w:r>
        <w:t xml:space="preserve"> </w:t>
      </w:r>
      <w:r>
        <w:t xml:space="preserve">take as a correlate of ranked society. As a comparison, we also draw on evidence from Cobb’s</w:t>
      </w:r>
      <w:r>
        <w:t xml:space="preserve"> </w:t>
      </w:r>
      <w:r>
        <w:t xml:space="preserve">(2000)</w:t>
      </w:r>
      <w:r>
        <w:t xml:space="preserve"> </w:t>
      </w:r>
      <w:r>
        <w:t xml:space="preserve">analysis of the production and distribution of Mill Creek chert hoes, goods whose control would mark economic centralization.</w:t>
      </w:r>
    </w:p>
    <w:p>
      <w:pPr>
        <w:pStyle w:val="BodyText"/>
      </w:pPr>
      <w:r>
        <w:t xml:space="preserve">The contrast case applies the first two tests, together with a search for the most spatially compact division, to Mainfort’s</w:t>
      </w:r>
      <w:r>
        <w:t xml:space="preserve"> </w:t>
      </w:r>
      <w:r>
        <w:t xml:space="preserve">(2003)</w:t>
      </w:r>
      <w:r>
        <w:t xml:space="preserve"> </w:t>
      </w:r>
      <w:r>
        <w:t xml:space="preserve">counts under his own phases. Because the two schemes were drawn differently, this explanation predicts that they behave differently. If the inherited phases are a gradient sorted by proximity, the map should recover them, and other lines should separate the assemblages as well or better. A scheme drawn from an ordination should instead be recovered better once composition enters, and its lines should separate the assemblages better than other lines do. If phases of either kind marked bounded groups, however, both schemes should locate the same boundaries. We do not run the copying model on his table, since the model is calibrated to our matrix, so the contrast case cannot show whether his phases differ by more than copying alone produces.</w:t>
      </w:r>
    </w:p>
    <w:bookmarkEnd w:id="123"/>
    <w:bookmarkStart w:id="124" w:name="statistical-approach"/>
    <w:p>
      <w:pPr>
        <w:pStyle w:val="Heading3"/>
      </w:pPr>
      <w:r>
        <w:t xml:space="preserve">Statistical approach</w:t>
      </w:r>
    </w:p>
    <w:p>
      <w:pPr>
        <w:pStyle w:val="FirstParagraph"/>
      </w:pPr>
      <w:r>
        <w:t xml:space="preserve">Every inference in this paper is Bayesian, and the numbers we report fall into three kinds: posterior quantities, which state what the record implies about a quantity once we carry through the uncertainty in its counts; predictive checks, which compare the record with what a simulation model produces; and descriptive statistics. No inference about the record rests on a significance test or a p-value. Because the three kinds answer different questions, we identify each result below by the kind of number it is.</w:t>
      </w:r>
    </w:p>
    <w:p>
      <w:pPr>
        <w:pStyle w:val="BodyText"/>
      </w:pPr>
      <w:r>
        <w:t xml:space="preserve">Sampling is the first source of uncertainty. Each assemblage is a finite sample of sherds, so its class proportions are uncertain, and more so for a small assemblage than for a large one. We represent that uncertainty with a posterior distribution over each assemblage’s proportions: with a multinomial likelihood for the counts and a Dirichlet(1/2) prior on the proportions (the Jeffreys prior for this likelihood), the posterior is a Dirichlet distribution with parameters equal to the counts plus one half. Drawing proportions from it repeatedly, 2,000 times for</w:t>
      </w:r>
      <w:r>
        <w:t xml:space="preserve"> </w:t>
      </w:r>
      <m:oMath>
        <m:sSub>
          <m:e>
            <m:r>
              <m:t>F</m:t>
            </m:r>
          </m:e>
          <m:sub>
            <m:r>
              <m:t>S</m:t>
            </m:r>
            <m:r>
              <m:t>T</m:t>
            </m:r>
          </m:sub>
        </m:sSub>
      </m:oMath>
      <w:r>
        <w:t xml:space="preserve"> </w:t>
      </w:r>
      <w:r>
        <w:t xml:space="preserve">and 500 times for the slower boundary excess, and recomputing a statistic on each draw gives that statistic’s posterior distribution. We report its median and a 95 percent credible interval (the 2.5th to 97.5th percentiles of the draws); given the counts and the prior, the quantity lies in that interval with probability 0.95. When the phase lines are compared with alternative divisions, each draw is scored against 20 alternatives of each kind (10 for the boundary excess) chosen at random from 300, and the posterior probability that the phase lines separate the pottery better is the share of all these comparisons they win. A probability of 0.20 therefore means that, allowing for sampling error in every assemblage, the phase lines beat a randomly chosen alternative in one comparison in five. Where a probability or a share rounds to zero, we give the number of comparisons or runs behind it, since the true value is then known only to be smaller than that resolution.</w:t>
      </w:r>
    </w:p>
    <w:p>
      <w:pPr>
        <w:pStyle w:val="BodyText"/>
      </w:pPr>
      <w:r>
        <w:t xml:space="preserve">Our spatial model with no divisions is a Bayesian hierarchical model written in Stan and fitted by Hamiltonian Monte Carlo</w:t>
      </w:r>
      <w:r>
        <w:t xml:space="preserve"> </w:t>
      </w:r>
      <w:r>
        <w:t xml:space="preserve">(Carpenter et al. 2017)</w:t>
      </w:r>
      <w:r>
        <w:t xml:space="preserve">. We report its spatial share as a posterior median with a credible interval, and we report its priors, convergence diagnostics, and checks against quantities it was not fitted to in the Supplemental Text.</w:t>
      </w:r>
    </w:p>
    <w:p>
      <w:pPr>
        <w:pStyle w:val="BodyText"/>
      </w:pPr>
      <w:r>
        <w:t xml:space="preserve">In contrast, the copying model is a simulator with no likelihood we can write down, and we use it in two ways. As a predictive check, we run it repeatedly at a fixed, calibrated combination of population size, innovation rate, and mixing rate, compute on each simulated dataset the same statistic computed on the record, and report the median and 95 percent range (the 2.5th to 97.5th percentiles) of the simulated values together with the share of runs reaching the observed value</w:t>
      </w:r>
      <w:r>
        <w:t xml:space="preserve"> </w:t>
      </w:r>
      <w:r>
        <w:t xml:space="preserve">(Gelman et al. 1996)</w:t>
      </w:r>
      <w:r>
        <w:t xml:space="preserve">. A small share says that the model rarely produces what the record shows. It measures fit and is not compared with a threshold. Because the parameters are fixed at calibrated values rather than drawn from a posterior, the check carries no uncertainty about them. We address this by repeating the key comparisons at the six most favorable calibrated combinations. A 95 percent range and a 95 percent credible interval should not be confused: the first describes how much a statistic varies under a model, whereas the second describes a quantity of the record. The second use of the simulator is approximate Bayesian computation over the 16 settings of the bounded-groups model</w:t>
      </w:r>
      <w:r>
        <w:t xml:space="preserve"> </w:t>
      </w:r>
      <w:r>
        <w:t xml:space="preserve">(Beaumont et al. 2002)</w:t>
      </w:r>
      <w:r>
        <w:t xml:space="preserve">. Each setting receives the same prior probability, and a setting’s posterior probability is its share of the 5 percent of all runs whose summary statistics lie closest to the record’s. Since 12 of the 16 settings include a copying boundary, the prior probability of a boundary is 0.75, and the evidence lies in how far the posterior moves from that value. To judge that movement, we pass simulated records with and without a built-in boundary through the same procedure and report where the record’s value falls relative to them.</w:t>
      </w:r>
    </w:p>
    <w:p>
      <w:pPr>
        <w:pStyle w:val="BodyText"/>
      </w:pPr>
      <w:r>
        <w:t xml:space="preserve">Rank correlations, the adjusted Rand index, silhouette scores, and the percentile of a division among alternatives are descriptive. Each summarizes the record or a set of divisions, and none carries an inferential claim by itself.</w:t>
      </w:r>
    </w:p>
    <w:bookmarkEnd w:id="124"/>
    <w:bookmarkEnd w:id="125"/>
    <w:bookmarkStart w:id="154" w:name="results"/>
    <w:p>
      <w:pPr>
        <w:pStyle w:val="Heading2"/>
      </w:pPr>
      <w:r>
        <w:t xml:space="preserve">Results</w:t>
      </w:r>
    </w:p>
    <w:bookmarkStart w:id="126" w:name="what-spatially-structured-drift-explains"/>
    <w:p>
      <w:pPr>
        <w:pStyle w:val="Heading3"/>
      </w:pPr>
      <w:r>
        <w:t xml:space="preserve">What spatially structured drift explains</w:t>
      </w:r>
    </w:p>
    <w:p>
      <w:pPr>
        <w:pStyle w:val="FirstParagraph"/>
      </w:pPr>
      <w:r>
        <w:t xml:space="preserve">Neutral copying on the real map accounts for most of what the basin’s decorated-type frequencies show. Tuning the model to the record’s diversity matched 50 of the 297 combinations on the six-run screen, and 45 still matched when rerun fifty times (Supplemental Text, Figure S7). At the matched combination most favorable to it (2,000 learners per node, an innovation rate of 0.001, and a mixing rate of 0.02), copying with no groups reproduces the fading of similarity with distance (observed correlation of similarity with distance along the rivers -0.20, against a simulated 95 percent range of -0.53 to +0.04) and the difference between the two spatial clusters the site layout supports (Table 1).</w:t>
      </w:r>
    </w:p>
    <w:p>
      <w:pPr>
        <w:pStyle w:val="BodyText"/>
      </w:pPr>
      <w:r>
        <w:t xml:space="preserve">A model with no divisions at all describes the record adequately. On the logit scale of its latent class probabilities, it assigns 99.6 percent of the variance among assemblages to the spatial surface (posterior median; 95 percent credible interval 97.2 to 100 percent) and little to independent site deviations, and it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 As a description, the high spatial share does not distinguish a continuous copying process from groups aligned with geography. The surface can also bend over short distances, so it carries variation that the copying model, taken next, does not produce.</w:t>
      </w:r>
    </w:p>
    <w:p>
      <w:pPr>
        <w:pStyle w:val="BodyText"/>
      </w:pPr>
      <w:r>
        <w:rPr>
          <w:b/>
          <w:bCs/>
        </w:rPr>
        <w:t xml:space="preserve">Table 1.</w:t>
      </w:r>
      <w:r>
        <w:t xml:space="preserve"> </w:t>
      </w:r>
      <w:r>
        <w:t xml:space="preserve">Observed between-group cultural</w:t>
      </w:r>
      <w:r>
        <w:t xml:space="preserve"> </w:t>
      </w:r>
      <m:oMath>
        <m:sSub>
          <m:e>
            <m:r>
              <m:t>F</m:t>
            </m:r>
          </m:e>
          <m:sub>
            <m:r>
              <m:t>S</m:t>
            </m:r>
            <m:r>
              <m:t>T</m:t>
            </m:r>
          </m:sub>
        </m:sSub>
      </m:oMath>
      <w:r>
        <w:t xml:space="preserve"> </w:t>
      </w:r>
      <w:r>
        <w:t xml:space="preserve">against the neutral copying model, which contains no groups. Model values are the median and 95 percent range over 300 runs at the matched combination most favorable to the model. The last column gives the share of runs reaching the observed value there and, in parentheses, the range of that share across the six most favorable combinations that passed the confirmation. Radius is the root-mean-square distance from an assemblage to its group’s center. A share of 0 percent means none of 300 runs, a frequency below about 0.3 percent, not an impossibility. At five or more clusters, at least one cluster holds a single assemblage, so finer divisions are reported only in the Supplemental Text.</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Division</w:t>
            </w:r>
          </w:p>
        </w:tc>
        <w:tc>
          <w:tcPr/>
          <w:p>
            <w:pPr>
              <w:pStyle w:val="Compact"/>
              <w:jc w:val="right"/>
            </w:pPr>
            <w:r>
              <w:t xml:space="preserve">Groups</w:t>
            </w:r>
          </w:p>
        </w:tc>
        <w:tc>
          <w:tcPr/>
          <w:p>
            <w:pPr>
              <w:pStyle w:val="Compact"/>
              <w:jc w:val="right"/>
            </w:pPr>
            <w:r>
              <w:t xml:space="preserve">Radius (km)</w:t>
            </w:r>
          </w:p>
        </w:tc>
        <w:tc>
          <w:tcPr/>
          <w:p>
            <w:pPr>
              <w:pStyle w:val="Compact"/>
              <w:jc w:val="right"/>
            </w:pPr>
            <w:r>
              <w:t xml:space="preserve">Observed</w:t>
            </w:r>
          </w:p>
        </w:tc>
        <w:tc>
          <w:tcPr/>
          <w:p>
            <w:pPr>
              <w:pStyle w:val="Compact"/>
            </w:pPr>
            <w:r>
              <w:t xml:space="preserve">Model median (95 percent range)</w:t>
            </w:r>
          </w:p>
        </w:tc>
        <w:tc>
          <w:tcPr/>
          <w:p>
            <w:pPr>
              <w:pStyle w:val="Compact"/>
            </w:pPr>
            <w:r>
              <w:t xml:space="preserve">Runs reaching observed</w:t>
            </w:r>
          </w:p>
        </w:tc>
      </w:tr>
      <w:tr>
        <w:tc>
          <w:tcPr/>
          <w:p>
            <w:pPr>
              <w:pStyle w:val="Compact"/>
            </w:pPr>
            <w:r>
              <w:t xml:space="preserve">Two spatial clusters (the Parkin phase against the rest)</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0.0062</w:t>
            </w:r>
          </w:p>
        </w:tc>
        <w:tc>
          <w:tcPr/>
          <w:p>
            <w:pPr>
              <w:pStyle w:val="Compact"/>
            </w:pPr>
            <w:r>
              <w:t xml:space="preserve">0.0019 (0.0002 to 0.0124)</w:t>
            </w:r>
          </w:p>
        </w:tc>
        <w:tc>
          <w:tcPr/>
          <w:p>
            <w:pPr>
              <w:pStyle w:val="Compact"/>
            </w:pPr>
            <w:r>
              <w:t xml:space="preserve">13% (4 to 16%)</w:t>
            </w:r>
          </w:p>
        </w:tc>
      </w:tr>
      <w:tr>
        <w:tc>
          <w:tcPr/>
          <w:p>
            <w:pPr>
              <w:pStyle w:val="Compact"/>
            </w:pPr>
            <w:r>
              <w:t xml:space="preserve">The inherited phases</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0.0110</w:t>
            </w:r>
          </w:p>
        </w:tc>
        <w:tc>
          <w:tcPr/>
          <w:p>
            <w:pPr>
              <w:pStyle w:val="Compact"/>
            </w:pPr>
            <w:r>
              <w:t xml:space="preserve">0.0034 (0.0008 to 0.0138)</w:t>
            </w:r>
          </w:p>
        </w:tc>
        <w:tc>
          <w:tcPr/>
          <w:p>
            <w:pPr>
              <w:pStyle w:val="Compact"/>
            </w:pPr>
            <w:r>
              <w:t xml:space="preserve">5% (1 to 12%)</w:t>
            </w:r>
          </w:p>
        </w:tc>
      </w:tr>
      <w:tr>
        <w:tc>
          <w:tcPr/>
          <w:p>
            <w:pPr>
              <w:pStyle w:val="Compact"/>
            </w:pPr>
            <w:r>
              <w:t xml:space="preserve">Three spatial clusters</w:t>
            </w:r>
          </w:p>
        </w:tc>
        <w:tc>
          <w:tcPr/>
          <w:p>
            <w:pPr>
              <w:pStyle w:val="Compact"/>
              <w:jc w:val="right"/>
            </w:pPr>
            <w:r>
              <w:t xml:space="preserve">3</w:t>
            </w:r>
          </w:p>
        </w:tc>
        <w:tc>
          <w:tcPr/>
          <w:p>
            <w:pPr>
              <w:pStyle w:val="Compact"/>
              <w:jc w:val="right"/>
            </w:pPr>
            <w:r>
              <w:t xml:space="preserve">13.6</w:t>
            </w:r>
          </w:p>
        </w:tc>
        <w:tc>
          <w:tcPr/>
          <w:p>
            <w:pPr>
              <w:pStyle w:val="Compact"/>
              <w:jc w:val="right"/>
            </w:pPr>
            <w:r>
              <w:t xml:space="preserve">0.0156</w:t>
            </w:r>
          </w:p>
        </w:tc>
        <w:tc>
          <w:tcPr/>
          <w:p>
            <w:pPr>
              <w:pStyle w:val="Compact"/>
            </w:pPr>
            <w:r>
              <w:t xml:space="preserve">0.0035 (0.0007 to 0.0135)</w:t>
            </w:r>
          </w:p>
        </w:tc>
        <w:tc>
          <w:tcPr/>
          <w:p>
            <w:pPr>
              <w:pStyle w:val="Compact"/>
            </w:pPr>
            <w:r>
              <w:t xml:space="preserve">1% (1 to 6%)</w:t>
            </w:r>
          </w:p>
        </w:tc>
      </w:tr>
      <w:tr>
        <w:tc>
          <w:tcPr/>
          <w:p>
            <w:pPr>
              <w:pStyle w:val="Compact"/>
            </w:pPr>
            <w:r>
              <w:t xml:space="preserve">Four spatial clusters</w:t>
            </w:r>
          </w:p>
        </w:tc>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pPr>
            <w:r>
              <w:t xml:space="preserve">0.0041 (0.0010 to 0.0146)</w:t>
            </w:r>
          </w:p>
        </w:tc>
        <w:tc>
          <w:tcPr/>
          <w:p>
            <w:pPr>
              <w:pStyle w:val="Compact"/>
            </w:pPr>
            <w:r>
              <w:t xml:space="preserve">1% (0 to 4%)</w:t>
            </w:r>
          </w:p>
        </w:tc>
      </w:tr>
    </w:tbl>
    <w:p>
      <w:pPr>
        <w:pStyle w:val="BodyText"/>
      </w:pPr>
      <w:r>
        <w:t xml:space="preserve">The model does not account for everything. Between phases, it matches the observed difference in 5 percent of runs at the most favorable combination, and at three and four spatial clusters it matches the observed value in 0 to 6 percent of runs at each of the six (Table 1). The assemblages vary over shorter distances than calibrated copying does. The step in similarity across the phase lines also exceeds the model. The boundary excess is +10.0, against a simulated median of +1.5 (95 percent range -6.0 to +7.8), and 1 of 300 runs reaches it. This additional variation is not due to sampling. Redrawing every assemblage from the basin’s pooled profile at its own sherd count gives between-cluster differences near zero (Supplemental Text).</w:t>
      </w:r>
    </w:p>
    <w:p>
      <w:pPr>
        <w:pStyle w:val="BodyText"/>
      </w:pPr>
      <w:r>
        <w:t xml:space="preserve">The next section asks whether that additional variation follows the phase lines. What produces it is a separate question, and the model can narrow it without settling it (Table 2). We relaxed four simplifications of the model one at a time at the calibrated combination, and read every variant, the baseline included, by the same three criteria: whether its median reaches the observation, how often its runs reach it, and whether the record’s diversity stays matched (Supplemental Text). No variant that keeps diversity matched brings its median up to the observed three- and four-cluster values. Two raise the share of runs reaching those values while keeping diversity matched. Letting new styles arise somewhat locally, each of the two spatial clusters drawing its new variants from a slightly different version of the regional profile, raises it from 3 and 1 percent in baseline runs with the same seeds to 42 and 40 percent when a quarter of the classes are reordered (300 runs each); with the phases as the areas and a fifth of the classes reordered, 39 percent of runs reach the observed between-phase value. Copying that falls off over a short straight-line distance, 6 km, raises it to 11 and 7 percent. Unequal site populations and shorter fall-off along the rivers raise it further but break the diversity match; not recalibrated, they are unsupported rather than excluded. None of these variants restricts who copies whom, and the test cannot tell whether local innovation followed the phases or any other division of the basin.</w:t>
      </w:r>
    </w:p>
    <w:p>
      <w:pPr>
        <w:pStyle w:val="BodyText"/>
      </w:pPr>
      <w:r>
        <w:t xml:space="preserve">Restricting copying across the phase lines, the property that would make the phases groups, also increases both statistics. With copying across the lines cut to 3 percent of its strength, 40 percent of runs reach the observed between-phase</w:t>
      </w:r>
      <w:r>
        <w:t xml:space="preserve"> </w:t>
      </w:r>
      <m:oMath>
        <m:sSub>
          <m:e>
            <m:r>
              <m:t>F</m:t>
            </m:r>
          </m:e>
          <m:sub>
            <m:r>
              <m:t>S</m:t>
            </m:r>
            <m:r>
              <m:t>T</m:t>
            </m:r>
          </m:sub>
        </m:sSub>
      </m:oMath>
      <w:r>
        <w:t xml:space="preserve"> </w:t>
      </w:r>
      <w:r>
        <w:t xml:space="preserve">and 34 percent reach the observed step at the lines. The copying model, however, cannot distinguish the two. The posterior probability of a copying boundary at the phase lines is 0.79, against a prior of 0.75. On simulated records with a boundary built in, the same procedure returns a median of 0.81 to 0.95 (40 test records per setting), and on records without one, a median of 0.66. The record’s value falls between the two, so it leans slightly toward a boundary without resolving one. That lean is not specific to the phases: run on three arbitrary divisions with the phases’ group sizes, the same analysis gives 0.78 to 0.92. The comparisons of where the lines fall, taken up next, bear on the question more directly, although they too discriminate only moderately.</w:t>
      </w:r>
    </w:p>
    <w:p>
      <w:pPr>
        <w:pStyle w:val="BodyText"/>
      </w:pPr>
      <w:r>
        <w:rPr>
          <w:b/>
          <w:bCs/>
        </w:rPr>
        <w:t xml:space="preserve">Table 2.</w:t>
      </w:r>
      <w:r>
        <w:t xml:space="preserve"> </w:t>
      </w:r>
      <w:r>
        <w:t xml:space="preserve">The accounts of the basin’s decorated-type frequencies tested here, what each predicts, and how it fared. Every copying-model account is read on the same three criteria: whether its median between-group</w:t>
      </w:r>
      <w:r>
        <w:t xml:space="preserve"> </w:t>
      </w:r>
      <m:oMath>
        <m:sSub>
          <m:e>
            <m:r>
              <m:t>F</m:t>
            </m:r>
          </m:e>
          <m:sub>
            <m:r>
              <m:t>S</m:t>
            </m:r>
            <m:r>
              <m:t>T</m:t>
            </m:r>
          </m:sub>
        </m:sSub>
      </m:oMath>
      <w:r>
        <w:t xml:space="preserve"> </w:t>
      </w:r>
      <w:r>
        <w:t xml:space="preserve">reaches the observed value, the share of its runs reaching the observed value (predictive coverage), and whether it keeps all three within-assemblage diversity summaries within 10 percent of the observed values. Shares for the relaxations are from 300 runs at the calibrated combination, scored at three and four spatial clusters, where the baseline falls short. Relaxations are one at a time and not recalibrated. Full grids and diagnostics are in the Supplemental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and the decrease in similarity with distance, with no group anywhere</w:t>
            </w:r>
          </w:p>
        </w:tc>
        <w:tc>
          <w:tcPr/>
          <w:p>
            <w:pPr>
              <w:pStyle w:val="Compact"/>
            </w:pPr>
            <w:r>
              <w:rPr>
                <w:b/>
                <w:bCs/>
              </w:rPr>
              <w:t xml:space="preserve">Adequate at coarse scale only.</w:t>
            </w:r>
            <w:r>
              <w:t xml:space="preserve"> </w:t>
            </w:r>
            <w:r>
              <w:t xml:space="preserve">Diversity matched; covers the decrease with distance and the two-cluster difference (13 percent of runs), but runs reach the three- and four-cluster values in 0 to 6 percent and the between-phase value in 5 percent</w:t>
            </w:r>
          </w:p>
        </w:tc>
      </w:tr>
      <w:tr>
        <w:tc>
          <w:tcPr/>
          <w:p>
            <w:pPr>
              <w:pStyle w:val="Compact"/>
            </w:pPr>
            <w:r>
              <w:t xml:space="preserve">Bounded groups, judged by where the lines fall</w:t>
            </w:r>
          </w:p>
        </w:tc>
        <w:tc>
          <w:tcPr/>
          <w:p>
            <w:pPr>
              <w:pStyle w:val="Compact"/>
            </w:pPr>
            <w:r>
              <w:t xml:space="preserve">Lines where the assemblage composition changes; lines the assemblages recover better than the map; lines that separate the assemblages better than other lines</w:t>
            </w:r>
          </w:p>
        </w:tc>
        <w:tc>
          <w:tcPr/>
          <w:p>
            <w:pPr>
              <w:pStyle w:val="Compact"/>
            </w:pPr>
            <w:r>
              <w:rPr>
                <w:b/>
                <w:bCs/>
              </w:rPr>
              <w:t xml:space="preserve">Not supported.</w:t>
            </w:r>
            <w:r>
              <w:t xml:space="preserve"> </w:t>
            </w:r>
            <w:r>
              <w:t xml:space="preserve">The map recovers the lines, and alternative divisions separate the assemblages as well or better; in simulation at the calibrated combination a strong restriction usually reverses that ordering, but the real score is uncommon under every simulated setting, so a weak restriction cannot be excluded</w:t>
            </w:r>
          </w:p>
        </w:tc>
      </w:tr>
      <w:tr>
        <w:tc>
          <w:tcPr/>
          <w:p>
            <w:pPr>
              <w:pStyle w:val="Compact"/>
            </w:pPr>
            <w:r>
              <w:t xml:space="preserve">Bounded groups, judged by the copying model</w:t>
            </w:r>
          </w:p>
        </w:tc>
        <w:tc>
          <w:tcPr/>
          <w:p>
            <w:pPr>
              <w:pStyle w:val="Compact"/>
            </w:pPr>
            <w:r>
              <w:t xml:space="preserve">Higher between-group</w:t>
            </w:r>
            <w:r>
              <w:t xml:space="preserve"> </w:t>
            </w:r>
            <m:oMath>
              <m:sSub>
                <m:e>
                  <m:r>
                    <m:t>F</m:t>
                  </m:r>
                </m:e>
                <m:sub>
                  <m:r>
                    <m:t>S</m:t>
                  </m:r>
                  <m:r>
                    <m:t>T</m:t>
                  </m:r>
                </m:sub>
              </m:sSub>
            </m:oMath>
            <w:r>
              <w:t xml:space="preserve"> </w:t>
            </w:r>
            <w:r>
              <w:t xml:space="preserve">and a step in similarity at the lines</w:t>
            </w:r>
          </w:p>
        </w:tc>
        <w:tc>
          <w:tcPr/>
          <w:p>
            <w:pPr>
              <w:pStyle w:val="Compact"/>
            </w:pPr>
            <w:r>
              <w:rPr>
                <w:b/>
                <w:bCs/>
              </w:rPr>
              <w:t xml:space="preserve">Not distinguished</w:t>
            </w:r>
            <w:r>
              <w:t xml:space="preserve"> </w:t>
            </w:r>
            <w:r>
              <w:t xml:space="preserve">from local innovation; posterior 0.79 against a prior of 0.75, and 0.78 to 0.92 for arbitrary divisions</w:t>
            </w:r>
          </w:p>
        </w:tc>
      </w:tr>
      <w:tr>
        <w:tc>
          <w:tcPr/>
          <w:p>
            <w:pPr>
              <w:pStyle w:val="Compact"/>
            </w:pPr>
            <w:r>
              <w:t xml:space="preserve">Unequal site populations; shorter or differently shaped fall-off along the rivers</w:t>
            </w:r>
          </w:p>
        </w:tc>
        <w:tc>
          <w:tcPr/>
          <w:p>
            <w:pPr>
              <w:pStyle w:val="Compact"/>
            </w:pPr>
            <w:r>
              <w:t xml:space="preserve">Faster drift at small or isolated sites</w:t>
            </w:r>
          </w:p>
        </w:tc>
        <w:tc>
          <w:tcPr/>
          <w:p>
            <w:pPr>
              <w:pStyle w:val="Compact"/>
            </w:pPr>
            <w:r>
              <w:rPr>
                <w:b/>
                <w:bCs/>
              </w:rPr>
              <w:t xml:space="preserve">Not supported at the calibrated combination.</w:t>
            </w:r>
            <w:r>
              <w:t xml:space="preserve"> </w:t>
            </w:r>
            <w:r>
              <w:t xml:space="preserve">Raise the share of runs reaching the finer-scale values appreciably only where they break the diversity match</w:t>
            </w:r>
          </w:p>
        </w:tc>
      </w:tr>
      <w:tr>
        <w:tc>
          <w:tcPr/>
          <w:p>
            <w:pPr>
              <w:pStyle w:val="Compact"/>
            </w:pPr>
            <w:r>
              <w:t xml:space="preserve">Unequal accumulation spans</w:t>
            </w:r>
          </w:p>
        </w:tc>
        <w:tc>
          <w:tcPr/>
          <w:p>
            <w:pPr>
              <w:pStyle w:val="Compact"/>
            </w:pPr>
            <w:r>
              <w:t xml:space="preserve">More distinct narrow deposits</w:t>
            </w:r>
          </w:p>
        </w:tc>
        <w:tc>
          <w:tcPr/>
          <w:p>
            <w:pPr>
              <w:pStyle w:val="Compact"/>
            </w:pPr>
            <w:r>
              <w:rPr>
                <w:b/>
                <w:bCs/>
              </w:rPr>
              <w:t xml:space="preserve">No effect</w:t>
            </w:r>
            <w:r>
              <w:t xml:space="preserve"> </w:t>
            </w:r>
            <w:r>
              <w:t xml:space="preserve">on the two-cluster differentiation; not rescored at finer scales</w:t>
            </w:r>
          </w:p>
        </w:tc>
      </w:tr>
      <w:tr>
        <w:tc>
          <w:tcPr/>
          <w:p>
            <w:pPr>
              <w:pStyle w:val="Compact"/>
            </w:pPr>
            <w:r>
              <w:t xml:space="preserve">Copying falling off over 6 km of straight-line distance</w:t>
            </w:r>
          </w:p>
        </w:tc>
        <w:tc>
          <w:tcPr/>
          <w:p>
            <w:pPr>
              <w:pStyle w:val="Compact"/>
            </w:pPr>
            <w:r>
              <w:t xml:space="preserve">Differentiation over shorter distances</w:t>
            </w:r>
          </w:p>
        </w:tc>
        <w:tc>
          <w:tcPr/>
          <w:p>
            <w:pPr>
              <w:pStyle w:val="Compact"/>
            </w:pPr>
            <w:r>
              <w:rPr>
                <w:b/>
                <w:bCs/>
              </w:rPr>
              <w:t xml:space="preserve">Adequate by coverage.</w:t>
            </w:r>
            <w:r>
              <w:t xml:space="preserve"> </w:t>
            </w:r>
            <w:r>
              <w:t xml:space="preserve">Diversity matched; 11 and 7 percent of runs reach the three- and four-cluster values; medians fall short</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rPr>
                <w:b/>
                <w:bCs/>
              </w:rPr>
              <w:t xml:space="preserve">Adequate by coverage.</w:t>
            </w:r>
            <w:r>
              <w:t xml:space="preserve"> </w:t>
            </w:r>
            <w:r>
              <w:t xml:space="preserve">Diversity matched; 28 to 44 percent of runs reach the three- and four-cluster values at reordered shares of 0.2 to 0.3; medians fall short at those scales, and simulations are widely spread</w:t>
            </w:r>
          </w:p>
        </w:tc>
      </w:tr>
    </w:tbl>
    <w:bookmarkEnd w:id="126"/>
    <w:bookmarkStart w:id="142" w:name="where-the-phase-lines-fall"/>
    <w:p>
      <w:pPr>
        <w:pStyle w:val="Heading3"/>
      </w:pPr>
      <w:r>
        <w:t xml:space="preserve">Where the phase lines fall</w:t>
      </w:r>
    </w:p>
    <w:p>
      <w:pPr>
        <w:pStyle w:val="FirstParagraph"/>
      </w:pPr>
      <w:r>
        <w:t xml:space="preserve">If the phases marked restrictions on copying, their lines should separate the assemblages better than other lines and fall where composition changes fastest. They do neither.</w:t>
      </w:r>
    </w:p>
    <w:p>
      <w:pPr>
        <w:pStyle w:val="BodyText"/>
      </w:pPr>
      <w:r>
        <w:t xml:space="preserve">Most alternative divisions of the same sites separate the assemblages better than the phase lines do. With the uncertainty in every assemblage’s counts carried through, the between-phase</w:t>
      </w:r>
      <w:r>
        <w:t xml:space="preserve"> </w:t>
      </w:r>
      <m:oMath>
        <m:sSub>
          <m:e>
            <m:r>
              <m:t>F</m:t>
            </m:r>
          </m:e>
          <m:sub>
            <m:r>
              <m:t>S</m:t>
            </m:r>
            <m:r>
              <m:t>T</m:t>
            </m:r>
          </m:sub>
        </m:sSub>
      </m:oMath>
      <w:r>
        <w:t xml:space="preserve"> </w:t>
      </w:r>
      <w:r>
        <w:t xml:space="preserve">has a posterior median of 0.0109 (95 percent credible interval 0.0091 to 0.0128). Divisions of the same assemblages into groups of the same sizes around randomly placed centers give a median of 0.0145, and divisions drawn to be as compact as possible give 0.0165. The posterior probability that the phase lines separate the assemblages better than a division around random centers is 0.20, and better than a compact division 0.05 (Figure 3B, C). The step in similarity at the lines is less decisive. The boundary excess at the phase lines (posterior median +9.4, 95 percent credible interval +4.6 to +13.9) exceeds what copying alone produces, but arbitrary divisions of the map show a similar step, with a median of +6.9 around random centers and +4.6 for compact divisions, and the posterior probability that the phase lines show more is 0.59 and 0.61, close to even. The shorter-range variation the copying model misses is a property of the basin’s assemblages, however they are divided, not of the phase lines.</w:t>
      </w:r>
    </w:p>
    <w:p>
      <w:pPr>
        <w:pStyle w:val="BodyText"/>
      </w:pPr>
      <w:r>
        <w:t xml:space="preserve">This comparison responds to restricted copying at the lines, but it does not discriminate sharply. In records simulated at the calibrated combination with copying across the phase lines cut to 3 percent of its strength, the phase lines separate the simulated assemblages better than a median of 90 percent of same-size divisions around random centers and 74 percent of compact ones, versus 62 and 41 percent with no restriction. The real phase lines, scored the same way, beat 30 and 4 percent. The simulated distributions overlap widely (Supplemental Text, Figure S8). A score as low as the real one against random-center divisions occurs in 5 percent of records simulated without a restriction and 1 percent with the strongest (100 records per setting), and against compact divisions in 13 and 4 percent. The separation is smaller at two other diversity-matched combinations (Supplemental Text). The real score lies in the lower tail of every setting, the unrestricted one included, so it weighs moderately against a strong restriction at the calibrated combination and less at the others, cannot exclude a weak one, and leaves open that the copying model misdescribes how the assemblages vary. On the step in similarity the comparison is less informative still: the real lines beat 72 and 68 percent of the alternatives, above the median without restriction (56 and 27 percent) and within the range of those with copying restricted (76 to 90 and 58 to 78 percent).</w:t>
      </w:r>
    </w:p>
    <w:p>
      <w:pPr>
        <w:pStyle w:val="BodyText"/>
      </w:pPr>
      <w:r>
        <w:t xml:space="preserve">The phase lines reflect the map’s spatial structure. Their within-group spread, 189.9 km² per assemblage, is the tightest three-way division of these assemblages at these group sizes that our search found. A search that minimizes spatial spread and is not based on type frequencies returned the phase division in exactly 156 of 1,000 random starts and found nothing tighter in any of them. The phases are the most compact way to divide the sites into spatially delineated groups of those sizes.</w:t>
      </w:r>
    </w:p>
    <w:p>
      <w:pPr>
        <w:pStyle w:val="CaptionedFigure"/>
      </w:pPr>
      <w:r>
        <w:drawing>
          <wp:inline>
            <wp:extent cx="5334000" cy="2584123"/>
            <wp:effectExtent b="0" l="0" r="0" t="0"/>
            <wp:docPr descr="Figure 3. Scale and boundaries. (A) Observed between-cluster cultural F_{ST} against the neutral copying model as the basin is divided into two through six clusters. The observed value lies inside the model’s range at two clusters and above it from three. (B) Within-group spatial spread against cultural F_{ST} for divisions with the phases’ group sizes around randomly placed centers (light) and drawn to minimize spread (dark); the star is the phase division. Differentiation is unrelated to compactness among the random divisions (Spearman -0.02) and moderately related among the compact ones (+0.45), and no division in either set is tighter than the phases. (C) The phase division’s F_{ST} (solid line) against the compact divisions is near the bottom of their range." title="" id="128" name="Picture"/>
            <a:graphic>
              <a:graphicData uri="http://schemas.openxmlformats.org/drawingml/2006/picture">
                <pic:pic>
                  <pic:nvPicPr>
                    <pic:cNvPr descr="../../figures/fig12_phase_partition.png" id="129" name="Picture"/>
                    <pic:cNvPicPr>
                      <a:picLocks noChangeArrowheads="1" noChangeAspect="1"/>
                    </pic:cNvPicPr>
                  </pic:nvPicPr>
                  <pic:blipFill>
                    <a:blip r:embed="rId12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observed value lies inside the model’s range at two clusters and above it from three. (B) Within-group spatial spread against cultural</w:t>
      </w:r>
      <w:r>
        <w:t xml:space="preserve"> </w:t>
      </w:r>
      <m:oMath>
        <m:sSub>
          <m:e>
            <m:r>
              <m:t>F</m:t>
            </m:r>
          </m:e>
          <m:sub>
            <m:r>
              <m:t>S</m:t>
            </m:r>
            <m:r>
              <m:t>T</m:t>
            </m:r>
          </m:sub>
        </m:sSub>
      </m:oMath>
      <w:r>
        <w:t xml:space="preserve"> </w:t>
      </w:r>
      <w:r>
        <w:t xml:space="preserve">for divisions with the phases’ group sizes around randomly placed centers (light) and drawn to minimize spread (dark); the star is the phase division. Differentiation is unrelated to compactness among the random divisions (Spearman -0.02) and moderately related among the compact ones (+0.45),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is near the bottom of their range.</w:t>
      </w:r>
    </w:p>
    <w:p>
      <w:pPr>
        <w:pStyle w:val="BodyText"/>
      </w:pPr>
      <w:r>
        <w:t xml:space="preserve">At smoothing scales near the site spacing, the reconstructed phase boundaries also run through areas where composition changes slowly. These boundaries are our reconstruction, the edges of the territories built from Mainfort’s assignments as in Figure 1, not lines drawn by the original authors. Mapping the local rate at which composition changes across the basin with a 15 km bandwidth (Figure 4A), an edge between communities should appear as a ridge of fast change. The reconstructed boundaries, however, do not follow ridges. Median change along them is 0.0105 per kilometer, against 0.0124 along boundaries built the same way from 200 same-size divisions around randomly placed centers, and none of those 200 runs through slower-changing areas (Figure 4B). The ranking holds at 10 to 15 km but not at 20 to 30 km, where the reconstructed boundaries sit at the 24th to 43rd percentiles, and on this sampling geometry it discriminates weakly: a score as low as the real one occurs in 5 percent of records simulated without a restriction and 2 percent with copying across the lines cut to 3 percent (Supplemental Text). The turnover map therefore describes where composition changes and adds little independent weight against a boundary.</w:t>
      </w:r>
    </w:p>
    <w:p>
      <w:pPr>
        <w:pStyle w:val="CaptionedFigure"/>
      </w:pPr>
      <w:r>
        <w:drawing>
          <wp:inline>
            <wp:extent cx="5334000" cy="3028550"/>
            <wp:effectExtent b="0" l="0" r="0" t="0"/>
            <wp:docPr descr="Figure 4. 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reconstructed phase boundaries overlaid, the edges of territories built from Mainfort’s assignments as in Figure 1. At this bandwidth the rate of change along them is lower than along the boundaries of any of 200 same-size divisions around randomly placed centers; the ranking holds at 10 to 15 km but not at 20 to 30 km (Supplemental Text). (C) Observed cultural F_{ST} against cluster radius in kilometers, with the neutral copying model’s range behind it, from coarse to fine. The observed value lies inside the range at an 18 km radius and above it from 14 km. Below a radius of about 10 km, the clusters begin to isolate single assemblages, so the finest divisions should not be read as structure." title="" id="131" name="Picture"/>
            <a:graphic>
              <a:graphicData uri="http://schemas.openxmlformats.org/drawingml/2006/picture">
                <pic:pic>
                  <pic:nvPicPr>
                    <pic:cNvPr descr="../../figures/fig13_groupness_surface.png" id="132" name="Picture"/>
                    <pic:cNvPicPr>
                      <a:picLocks noChangeArrowheads="1" noChangeAspect="1"/>
                    </pic:cNvPicPr>
                  </pic:nvPicPr>
                  <pic:blipFill>
                    <a:blip r:embed="rId130"/>
                    <a:stretch>
                      <a:fillRect/>
                    </a:stretch>
                  </pic:blipFill>
                  <pic:spPr bwMode="auto">
                    <a:xfrm>
                      <a:off x="0" y="0"/>
                      <a:ext cx="5334000" cy="302855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reconstructed phase boundaries overlaid, the edges of territories built from Mainfort’s assignments as in Figure 1. At this bandwidth the rate of change along them is lower than along the boundaries of any of 200 same-size divisions around randomly placed centers; the ranking holds at 10 to 15 km but not at 20 to 30 km (Supplemental Text).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lies inside the range at an 18 km radius and above it from 14 km. Below a radius of about 10 km, the clusters begin to isolate single assemblages, so the finest divisions should not be read as structure.</w:t>
      </w:r>
    </w:p>
    <w:p>
      <w:pPr>
        <w:pStyle w:val="BodyText"/>
      </w:pPr>
      <w:r>
        <w:t xml:space="preserve">The site map alone can reconstruct the phases. Clustering the assemblages on their coordinates alone reproduces phase assignments exactly, with an adjusted Rand index of 1.000 (Figure 5). Adding assemblage composition as a factor actually lowers agreement at every weight, from a tenth of the coordinates’ weight up to equal weight. Divisions with the phases’ group sizes around random centers reach 0.570, which is what three groups of these sizes produce by chance alone. The three assemblages placed by territory rather than by Mainfort’s phase assignments are excluded from this score, since measuring a geographic rule against geography would be circular.</w:t>
      </w:r>
    </w:p>
    <w:p>
      <w:pPr>
        <w:pStyle w:val="CaptionedFigure"/>
      </w:pPr>
      <w:r>
        <w:drawing>
          <wp:inline>
            <wp:extent cx="3412944" cy="2730967"/>
            <wp:effectExtent b="0" l="0" r="0" t="0"/>
            <wp:docPr descr="Figure 5.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composition transforms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34" name="Picture"/>
            <a:graphic>
              <a:graphicData uri="http://schemas.openxmlformats.org/drawingml/2006/picture">
                <pic:pic>
                  <pic:nvPicPr>
                    <pic:cNvPr descr="../../figures/fig14_phase_recovery.png" id="135" name="Picture"/>
                    <pic:cNvPicPr>
                      <a:picLocks noChangeArrowheads="1" noChangeAspect="1"/>
                    </pic:cNvPicPr>
                  </pic:nvPicPr>
                  <pic:blipFill>
                    <a:blip r:embed="rId133"/>
                    <a:stretch>
                      <a:fillRect/>
                    </a:stretch>
                  </pic:blipFill>
                  <pic:spPr bwMode="auto">
                    <a:xfrm>
                      <a:off x="0" y="0"/>
                      <a:ext cx="3412944" cy="273096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composition transforms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Simulated assemblages made by copying with no groups sort into the phases as readily as the real assemblages. We ran the copying model on the real site map 300 times, sampled its type frequencies using the assemblage sherd counts, and clustered each simulated record the same way as the real one (Figure 6). The spatial patterns produced by simulated assemblages match the phases at least as well as the real assemblages do, and usually better. With a quarter weight on assemblage composition, our simulated record agrees with the phases at least as well as the real one (simulated median 1.000, real 0.607), and at equal weight, 74 percent do (median 0.765). Based on type frequencies alone, without considering assemblage location, the real record’s agreement of 0.204 sits at the simulated median of 0.176, and 46 percent of simulated records produce the spatial patterns. A culture historian sorting such ceramic assemblages by resemblance and proximity would almost certainly have found the same phases.</w:t>
      </w:r>
    </w:p>
    <w:p>
      <w:pPr>
        <w:pStyle w:val="CaptionedFigure"/>
      </w:pPr>
      <w:r>
        <w:drawing>
          <wp:inline>
            <wp:extent cx="3272267" cy="2715676"/>
            <wp:effectExtent b="0" l="0" r="0" t="0"/>
            <wp:docPr descr="Figure 6. Would a culture historian have found these phases in ceramic assemblages made by copying with no groups? Agreement with Mainfort’s phase assignments, by adjusted Rand index over the 25 assemblages he assigned, as the weight on decorated-class composition relative to site coordinates varies from the map alone to assemblage type frequencies alone. The line with markers is the real record; the band is the 95 percent range over 300 runs of the neutral copying model, which contains no groups, sampled at the real sherd counts and clustered the same way. The zero-weight point is identical by construction." title="" id="137" name="Picture"/>
            <a:graphic>
              <a:graphicData uri="http://schemas.openxmlformats.org/drawingml/2006/picture">
                <pic:pic>
                  <pic:nvPicPr>
                    <pic:cNvPr descr="../../figures/fig15_phases_under_drift.png" id="138" name="Picture"/>
                    <pic:cNvPicPr>
                      <a:picLocks noChangeArrowheads="1" noChangeAspect="1"/>
                    </pic:cNvPicPr>
                  </pic:nvPicPr>
                  <pic:blipFill>
                    <a:blip r:embed="rId13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Would a culture historian have found these phases in ceramic assemblages made by copying with no groups? Agreement with Mainfort’s phase assignments, by adjusted Rand index over the 25 assemblages he assigned, as the weight on decorated-class composition relative to site coordinates varies from the map alone to assemblage type frequencies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lines between clumps of analyzed assemblages are not separated by areas of empty land. The settlement compilation records 83 sites with a late pre-contact component in the mapped area, and dropping the 28 within a kilometer of an analyzed assemblage leaves 55 whose positions are independent of the original locations. Measured at a 5 km scale, only 37 percent of same-size divisions around random centers and 14 percent of compact ones run through denser late-period settlement than the phase lines do (Figure 7). Of the three scales tested (3, 5, and 8 km), only at 8 km do the phase lines run through emptier country than most. The clumps the phases gather are clumps of sampled sites, not settlements separated by vacant land. Rivers partly explain settlement clumping. Late-period sites lie a median 1.8 km from a major river, against 3.6 km for random points in the same area, but points placed as close to the rivers as the sites are come out randomly spaced (Clark-Evans ratio 0.99 against the sites’ 0.63). Assemblage clumps form on particular reaches of riverways for reasons proximity alone does not explain.</w:t>
      </w:r>
    </w:p>
    <w:p>
      <w:pPr>
        <w:pStyle w:val="CaptionedFigure"/>
      </w:pPr>
      <w:r>
        <w:drawing>
          <wp:inline>
            <wp:extent cx="5238686" cy="3223336"/>
            <wp:effectExtent b="0" l="0" r="0" t="0"/>
            <wp:docPr descr="Figure 7. Do the reconstructed phase boundaries follow gaps in settlement? (A) Density of the 55 late-period sites more than 1 km from any analyzed assemblage (5 km bandwidth), with the assemblages as open circles and the reconstructed phase boundaries (territory edges built as in Figure 1) as points. (B) Median settlement density along the reconstructed phase boundaries (vertical line) against the same quantity for the boundaries of 300 divisions with the phases’ group sizes, around random centers (light) and drawn to be compact (dark)." title="" id="140" name="Picture"/>
            <a:graphic>
              <a:graphicData uri="http://schemas.openxmlformats.org/drawingml/2006/picture">
                <pic:pic>
                  <pic:nvPicPr>
                    <pic:cNvPr descr="../../figures/fig16_settlement_gaps.png" id="141" name="Picture"/>
                    <pic:cNvPicPr>
                      <a:picLocks noChangeArrowheads="1" noChangeAspect="1"/>
                    </pic:cNvPicPr>
                  </pic:nvPicPr>
                  <pic:blipFill>
                    <a:blip r:embed="rId139"/>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Do the reconstructed phase boundaries follow gaps in settlement? (A) Density of the 55 late-period sites more than 1 km from any analyzed assemblage (5 km bandwidth), with the assemblages as open circles and the reconstructed phase boundaries (territory edges built as in Figure 1) as points. (B) Median settlement density along the reconstructed phase boundaries (vertical line) against the same quantity for the boundaries of 300 divisions with the phases’ group sizes, around random centers (light) and drawn to be compact (dark).</w:t>
      </w:r>
    </w:p>
    <w:bookmarkEnd w:id="142"/>
    <w:bookmarkStart w:id="149" w:name="does-the-parkin-phase-stand-apart"/>
    <w:p>
      <w:pPr>
        <w:pStyle w:val="Heading3"/>
      </w:pPr>
      <w:r>
        <w:t xml:space="preserve">Does the Parkin phase stand apart?</w:t>
      </w:r>
    </w:p>
    <w:p>
      <w:pPr>
        <w:pStyle w:val="FirstParagraph"/>
      </w:pPr>
      <w:r>
        <w:t xml:space="preserve">The Parkin phase is, to the site, the northern of the two spatial clusters the site layout supports: the division of the basin into the Parkin phase and the rest is identical to the two-cluster division (adjusted Rand index 1.000). Its difference from the rest of the basin is therefore the two-cluster difference of Table 1, cultural</w:t>
      </w:r>
      <w:r>
        <w:t xml:space="preserve"> </w:t>
      </w:r>
      <m:oMath>
        <m:sSub>
          <m:e>
            <m:r>
              <m:t>F</m:t>
            </m:r>
          </m:e>
          <m:sub>
            <m:r>
              <m:t>S</m:t>
            </m:r>
            <m:r>
              <m:t>T</m:t>
            </m:r>
          </m:sub>
        </m:sSub>
      </m:oMath>
      <w:r>
        <w:t xml:space="preserve"> </w:t>
      </w:r>
      <w:r>
        <w:t xml:space="preserve">0.0062, which the copying model reaches in 13 percent of runs at the most favorable combination and 4 to 16 percent across the six. Of all the divisions tested, the one that sets the Parkin phase apart is the one the copying model reproduces most easily, partly because a division into two large groups yields a smaller</w:t>
      </w:r>
      <w:r>
        <w:t xml:space="preserve"> </w:t>
      </w:r>
      <m:oMath>
        <m:sSub>
          <m:e>
            <m:r>
              <m:t>F</m:t>
            </m:r>
          </m:e>
          <m:sub>
            <m:r>
              <m:t>S</m:t>
            </m:r>
            <m:r>
              <m:t>T</m:t>
            </m:r>
          </m:sub>
        </m:sSub>
      </m:oMath>
      <w:r>
        <w:t xml:space="preserve">.</w:t>
      </w:r>
    </w:p>
    <w:p>
      <w:pPr>
        <w:pStyle w:val="BodyText"/>
      </w:pPr>
      <w:r>
        <w:t xml:space="preserve">Alternative divisions separate the assemblages as well. With the uncertainty in the counts carried through, the Parkin-versus-rest</w:t>
      </w:r>
      <w:r>
        <w:t xml:space="preserve"> </w:t>
      </w:r>
      <m:oMath>
        <m:sSub>
          <m:e>
            <m:r>
              <m:t>F</m:t>
            </m:r>
          </m:e>
          <m:sub>
            <m:r>
              <m:t>S</m:t>
            </m:r>
            <m:r>
              <m:t>T</m:t>
            </m:r>
          </m:sub>
        </m:sSub>
      </m:oMath>
      <w:r>
        <w:t xml:space="preserve"> </w:t>
      </w:r>
      <w:r>
        <w:t xml:space="preserve">has a posterior median of 0.0061 (95 percent credible interval 0.0051 to 0.0074), against 0.0064 for same-size divisions around random centers and 0.0076 for compact ones. The posterior probability that the Parkin line separates the assemblages better is 0.27 against divisions around random centers and 0.00025 against compact ones, the second from 10 favorable comparisons among 40,000. The step in similarity across the Parkin line, a boundary excess of +13.7, exceeds what copying alone produces (simulated median +0.5, 95 percent range -6.5 to +7.5; none of 300 runs reaches it), but it is the same shorter-range variation seen at arbitrary lines drawn across this map. Around random centers, the median is +10.7 and the posterior probability that the Parkin line shows more is 0.53; for compact divisions, the median is +15.1, and the probability is 0.05. The assemblage composition sets the Parkin phase apart from its neighbors no more than it sets apart any comparably sized piece of the basin. This comparison has little power for a single line, however. In simulations with copying across the Parkin phase’s edge cut to 3 percent, the Parkin line beats a median 72 percent of random-center divisions, against 64 percent with no restriction, and a score as low as the real one (28 percent) occurs in 10 and 16 percent of simulated records. The record therefore cannot exclude restricted copying at the edge of the Parkin phase. However, the assemblage composition shows nothing that requires it.</w:t>
      </w:r>
    </w:p>
    <w:p>
      <w:pPr>
        <w:pStyle w:val="BodyText"/>
      </w:pPr>
      <w:r>
        <w:t xml:space="preserve">Two further descriptions of the basin place Parkin in context, although neither is a test. Deterministic seriation of the basin assemblages returns 34 maximal co-seriable groups at a continuity threshold of 0.1, none larger than four assemblages, and 18 of the 28 assemblages belong to more than one (Figure 8). Overlapping orderings of this kind are what a continuous field too varied to fit one ordering would produce, but the recovery experiment showed that seriation structure cannot detect imposed groups at this resolution, and we have not validated the overlap statistic separately, so the overlap is consistent with the absence of closure rather than evidence against it. Parkin belongs to three groups, a bridge between orderings but not the most connected one: Barton Ranch, Rose Mound, and Williamson each belong to six. Lipo, Madsen, and Dunnell</w:t>
      </w:r>
      <w:r>
        <w:t xml:space="preserve"> </w:t>
      </w:r>
      <w:r>
        <w:t xml:space="preserve">(2015)</w:t>
      </w:r>
      <w:r>
        <w:t xml:space="preserve"> </w:t>
      </w:r>
      <w:r>
        <w:t xml:space="preserve">found the same position and read it as a possible sign of emerging hierarchy.</w:t>
      </w:r>
    </w:p>
    <w:p>
      <w:pPr>
        <w:pStyle w:val="CaptionedFigure"/>
      </w:pPr>
      <w:r>
        <w:drawing>
          <wp:inline>
            <wp:extent cx="5334000" cy="3603744"/>
            <wp:effectExtent b="0" l="0" r="0" t="0"/>
            <wp:docPr descr="Figure 8.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he overlap statistic is descriptive; it has not been validated as a detector of closure (Supplemental Text)." title="" id="144" name="Picture"/>
            <a:graphic>
              <a:graphicData uri="http://schemas.openxmlformats.org/drawingml/2006/picture">
                <pic:pic>
                  <pic:nvPicPr>
                    <pic:cNvPr descr="../../figures/fig7_idss_structure.png" id="145" name="Picture"/>
                    <pic:cNvPicPr>
                      <a:picLocks noChangeArrowheads="1" noChangeAspect="1"/>
                    </pic:cNvPicPr>
                  </pic:nvPicPr>
                  <pic:blipFill>
                    <a:blip r:embed="rId143"/>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The overlap statistic is descriptive; it has not been validated as a detector of closure (Supplemental Text).</w:t>
      </w:r>
    </w:p>
    <w:p>
      <w:pPr>
        <w:pStyle w:val="BodyText"/>
      </w:pPr>
      <w:r>
        <w:t xml:space="preserve">The settlement record is the second description.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9). Parkin’s height comes from excavation reports, whereas the others come from a regional compilation without per-site sources, so the series mixes measurement sources. Mound heights form a graded series with no gap at the top. Maximum mound height is a limited proxy for political rank: it records the final size of one construction, not the organization that built it, and a graded series is compatible with more than one form of ranking, so it describes the settlement record without testing for an administrative tier. Regional evidence on the chert-hoe economy is similar in kind: autonomous workshops made Mill Creek hoes at the source and moved them largely down the line, with elites at consuming centers gaining at most privileged access</w:t>
      </w:r>
      <w:r>
        <w:t xml:space="preserve"> </w:t>
      </w:r>
      <w:r>
        <w:t xml:space="preserve">(Cobb 2000:75, 154, 198)</w:t>
      </w:r>
      <w:r>
        <w:t xml:space="preserve">. That evidence is not specific to the basin and cannot test Parkin’s position locally.</w:t>
      </w:r>
    </w:p>
    <w:p>
      <w:pPr>
        <w:pStyle w:val="CaptionedFigure"/>
      </w:pPr>
      <w:r>
        <w:drawing>
          <wp:inline>
            <wp:extent cx="5334000" cy="3332419"/>
            <wp:effectExtent b="0" l="0" r="0" t="0"/>
            <wp:docPr descr="Figure 9. Settlement cross-check. Main panel: maximum mound height ranked across the basin, the one size attribute the regional compilation records for most sites, from sources that are not uniform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Inset: the proportion of sites with a mound, a defensive ditch, and St. Francis-type fortification across the basin set (n = 92)." title="" id="147" name="Picture"/>
            <a:graphic>
              <a:graphicData uri="http://schemas.openxmlformats.org/drawingml/2006/picture">
                <pic:pic>
                  <pic:nvPicPr>
                    <pic:cNvPr descr="../../figures/fig8_ranksize.png" id="148" name="Picture"/>
                    <pic:cNvPicPr>
                      <a:picLocks noChangeArrowheads="1" noChangeAspect="1"/>
                    </pic:cNvPicPr>
                  </pic:nvPicPr>
                  <pic:blipFill>
                    <a:blip r:embed="rId146"/>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Settlement cross-check. Main panel: maximum mound height ranked across the basin, the one size attribute the regional compilation records for most sites, from sources that are not uniform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Inset: the proportion of sites with a mound, a defensive ditch, and St. Francis-type fortification across the basin set (n = 92).</w:t>
      </w:r>
    </w:p>
    <w:bookmarkEnd w:id="149"/>
    <w:bookmarkStart w:id="153" w:name="Xce48efa02f9f01a7c86a1a47c6ec564e4606c3d"/>
    <w:p>
      <w:pPr>
        <w:pStyle w:val="Heading3"/>
      </w:pPr>
      <w:r>
        <w:t xml:space="preserve">The contrast case: phases redrawn from the assemblages</w:t>
      </w:r>
    </w:p>
    <w:p>
      <w:pPr>
        <w:pStyle w:val="FirstParagraph"/>
      </w:pPr>
      <w:r>
        <w:t xml:space="preserve">Mainfort</w:t>
      </w:r>
      <w:r>
        <w:t xml:space="preserve"> </w:t>
      </w:r>
      <w:r>
        <w:t xml:space="preserve">(2003)</w:t>
      </w:r>
      <w:r>
        <w:t xml:space="preserve"> </w:t>
      </w:r>
      <w:r>
        <w:t xml:space="preserve">redrew the phase lines through much the same sites using an ordination approach. He adopted Smith’s</w:t>
      </w:r>
      <w:r>
        <w:t xml:space="preserve"> </w:t>
      </w:r>
      <w:r>
        <w:t xml:space="preserve">(1990)</w:t>
      </w:r>
      <w:r>
        <w:t xml:space="preserve"> </w:t>
      </w:r>
      <w:r>
        <w:t xml:space="preserve">Horseshoe Lake phase, which gathers Beck, Belle Meade, Mound Place, and Young</w:t>
      </w:r>
      <w:r>
        <w:t xml:space="preserve"> </w:t>
      </w:r>
      <w:r>
        <w:t xml:space="preserve">(Mainfort 2003:177)</w:t>
      </w:r>
      <w:r>
        <w:t xml:space="preserve">, and his table also places Hollywood and Commerce in Kent rather than Walls, Castile Landing in Parkin rather than Kent, and Carson Lake in Walls rather than Nodena, although his text treats Carson Lake as a Nodena site</w:t>
      </w:r>
      <w:r>
        <w:t xml:space="preserve"> </w:t>
      </w:r>
      <w:r>
        <w:t xml:space="preserve">(Mainfort 2003:176–181)</w:t>
      </w:r>
      <w:r>
        <w:t xml:space="preserve">. His scheme is our contrast case.</w:t>
      </w:r>
    </w:p>
    <w:p>
      <w:pPr>
        <w:pStyle w:val="BodyText"/>
      </w:pPr>
      <w:r>
        <w:t xml:space="preserve">We ran the phase-line tests on Mainfort’s own counts, using decorated types only and his assignments, with a minimum of 100 decorated sherds. The resulting 29 sites fall in five phases: Kent with 9 sites, Parkin with 7, Walls with 6, Horseshoe Lake with 4, and Jones Bayou with 3 (Figure 10). His table shares collections with ours at 21 sites, so this is a second tally of largely the same material rather than an independent record.</w:t>
      </w:r>
    </w:p>
    <w:p>
      <w:pPr>
        <w:pStyle w:val="BodyText"/>
      </w:pPr>
      <w:r>
        <w:t xml:space="preserve">Location again carries much of the scheme. The site map alone produces the phases as indicated by Mainfort’s assignments, with an adjusted Rand index of 0.54; assemblage-type frequencies alone, 0.25; and same-size divisions around random centers, 0.31. Mainfort’s phase delineation, however, separates the assemblages better than the earlier scheme. The between-group</w:t>
      </w:r>
      <w:r>
        <w:t xml:space="preserve"> </w:t>
      </w:r>
      <m:oMath>
        <m:sSub>
          <m:e>
            <m:r>
              <m:t>F</m:t>
            </m:r>
          </m:e>
          <m:sub>
            <m:r>
              <m:t>S</m:t>
            </m:r>
            <m:r>
              <m:t>T</m:t>
            </m:r>
          </m:sub>
        </m:sSub>
      </m:oMath>
      <w:r>
        <w:t xml:space="preserve"> </w:t>
      </w:r>
      <w:r>
        <w:t xml:space="preserve">under his phases has a posterior median of 0.046 (95 percent credible interval 0.041 to 0.051), against 0.030 for same-size divisions around random centers and 0.032 for compact ones, and the posterior probability that his delineations separate the assemblages better than such a division is 0.96 and 0.94. The compactness search never produces his groups, and giving composition half the weight of the coordinates raises the agreement with his scheme to 0.66, above the map alone. At six of the seven sites the two schemes assign differently, the assemblage data align better with Mainfort’s assignment, usually by a wide margin. The Young site, however, is the exception (Supplemental Text).</w:t>
      </w:r>
    </w:p>
    <w:p>
      <w:pPr>
        <w:pStyle w:val="BodyText"/>
      </w:pPr>
      <w:r>
        <w:t xml:space="preserve">The two schemes behave as their origins predict. The inherited lines divide the map, whereas Mainfort’s lines fall where the assemblages differ. The two schemes also disagree about where the boundaries are, which is not what bounded groups would produce. The contrast neither shows that Mainfort’s phases are bounded groups nor independently validates the comparison, since location still recovers much of his scheme and his lines separate the assemblages in part because the assemblages drew them. What the contrast shows is that phase lines follow the pottery when the pottery draws them, and that the inherited scheme was not drawn that way.</w:t>
      </w:r>
    </w:p>
    <w:p>
      <w:pPr>
        <w:pStyle w:val="CaptionedFigure"/>
      </w:pPr>
      <w:r>
        <w:drawing>
          <wp:inline>
            <wp:extent cx="5334000" cy="2684917"/>
            <wp:effectExtent b="0" l="0" r="0" t="0"/>
            <wp:docPr descr="Figure 10. The contrast case: the phase tests on Mainfort’s (2003) table, under his phases. (A) Agreement with his assignments, by adjusted Rand index over the 29 sites with at least 100 decorated sherds, for clusterings on site coordinates and decorated-class composition as the weight on composition varies from the map alone to assemblage composition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51" name="Picture"/>
            <a:graphic>
              <a:graphicData uri="http://schemas.openxmlformats.org/drawingml/2006/picture">
                <pic:pic>
                  <pic:nvPicPr>
                    <pic:cNvPr descr="../../figures/fig17_mainfort_replication.png" id="152" name="Picture"/>
                    <pic:cNvPicPr>
                      <a:picLocks noChangeArrowheads="1" noChangeAspect="1"/>
                    </pic:cNvPicPr>
                  </pic:nvPicPr>
                  <pic:blipFill>
                    <a:blip r:embed="rId150"/>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contrast case: the phase tests on Mainfort’s (2003) table, under his phases. (A) Agreement with his assignments, by adjusted Rand index over the 29 sites with at least 100 decorated sherds, for clusterings on site coordinates and decorated-class composition as the weight on composition varies from the map alone to assemblage composition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53"/>
    <w:bookmarkEnd w:id="154"/>
    <w:bookmarkStart w:id="159" w:name="discussion"/>
    <w:p>
      <w:pPr>
        <w:pStyle w:val="Heading2"/>
      </w:pPr>
      <w:r>
        <w:t xml:space="preserve">Discussion</w:t>
      </w:r>
    </w:p>
    <w:bookmarkStart w:id="155" w:name="what-explains-the-phases"/>
    <w:p>
      <w:pPr>
        <w:pStyle w:val="Heading3"/>
      </w:pPr>
      <w:r>
        <w:t xml:space="preserve">What explains the phases</w:t>
      </w:r>
    </w:p>
    <w:p>
      <w:pPr>
        <w:pStyle w:val="FirstParagraph"/>
      </w:pPr>
      <w:r>
        <w:t xml:space="preserve">The results bear on three different kinds of claim, and they support each to a different degree. The first is descriptive adequacy: a smooth surface over the map describes the variation among assemblages well, and calibrated copying with no groups reproduces the fade of similarity with distance and the two-cluster difference. The second is mechanism. Spatially structured copying is sufficient to produce the inherited scheme: the site map alone reproduces the phase assignments, and assemblages made by copying with no groups sort into the same phases. Sufficiency does not identify the historical mechanism, and the finer-scale variation discussed below is explained only in part. The third is boundary evidence, whether the phase lines mark restrictions on copying. Here the result is negative but bounded. Alternative spatial divisions of the same sites capture as much or more of the ceramic differentiation than the phase lines do. In simulation at the calibrated combination, a restriction that cuts copying at the lines to a small fraction of its strength usually reverses that ordering, but the real score is also uncommon without any restriction, and the separation is smaller at other combinations, so the comparison weighs moderately against a strong restriction and cannot exclude a weak one.</w:t>
      </w:r>
    </w:p>
    <w:p>
      <w:pPr>
        <w:pStyle w:val="BodyText"/>
      </w:pPr>
      <w:r>
        <w:t xml:space="preserve">The culture historians who drew the phases were responding to something real, a gradient in style sampled at clumped settlements. The assemblages give no evidence that the lines they drew were also edges of bounded learning.</w:t>
      </w:r>
    </w:p>
    <w:p>
      <w:pPr>
        <w:pStyle w:val="BodyText"/>
      </w:pPr>
      <w:r>
        <w:t xml:space="preserve">This accounts for the pattern Mainfort</w:t>
      </w:r>
      <w:r>
        <w:t xml:space="preserve"> </w:t>
      </w:r>
      <w:r>
        <w:t xml:space="preserve">(2003:180)</w:t>
      </w:r>
      <w:r>
        <w:t xml:space="preserve"> </w:t>
      </w:r>
      <w:r>
        <w:t xml:space="preserve">reported without being able to explain it: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assemblages. His own redrawn phases make the same point from the other side: drawn after the ordination, they sit where the assemblages differ and no longer form the map’s tightest division. The two schemes are one gradient viewed in two ways, once by proximity and once by the assemblages. The redrawn scheme also shows that the same tests can favor a set of phase lines, so the inherited scheme’s failure is not built into them. A phase also folds time into space. McNutt, Franklin, and Henry</w:t>
      </w:r>
      <w:r>
        <w:t xml:space="preserve"> </w:t>
      </w:r>
      <w:r>
        <w:t xml:space="preserve">(2012:247)</w:t>
      </w:r>
      <w:r>
        <w:t xml:space="preserve"> </w:t>
      </w:r>
      <w:r>
        <w:t xml:space="preserve">describe the Walls phase as</w:t>
      </w:r>
      <w:r>
        <w:t xml:space="preserve"> </w:t>
      </w:r>
      <w:r>
        <w:t xml:space="preserve">“a developmental lineage”</w:t>
      </w:r>
      <w:r>
        <w:t xml:space="preserve"> </w:t>
      </w:r>
      <w:r>
        <w:t xml:space="preserve">spanning roughly two centuries, so the members of a phase need not even be contemporaneous. The reading is not new to the regional literature. McNutt</w:t>
      </w:r>
      <w:r>
        <w:t xml:space="preserve"> </w:t>
      </w:r>
      <w:r>
        <w:t xml:space="preserve">(1996:250)</w:t>
      </w:r>
      <w:r>
        <w:t xml:space="preserve"> </w:t>
      </w:r>
      <w:r>
        <w:t xml:space="preserve">wrote of the southern phases, Walls, Horseshoe Lake, Kent, and Parchman among them, that</w:t>
      </w:r>
      <w:r>
        <w:t xml:space="preserve"> </w:t>
      </w:r>
      <w:r>
        <w:t xml:space="preserve">“the distinctions that one tries so desperately to make between the phases involved are little more than comments on local elaborations—ceramic drift, if you will—of the basic pottery complexes possessed by peoples involved in this expansion.”</w:t>
      </w:r>
      <w:r>
        <w:t xml:space="preserve"> </w:t>
      </w:r>
      <w:r>
        <w:t xml:space="preserve">The comparison adds a mechanism shown to be sufficient, and tests of whether the Parkin, Kent, and Walls phase lines behave as edges of bounded learning.</w:t>
      </w:r>
    </w:p>
    <w:p>
      <w:pPr>
        <w:pStyle w:val="BodyText"/>
      </w:pPr>
      <w:r>
        <w:t xml:space="preserve">The assemblages carry one property the calibrated copying model does not produce. They vary over shorter distances than calibrated copying would, so divisions into three or more groups differ more than the model predicts, and every line drawn across the map shows a step in similarity. That variation is not organized by the phase lines or centered on Parkin, and it remains incompletely explained. New styles arising somewhat locally and copying that falls off over a few kilometers both make the observed differences more common in simulation while keeping the record’s diversity matched (Table 2). Both are still neutral copying and both are themselves geographic, but we treat them as mechanisms the record is consistent with rather than ones it demonstrates. Part of the variation may also be chronological, a matter of age that an order derived from the same frequencies cannot separate from place.</w:t>
      </w:r>
    </w:p>
    <w:bookmarkEnd w:id="155"/>
    <w:bookmarkStart w:id="156" w:name="parkin-and-the-polity"/>
    <w:p>
      <w:pPr>
        <w:pStyle w:val="Heading3"/>
      </w:pPr>
      <w:r>
        <w:t xml:space="preserve">Parkin and the polity</w:t>
      </w:r>
    </w:p>
    <w:p>
      <w:pPr>
        <w:pStyle w:val="FirstParagraph"/>
      </w:pPr>
      <w:r>
        <w:t xml:space="preserve">Parkin was the basin’s largest town and had one of its tallest mounds, and its prominence was real. The decorated-type frequencies, however, do not show a boundary in ceramic learning at the edge of the Parkin phase. The phase is the northern of the two clusters the regional map supports, its difference from the rest of the basin is the one the copying model reproduces most easily, and alternative divisions separate the assemblages as well as its boundary does. Because a single line gives these comparisons little power, restricted copying at the phase’s edge cannot be excluded, but nothing in the frequencies requires it.</w:t>
      </w:r>
    </w:p>
    <w:p>
      <w:pPr>
        <w:pStyle w:val="BodyText"/>
      </w:pPr>
      <w:r>
        <w:t xml:space="preserve">The arguments usually offered for a Parkin polity do not supply the missing signal. The argument that Parkin, on poor soil, must have drawn tribute from productive neighbors</w:t>
      </w:r>
      <w:r>
        <w:t xml:space="preserve"> </w:t>
      </w:r>
      <w:r>
        <w:t xml:space="preserve">(Phyllis A. Morse 1990:124)</w:t>
      </w:r>
      <w:r>
        <w:t xml:space="preserve"> </w:t>
      </w:r>
      <w:r>
        <w:t xml:space="preserve">assumes the tribute it concludes, and Morse</w:t>
      </w:r>
      <w:r>
        <w:t xml:space="preserve"> </w:t>
      </w:r>
      <w:r>
        <w:t xml:space="preserve">(1990:123)</w:t>
      </w:r>
      <w:r>
        <w:t xml:space="preserve"> </w:t>
      </w:r>
      <w:r>
        <w:t xml:space="preserve">also notes that Parkin’s position below the confluence of the St. Francis and Tyronza gave it control of river travel, which accounts for its prominence as well as extraction does. Skeletal evidence that people at a mound center ate better than people at a nearby village comes from Hollywood, one of the assemblages analyzed here. Compared with a village of fourteen individuals</w:t>
      </w:r>
      <w:r>
        <w:t xml:space="preserve"> </w:t>
      </w:r>
      <w:r>
        <w:t xml:space="preserve">(Ross-Stallings 2017)</w:t>
      </w:r>
      <w:r>
        <w:t xml:space="preserve">, a health difference between two sites need not arise from an extractive hierarchy. The region’s own history also offers a precedent for separating polity from a ceramically defined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If the polity the De Soto expedition met was at Parkin, the evidence for it lies in ceremony, fortification, and settlement size. The decorated pottery is silent on it rather than evidence against it.</w:t>
      </w:r>
    </w:p>
    <w:bookmarkEnd w:id="156"/>
    <w:bookmarkStart w:id="157" w:name="limits"/>
    <w:p>
      <w:pPr>
        <w:pStyle w:val="Heading3"/>
      </w:pPr>
      <w:r>
        <w:t xml:space="preserve">Limits</w:t>
      </w:r>
    </w:p>
    <w:p>
      <w:pPr>
        <w:pStyle w:val="FirstParagraph"/>
      </w:pPr>
      <w:r>
        <w:t xml:space="preserve">Four limits bound these conclusions. The first is resolution. On a record of this size, only cultural</w:t>
      </w:r>
      <w:r>
        <w:t xml:space="preserve"> </w:t>
      </w:r>
      <m:oMath>
        <m:sSub>
          <m:e>
            <m:r>
              <m:t>F</m:t>
            </m:r>
          </m:e>
          <m:sub>
            <m:r>
              <m:t>S</m:t>
            </m:r>
            <m:r>
              <m:t>T</m:t>
            </m:r>
          </m:sub>
        </m:sSub>
      </m:oMath>
      <w:r>
        <w:t xml:space="preserve"> </w:t>
      </w:r>
      <w:r>
        <w:t xml:space="preserve">can detect groups, and only groups that follow geography closely enough to be captured by spatial divisions; social divisions that cut across the map could raise</w:t>
      </w:r>
      <w:r>
        <w:t xml:space="preserve"> </w:t>
      </w:r>
      <m:oMath>
        <m:sSub>
          <m:e>
            <m:r>
              <m:t>F</m:t>
            </m:r>
          </m:e>
          <m:sub>
            <m:r>
              <m:t>S</m:t>
            </m:r>
            <m:r>
              <m:t>T</m:t>
            </m:r>
          </m:sub>
        </m:sSub>
      </m:oMath>
      <w:r>
        <w:t xml:space="preserve"> </w:t>
      </w:r>
      <w:r>
        <w:t xml:space="preserve">at spatial divisions without being identified as groups, and closure carried purely by conformity within one pool would escape detection (Supplemental Text). The second is chronology. Radiocarbon dates match only four assemblages, and the seriation axis follows latitude more closely than age. The phase-line tests do not depend on it, and the copying-model comparison gives nearly the same answer when all assemblages are treated as contemporaneous, but the record cannot say whether any difference grew through time; within its limits, it shows none (Supplemental Text). The third is time-averaging, which damps differences between assemblages</w:t>
      </w:r>
      <w:r>
        <w:t xml:space="preserve"> </w:t>
      </w:r>
      <w:r>
        <w:t xml:space="preserve">(Kidwell and Tomašových 2013; Perreault 2018; Tomašových and Kidwell 2009; Youngblood et al. 2023)</w:t>
      </w:r>
      <w:r>
        <w:t xml:space="preserve">. We built it into the copying model, so its cost is already in the reported ranges. The fourth is the copying model itself. Which combination is most favorable to it depends on the random seeds used to rank them, so we report the key comparisons across six (Table 1). The model distinguishes a copying boundary at the phase lines from new styles arising locally only weakly, so the conclusion about the phases rests on how their lines compare with other divisions of the map and what could have drawn them, rather than on the model’s failure to find restricted copying.</w:t>
      </w:r>
    </w:p>
    <w:bookmarkEnd w:id="157"/>
    <w:bookmarkStart w:id="158" w:name="X58aa97846e4267ccd885b870dbd88e44a706276"/>
    <w:p>
      <w:pPr>
        <w:pStyle w:val="Heading3"/>
      </w:pPr>
      <w:r>
        <w:t xml:space="preserve">What this approach contributes to the study of social units</w:t>
      </w:r>
    </w:p>
    <w:p>
      <w:pPr>
        <w:pStyle w:val="FirstParagraph"/>
      </w:pPr>
      <w:r>
        <w:t xml:space="preserve">Our approach rests on two requirements that apply beyond this case. Before treating a similarity pattern as the result of differential social interaction, the record must be shown able to detect a social boundary. Here, we show that</w:t>
      </w:r>
      <w:r>
        <w:t xml:space="preserve"> </w:t>
      </w:r>
      <m:oMath>
        <m:sSub>
          <m:e>
            <m:r>
              <m:t>F</m:t>
            </m:r>
          </m:e>
          <m:sub>
            <m:r>
              <m:t>S</m:t>
            </m:r>
            <m:r>
              <m:t>T</m:t>
            </m:r>
          </m:sub>
        </m:sSub>
      </m:oMath>
      <w:r>
        <w:t xml:space="preserve"> </w:t>
      </w:r>
      <w:r>
        <w:t xml:space="preserve">is the one measure of four that can do this with assemblage-scale data that includes time aggregation. Before a model of copying with no groups is credited with reproducing a record, it must be shown to fit that record’s own diversity. The second requirement changed our own results: calibrated, the model is narrower than an uncalibrated one and shows the shorter-range variation it misses. A model that is run at the wrong diversity is easily credited with structure it cannot produce, just as a localized neutral process is easily mistaken for biased copying when diversity is taken at face value</w:t>
      </w:r>
      <w:r>
        <w:t xml:space="preserve"> </w:t>
      </w:r>
      <w:r>
        <w:t xml:space="preserve">(Premo 2016; Premo and Scholnick 2011; Schneider et al. 2016)</w:t>
      </w:r>
      <w:r>
        <w:t xml:space="preserve">. Our approach also asks a question ordination alone cannot. We ask not whether the phases separate, but whether their delineations separate the assemblages better than other lines drawn across the same map. These are standards of measurement for an evolutionary archaeology that has long been clearer about what evolves than about how to measure it</w:t>
      </w:r>
      <w:r>
        <w:t xml:space="preserve"> </w:t>
      </w:r>
      <w:r>
        <w:t xml:space="preserve">(Dunnell 1995; Lipo et al. 2015; Neiman 1995)</w:t>
      </w:r>
      <w:r>
        <w:t xml:space="preserve">.</w:t>
      </w:r>
    </w:p>
    <w:p>
      <w:pPr>
        <w:pStyle w:val="BodyText"/>
      </w:pPr>
      <w:r>
        <w:t xml:space="preserve">For the St. Francis Basin assemblages, the shorter-range variation and Parkin’s role would be better tested on stratified, excavated assemblages with independent radiocarbon dates, on compositional and petrographic evidence for where assemblages were made, and on exchange, mortuary, and dietary records</w:t>
      </w:r>
      <w:r>
        <w:t xml:space="preserve"> </w:t>
      </w:r>
      <w:r>
        <w:t xml:space="preserve">(Cobb 2000; Ross-Stallings 2017)</w:t>
      </w:r>
      <w:r>
        <w:t xml:space="preserve">.</w:t>
      </w:r>
    </w:p>
    <w:bookmarkEnd w:id="158"/>
    <w:bookmarkEnd w:id="159"/>
    <w:bookmarkStart w:id="160" w:name="conclusion"/>
    <w:p>
      <w:pPr>
        <w:pStyle w:val="Heading2"/>
      </w:pPr>
      <w:r>
        <w:t xml:space="preserve">Conclusion</w:t>
      </w:r>
    </w:p>
    <w:p>
      <w:pPr>
        <w:pStyle w:val="FirstParagraph"/>
      </w:pPr>
      <w:r>
        <w:t xml:space="preserve">The phase is the unit on which Lower Mississippi Valley culture history is built, and it often carries an unstated claim: that assemblages grouped by seriation and proximity record a community, and at Parkin, a polity. Earlier work showed that the phases do not separate cleanly. This paper tests whether the inherited phases of the St. Francis basin coincide with restrictions on the copying of decorated pottery, and offers an explanation for their apparent organization. The inherited phases do not uniquely capture the decorated-ceramic differentiation of the basin. A regional map of deposit locations alone recovers them, alternative spatial divisions of the same sites capture as much or more of the differentiation, and pottery made by copying with no groups sorts into the same phases. Phases redrawn from an ordination of the assemblages behave differently, following the pottery rather than the map, which is the contrast this explanation predicts. Spatially structured copying, sampled at clumped settlements and sorted by resemblance and proximity, is therefore a sufficient and plausible account of how the phases came to look like groups.</w:t>
      </w:r>
    </w:p>
    <w:p>
      <w:pPr>
        <w:pStyle w:val="BodyText"/>
      </w:pPr>
      <w:r>
        <w:t xml:space="preserve">These results weaken the use of phase membership alone as evidence of bounded ceramic interaction communities. They do not exclude a Parkin polity, whose political boundaries need not have followed ceramic traditions, nor weak restrictions on copying at the phase lines, and the additional variation at finer scales remains incompletely explained. Before a phase is interpreted as a bounded community, its frequencies should show what copying across distance does not produce, and its lines should separate the assemblages better than other lines drawn across the same map.</w:t>
      </w:r>
    </w:p>
    <w:bookmarkEnd w:id="160"/>
    <w:bookmarkStart w:id="16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decorated-ceramic class counts, georeferencing and radiocarbon data, the full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61"/>
    <w:bookmarkStart w:id="274" w:name="references"/>
    <w:p>
      <w:pPr>
        <w:pStyle w:val="Heading2"/>
      </w:pPr>
      <w:r>
        <w:t xml:space="preserve">References</w:t>
      </w:r>
    </w:p>
    <w:bookmarkStart w:id="273" w:name="refs"/>
    <w:bookmarkStart w:id="16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2"/>
    <w:bookmarkStart w:id="163"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3"/>
    <w:bookmarkStart w:id="164"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64"/>
    <w:bookmarkStart w:id="166"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5">
        <w:r>
          <w:rPr>
            <w:rStyle w:val="Hyperlink"/>
          </w:rPr>
          <w:t xml:space="preserve">https://doi.org/10.2307/3557066</w:t>
        </w:r>
      </w:hyperlink>
      <w:r>
        <w:t xml:space="preserve">.</w:t>
      </w:r>
    </w:p>
    <w:bookmarkEnd w:id="166"/>
    <w:bookmarkStart w:id="16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7">
        <w:r>
          <w:rPr>
            <w:rStyle w:val="Hyperlink"/>
          </w:rPr>
          <w:t xml:space="preserve">https://doi.org/10.1073/pnas.0903232106</w:t>
        </w:r>
      </w:hyperlink>
      <w:r>
        <w:t xml:space="preserve">.</w:t>
      </w:r>
    </w:p>
    <w:bookmarkEnd w:id="168"/>
    <w:bookmarkStart w:id="17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9">
        <w:r>
          <w:rPr>
            <w:rStyle w:val="Hyperlink"/>
          </w:rPr>
          <w:t xml:space="preserve">https://doi.org/10.1098/rspb.2004.2746</w:t>
        </w:r>
      </w:hyperlink>
      <w:r>
        <w:t xml:space="preserve">.</w:t>
      </w:r>
    </w:p>
    <w:bookmarkEnd w:id="170"/>
    <w:bookmarkStart w:id="172"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1">
        <w:r>
          <w:rPr>
            <w:rStyle w:val="Hyperlink"/>
          </w:rPr>
          <w:t xml:space="preserve">https://doi.org/10.2307/2694206</w:t>
        </w:r>
      </w:hyperlink>
      <w:r>
        <w:t xml:space="preserve">.</w:t>
      </w:r>
    </w:p>
    <w:bookmarkEnd w:id="172"/>
    <w:bookmarkStart w:id="173"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73"/>
    <w:bookmarkStart w:id="174" w:name="ref-carpenter_etal_2017"/>
    <w:p>
      <w:pPr>
        <w:pStyle w:val="Bibliography"/>
      </w:pPr>
      <w:r>
        <w:t xml:space="preserve">Carpenter, Bob, Andrew Gelman, Matthew D. Hoffman, Daniel Lee, Ben Goodrich, Michael Betancourt, Marcus Brubaker, Jiqiang Guo, Peter Li, and Allen Riddell. 2017. Stan: A Probabilistic Programming Language.</w:t>
      </w:r>
      <w:r>
        <w:t xml:space="preserve"> </w:t>
      </w:r>
      <w:r>
        <w:rPr>
          <w:i/>
          <w:iCs/>
        </w:rPr>
        <w:t xml:space="preserve">Journal of Statistical Software</w:t>
      </w:r>
      <w:r>
        <w:t xml:space="preserve"> </w:t>
      </w:r>
      <w:r>
        <w:t xml:space="preserve">76(1):1–32.</w:t>
      </w:r>
    </w:p>
    <w:bookmarkEnd w:id="174"/>
    <w:bookmarkStart w:id="1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75"/>
    <w:bookmarkStart w:id="17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76">
        <w:r>
          <w:rPr>
            <w:rStyle w:val="Hyperlink"/>
          </w:rPr>
          <w:t xml:space="preserve">https://doi.org/10.1007/s10816-022-09599-x</w:t>
        </w:r>
      </w:hyperlink>
      <w:r>
        <w:t xml:space="preserve">.</w:t>
      </w:r>
    </w:p>
    <w:bookmarkEnd w:id="177"/>
    <w:bookmarkStart w:id="179"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78">
        <w:r>
          <w:rPr>
            <w:rStyle w:val="Hyperlink"/>
          </w:rPr>
          <w:t xml:space="preserve">https://doi.org/10.1038/srep39122</w:t>
        </w:r>
      </w:hyperlink>
      <w:r>
        <w:t xml:space="preserve">.</w:t>
      </w:r>
    </w:p>
    <w:bookmarkEnd w:id="179"/>
    <w:bookmarkStart w:id="181"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80">
        <w:r>
          <w:rPr>
            <w:rStyle w:val="Hyperlink"/>
          </w:rPr>
          <w:t xml:space="preserve">https://doi.org/10.2307/279244</w:t>
        </w:r>
      </w:hyperlink>
      <w:r>
        <w:t xml:space="preserve">.</w:t>
      </w:r>
    </w:p>
    <w:bookmarkEnd w:id="181"/>
    <w:bookmarkStart w:id="182"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82"/>
    <w:bookmarkStart w:id="183"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83"/>
    <w:bookmarkStart w:id="18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84">
        <w:r>
          <w:rPr>
            <w:rStyle w:val="Hyperlink"/>
          </w:rPr>
          <w:t xml:space="preserve">https://doi.org/10.1016/j.jaa.2005.08.001</w:t>
        </w:r>
      </w:hyperlink>
      <w:r>
        <w:t xml:space="preserve">.</w:t>
      </w:r>
    </w:p>
    <w:bookmarkEnd w:id="185"/>
    <w:bookmarkStart w:id="18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86">
        <w:r>
          <w:rPr>
            <w:rStyle w:val="Hyperlink"/>
          </w:rPr>
          <w:t xml:space="preserve">https://doi.org/10.1007/s10814-007-9013-z</w:t>
        </w:r>
      </w:hyperlink>
      <w:r>
        <w:t xml:space="preserve">.</w:t>
      </w:r>
    </w:p>
    <w:bookmarkEnd w:id="187"/>
    <w:bookmarkStart w:id="189"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88">
        <w:r>
          <w:rPr>
            <w:rStyle w:val="Hyperlink"/>
          </w:rPr>
          <w:t xml:space="preserve">https://doi.org/10.1073/pnas.2418106121</w:t>
        </w:r>
      </w:hyperlink>
      <w:r>
        <w:t xml:space="preserve">.</w:t>
      </w:r>
    </w:p>
    <w:bookmarkEnd w:id="189"/>
    <w:bookmarkStart w:id="190"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90"/>
    <w:bookmarkStart w:id="191" w:name="ref-gelman_meng_stern_1996"/>
    <w:p>
      <w:pPr>
        <w:pStyle w:val="Bibliography"/>
      </w:pPr>
      <w:r>
        <w:t xml:space="preserve">Gelman, Andrew, Xiao-Li Meng, and Hal Stern. 1996. Posterior Predictive Assessment of Model Fitness via Realized Discrepancies.</w:t>
      </w:r>
      <w:r>
        <w:t xml:space="preserve"> </w:t>
      </w:r>
      <w:r>
        <w:rPr>
          <w:i/>
          <w:iCs/>
        </w:rPr>
        <w:t xml:space="preserve">Statistica Sinica</w:t>
      </w:r>
      <w:r>
        <w:t xml:space="preserve"> </w:t>
      </w:r>
      <w:r>
        <w:t xml:space="preserve">6(4):733–807.</w:t>
      </w:r>
    </w:p>
    <w:bookmarkEnd w:id="191"/>
    <w:bookmarkStart w:id="193"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92">
        <w:r>
          <w:rPr>
            <w:rStyle w:val="Hyperlink"/>
          </w:rPr>
          <w:t xml:space="preserve">https://doi.org/10.1002/arp.1477</w:t>
        </w:r>
      </w:hyperlink>
      <w:r>
        <w:t xml:space="preserve">.</w:t>
      </w:r>
    </w:p>
    <w:bookmarkEnd w:id="193"/>
    <w:bookmarkStart w:id="19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94">
        <w:r>
          <w:rPr>
            <w:rStyle w:val="Hyperlink"/>
          </w:rPr>
          <w:t xml:space="preserve">https://doi.org/10.1525/aa.2001.103.4.992</w:t>
        </w:r>
      </w:hyperlink>
      <w:r>
        <w:t xml:space="preserve">.</w:t>
      </w:r>
    </w:p>
    <w:bookmarkEnd w:id="195"/>
    <w:bookmarkStart w:id="197"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96">
        <w:r>
          <w:rPr>
            <w:rStyle w:val="Hyperlink"/>
          </w:rPr>
          <w:t xml:space="preserve">https://doi.org/10.1016/S1090-5138(98)00018-X</w:t>
        </w:r>
      </w:hyperlink>
      <w:r>
        <w:t xml:space="preserve">.</w:t>
      </w:r>
    </w:p>
    <w:bookmarkEnd w:id="197"/>
    <w:bookmarkStart w:id="198"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98"/>
    <w:bookmarkStart w:id="200"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99">
        <w:r>
          <w:rPr>
            <w:rStyle w:val="Hyperlink"/>
          </w:rPr>
          <w:t xml:space="preserve">https://doi.org/10.1017/aap.2021.10</w:t>
        </w:r>
      </w:hyperlink>
      <w:r>
        <w:t xml:space="preserve">.</w:t>
      </w:r>
    </w:p>
    <w:bookmarkEnd w:id="200"/>
    <w:bookmarkStart w:id="201"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 Carbondale.</w:t>
      </w:r>
    </w:p>
    <w:bookmarkEnd w:id="201"/>
    <w:bookmarkStart w:id="20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02"/>
    <w:bookmarkStart w:id="203" w:name="ref-hubert_arabie_1985"/>
    <w:p>
      <w:pPr>
        <w:pStyle w:val="Bibliography"/>
      </w:pPr>
      <w:r>
        <w:t xml:space="preserve">Hubert, Lawrence, and Phipps Arabie. 1985. Comparing Partitions.</w:t>
      </w:r>
      <w:r>
        <w:t xml:space="preserve"> </w:t>
      </w:r>
      <w:r>
        <w:rPr>
          <w:i/>
          <w:iCs/>
        </w:rPr>
        <w:t xml:space="preserve">Journal of Classification</w:t>
      </w:r>
      <w:r>
        <w:t xml:space="preserve"> </w:t>
      </w:r>
      <w:r>
        <w:t xml:space="preserve">2:193–218.</w:t>
      </w:r>
    </w:p>
    <w:bookmarkEnd w:id="203"/>
    <w:bookmarkStart w:id="204"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04"/>
    <w:bookmarkStart w:id="20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05">
        <w:r>
          <w:rPr>
            <w:rStyle w:val="Hyperlink"/>
          </w:rPr>
          <w:t xml:space="preserve">https://doi.org/10.1146/annurev-ecolsys-110512-135838</w:t>
        </w:r>
      </w:hyperlink>
      <w:r>
        <w:t xml:space="preserve">.</w:t>
      </w:r>
    </w:p>
    <w:bookmarkEnd w:id="206"/>
    <w:bookmarkStart w:id="20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07"/>
    <w:bookmarkStart w:id="208"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08"/>
    <w:bookmarkStart w:id="209"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09"/>
    <w:bookmarkStart w:id="21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10">
        <w:r>
          <w:rPr>
            <w:rStyle w:val="Hyperlink"/>
          </w:rPr>
          <w:t xml:space="preserve">https://doi.org/10.1371/journal.pone.0250690</w:t>
        </w:r>
      </w:hyperlink>
      <w:r>
        <w:t xml:space="preserve">.</w:t>
      </w:r>
    </w:p>
    <w:bookmarkEnd w:id="211"/>
    <w:bookmarkStart w:id="212"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12"/>
    <w:bookmarkStart w:id="21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13">
        <w:r>
          <w:rPr>
            <w:rStyle w:val="Hyperlink"/>
          </w:rPr>
          <w:t xml:space="preserve">https://doi.org/10.1371/journal.pone.0124942</w:t>
        </w:r>
      </w:hyperlink>
      <w:r>
        <w:t xml:space="preserve">.</w:t>
      </w:r>
    </w:p>
    <w:bookmarkEnd w:id="214"/>
    <w:bookmarkStart w:id="21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15">
        <w:r>
          <w:rPr>
            <w:rStyle w:val="Hyperlink"/>
          </w:rPr>
          <w:t xml:space="preserve">https://doi.org/10.1006/jaar.1997.0314</w:t>
        </w:r>
      </w:hyperlink>
      <w:r>
        <w:t xml:space="preserve">.</w:t>
      </w:r>
    </w:p>
    <w:bookmarkEnd w:id="216"/>
    <w:bookmarkStart w:id="217" w:name="ref-madsen_2012"/>
    <w:p>
      <w:pPr>
        <w:pStyle w:val="Bibliography"/>
      </w:pPr>
      <w:r>
        <w:t xml:space="preserve">Madsen, Mark E. 2012. Neutral Cultural Transmission in Time-Averaged Archaeological Assemblages. arXiv preprint arXiv:1204.2043 [physics.soc-ph].</w:t>
      </w:r>
    </w:p>
    <w:bookmarkEnd w:id="217"/>
    <w:bookmarkStart w:id="218"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18"/>
    <w:bookmarkStart w:id="21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19"/>
    <w:bookmarkStart w:id="22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20"/>
    <w:bookmarkStart w:id="221"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21"/>
    <w:bookmarkStart w:id="222" w:name="ref-mcnutt_1996"/>
    <w:p>
      <w:pPr>
        <w:pStyle w:val="Bibliography"/>
      </w:pPr>
      <w:r>
        <w:t xml:space="preserve">McNutt, Charles H. 1996. The Central</w:t>
      </w:r>
      <w:r>
        <w:t xml:space="preserve"> </w:t>
      </w:r>
      <w:r>
        <w:t xml:space="preserve">Mississippi</w:t>
      </w:r>
      <w:r>
        <w:t xml:space="preserve"> </w:t>
      </w:r>
      <w:r>
        <w:t xml:space="preserve">Valley: A Summary. In</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edited by Charles H. McNutt, pp. 187–. University of Alabama Press, Tuscaloosa.</w:t>
      </w:r>
    </w:p>
    <w:bookmarkEnd w:id="222"/>
    <w:bookmarkStart w:id="223" w:name="ref-mcnutt_franklin_henry_2012"/>
    <w:p>
      <w:pPr>
        <w:pStyle w:val="Bibliography"/>
      </w:pPr>
      <w:r>
        <w:t xml:space="preserve">McNutt, Charles H., Jay D. Franklin, and Edward R. Henry. 2012. New Perspectives on</w:t>
      </w:r>
      <w:r>
        <w:t xml:space="preserve"> </w:t>
      </w:r>
      <w:r>
        <w:t xml:space="preserve">Mississippian</w:t>
      </w:r>
      <w:r>
        <w:t xml:space="preserve"> </w:t>
      </w:r>
      <w:r>
        <w:t xml:space="preserve">Occupations in Western</w:t>
      </w:r>
      <w:r>
        <w:t xml:space="preserve"> </w:t>
      </w:r>
      <w:r>
        <w:t xml:space="preserve">Tennessee</w:t>
      </w:r>
      <w:r>
        <w:t xml:space="preserve"> </w:t>
      </w:r>
      <w:r>
        <w:t xml:space="preserve">and Northwestern</w:t>
      </w:r>
      <w:r>
        <w:t xml:space="preserve"> </w:t>
      </w:r>
      <w:r>
        <w:t xml:space="preserve">Mississippi</w:t>
      </w:r>
      <w:r>
        <w:t xml:space="preserve">: Recent Chronological and Geophysical Investigations at</w:t>
      </w:r>
      <w:r>
        <w:t xml:space="preserve"> </w:t>
      </w:r>
      <w:r>
        <w:t xml:space="preserve">Chucalissa</w:t>
      </w:r>
      <w:r>
        <w:t xml:space="preserve"> </w:t>
      </w:r>
      <w:r>
        <w:t xml:space="preserve">(40SY1),</w:t>
      </w:r>
      <w:r>
        <w:t xml:space="preserve"> </w:t>
      </w:r>
      <w:r>
        <w:t xml:space="preserve">Shelby</w:t>
      </w:r>
      <w:r>
        <w:t xml:space="preserve"> </w:t>
      </w:r>
      <w:r>
        <w:t xml:space="preserve">County</w:t>
      </w:r>
      <w:r>
        <w:t xml:space="preserve">,</w:t>
      </w:r>
      <w:r>
        <w:t xml:space="preserve"> </w:t>
      </w:r>
      <w:r>
        <w:t xml:space="preserve">Tennessee</w:t>
      </w:r>
      <w:r>
        <w:t xml:space="preserve">.</w:t>
      </w:r>
      <w:r>
        <w:t xml:space="preserve"> </w:t>
      </w:r>
      <w:r>
        <w:rPr>
          <w:i/>
          <w:iCs/>
        </w:rPr>
        <w:t xml:space="preserve">Southeastern Archaeology</w:t>
      </w:r>
      <w:r>
        <w:t xml:space="preserve"> </w:t>
      </w:r>
      <w:r>
        <w:t xml:space="preserve">31(2):231–250.</w:t>
      </w:r>
    </w:p>
    <w:bookmarkEnd w:id="223"/>
    <w:bookmarkStart w:id="225"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24">
        <w:r>
          <w:rPr>
            <w:rStyle w:val="Hyperlink"/>
          </w:rPr>
          <w:t xml:space="preserve">https://doi.org/10.1080/20548923.2018.1504490</w:t>
        </w:r>
      </w:hyperlink>
      <w:r>
        <w:t xml:space="preserve">.</w:t>
      </w:r>
    </w:p>
    <w:bookmarkEnd w:id="225"/>
    <w:bookmarkStart w:id="22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26"/>
    <w:bookmarkStart w:id="227"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27"/>
    <w:bookmarkStart w:id="228"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28"/>
    <w:bookmarkStart w:id="229"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29"/>
    <w:bookmarkStart w:id="230"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30"/>
    <w:bookmarkStart w:id="231"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31"/>
    <w:bookmarkStart w:id="233"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32">
        <w:r>
          <w:rPr>
            <w:rStyle w:val="Hyperlink"/>
          </w:rPr>
          <w:t xml:space="preserve">https://doi.org/10.1073/pnas.70.12.3321</w:t>
        </w:r>
      </w:hyperlink>
      <w:r>
        <w:t xml:space="preserve">.</w:t>
      </w:r>
    </w:p>
    <w:bookmarkEnd w:id="233"/>
    <w:bookmarkStart w:id="23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34"/>
    <w:bookmarkStart w:id="236"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35">
        <w:r>
          <w:rPr>
            <w:rStyle w:val="Hyperlink"/>
          </w:rPr>
          <w:t xml:space="preserve">https://doi.org/10.2307/279066</w:t>
        </w:r>
      </w:hyperlink>
      <w:r>
        <w:t xml:space="preserve">.</w:t>
      </w:r>
    </w:p>
    <w:bookmarkEnd w:id="236"/>
    <w:bookmarkStart w:id="238"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37">
        <w:r>
          <w:rPr>
            <w:rStyle w:val="Hyperlink"/>
          </w:rPr>
          <w:t xml:space="preserve">https://doi.org/10.1016/j.jas.2012.04.040</w:t>
        </w:r>
      </w:hyperlink>
      <w:r>
        <w:t xml:space="preserve">.</w:t>
      </w:r>
    </w:p>
    <w:bookmarkEnd w:id="238"/>
    <w:bookmarkStart w:id="240"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39">
        <w:r>
          <w:rPr>
            <w:rStyle w:val="Hyperlink"/>
          </w:rPr>
          <w:t xml:space="preserve">https://doi.org/10.1007/s10816-018-9364-4</w:t>
        </w:r>
      </w:hyperlink>
      <w:r>
        <w:t xml:space="preserve">.</w:t>
      </w:r>
    </w:p>
    <w:bookmarkEnd w:id="240"/>
    <w:bookmarkStart w:id="241"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41"/>
    <w:bookmarkStart w:id="24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42"/>
    <w:bookmarkStart w:id="243"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43"/>
    <w:bookmarkStart w:id="245"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44">
        <w:r>
          <w:rPr>
            <w:rStyle w:val="Hyperlink"/>
          </w:rPr>
          <w:t xml:space="preserve">https://doi.org/10.1525/aa.1953.55.5.02a00030</w:t>
        </w:r>
      </w:hyperlink>
      <w:r>
        <w:t xml:space="preserve">.</w:t>
      </w:r>
    </w:p>
    <w:bookmarkEnd w:id="245"/>
    <w:bookmarkStart w:id="24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46">
        <w:r>
          <w:rPr>
            <w:rStyle w:val="Hyperlink"/>
          </w:rPr>
          <w:t xml:space="preserve">https://doi.org/10.7183/0002-7316.81.4.605</w:t>
        </w:r>
      </w:hyperlink>
      <w:r>
        <w:t xml:space="preserve">.</w:t>
      </w:r>
    </w:p>
    <w:bookmarkEnd w:id="247"/>
    <w:bookmarkStart w:id="24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48">
        <w:r>
          <w:rPr>
            <w:rStyle w:val="Hyperlink"/>
          </w:rPr>
          <w:t xml:space="preserve">https://doi.org/10.7183/0002-7316.76.1.163</w:t>
        </w:r>
      </w:hyperlink>
      <w:r>
        <w:t xml:space="preserve">.</w:t>
      </w:r>
    </w:p>
    <w:bookmarkEnd w:id="249"/>
    <w:bookmarkStart w:id="25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50"/>
    <w:bookmarkStart w:id="25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51">
        <w:r>
          <w:rPr>
            <w:rStyle w:val="Hyperlink"/>
          </w:rPr>
          <w:t xml:space="preserve">https://doi.org/10.1017/RDC.2020.41</w:t>
        </w:r>
      </w:hyperlink>
      <w:r>
        <w:t xml:space="preserve">.</w:t>
      </w:r>
    </w:p>
    <w:bookmarkEnd w:id="252"/>
    <w:bookmarkStart w:id="25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53"/>
    <w:bookmarkStart w:id="25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54"/>
    <w:bookmarkStart w:id="25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55"/>
    <w:bookmarkStart w:id="25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56">
        <w:r>
          <w:rPr>
            <w:rStyle w:val="Hyperlink"/>
          </w:rPr>
          <w:t xml:space="preserve">https://doi.org/10.1016/j.jtbi.2016.04.024</w:t>
        </w:r>
      </w:hyperlink>
      <w:r>
        <w:t xml:space="preserve">.</w:t>
      </w:r>
    </w:p>
    <w:bookmarkEnd w:id="257"/>
    <w:bookmarkStart w:id="25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58">
        <w:r>
          <w:rPr>
            <w:rStyle w:val="Hyperlink"/>
          </w:rPr>
          <w:t xml:space="preserve">https://doi.org/10.1016/j.evolhumbehav.2014.09.006</w:t>
        </w:r>
      </w:hyperlink>
      <w:r>
        <w:t xml:space="preserve">.</w:t>
      </w:r>
    </w:p>
    <w:bookmarkEnd w:id="259"/>
    <w:bookmarkStart w:id="26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60"/>
    <w:bookmarkStart w:id="26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61"/>
    <w:bookmarkStart w:id="26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62"/>
    <w:bookmarkStart w:id="26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63"/>
    <w:bookmarkStart w:id="264"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64"/>
    <w:bookmarkStart w:id="26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65"/>
    <w:bookmarkStart w:id="266" w:name="ref-williams_1954"/>
    <w:p>
      <w:pPr>
        <w:pStyle w:val="Bibliography"/>
      </w:pPr>
      <w:r>
        <w:t xml:space="preserve">Williams, Stephen. 1954. An Archeological Study of the Mississippian Culture in Southeast Missouri. PhD thesis, Yale University, New Haven.</w:t>
      </w:r>
    </w:p>
    <w:bookmarkEnd w:id="266"/>
    <w:bookmarkStart w:id="26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67">
        <w:r>
          <w:rPr>
            <w:rStyle w:val="Hyperlink"/>
          </w:rPr>
          <w:t xml:space="preserve">https://doi.org/10.1093/genetics/28.2.114</w:t>
        </w:r>
      </w:hyperlink>
      <w:r>
        <w:t xml:space="preserve">.</w:t>
      </w:r>
    </w:p>
    <w:bookmarkEnd w:id="268"/>
    <w:bookmarkStart w:id="27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69">
        <w:r>
          <w:rPr>
            <w:rStyle w:val="Hyperlink"/>
          </w:rPr>
          <w:t xml:space="preserve">https://doi.org/10.1111/j.1469-1809.1949.tb02451.x</w:t>
        </w:r>
      </w:hyperlink>
      <w:r>
        <w:t xml:space="preserve">.</w:t>
      </w:r>
    </w:p>
    <w:bookmarkEnd w:id="270"/>
    <w:bookmarkStart w:id="27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71">
        <w:r>
          <w:rPr>
            <w:rStyle w:val="Hyperlink"/>
          </w:rPr>
          <w:t xml:space="preserve">https://doi.org/10.1017/ehs.2023.5</w:t>
        </w:r>
      </w:hyperlink>
      <w:r>
        <w:t xml:space="preserve">.</w:t>
      </w:r>
    </w:p>
    <w:bookmarkEnd w:id="272"/>
    <w:bookmarkEnd w:id="273"/>
    <w:bookmarkEnd w:id="274"/>
    <w:bookmarkEnd w:id="27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hyperlink" Id="rId192" Target="https://doi.org/10.1002/arp.1477" TargetMode="External" /><Relationship Type="http://schemas.openxmlformats.org/officeDocument/2006/relationships/hyperlink" Id="rId215" Target="https://doi.org/10.1006/jaar.1997.0314" TargetMode="External" /><Relationship Type="http://schemas.openxmlformats.org/officeDocument/2006/relationships/hyperlink" Id="rId186" Target="https://doi.org/10.1007/s10814-007-9013-z" TargetMode="External" /><Relationship Type="http://schemas.openxmlformats.org/officeDocument/2006/relationships/hyperlink" Id="rId239" Target="https://doi.org/10.1007/s10816-018-9364-4" TargetMode="External" /><Relationship Type="http://schemas.openxmlformats.org/officeDocument/2006/relationships/hyperlink" Id="rId176" Target="https://doi.org/10.1007/s10816-022-09599-x" TargetMode="External" /><Relationship Type="http://schemas.openxmlformats.org/officeDocument/2006/relationships/hyperlink" Id="rId196" Target="https://doi.org/10.1016/S1090-5138(98)00018-X" TargetMode="External" /><Relationship Type="http://schemas.openxmlformats.org/officeDocument/2006/relationships/hyperlink" Id="rId258" Target="https://doi.org/10.1016/j.evolhumbehav.2014.09.006" TargetMode="External" /><Relationship Type="http://schemas.openxmlformats.org/officeDocument/2006/relationships/hyperlink" Id="rId184" Target="https://doi.org/10.1016/j.jaa.2005.08.001" TargetMode="External" /><Relationship Type="http://schemas.openxmlformats.org/officeDocument/2006/relationships/hyperlink" Id="rId237" Target="https://doi.org/10.1016/j.jas.2012.04.040" TargetMode="External" /><Relationship Type="http://schemas.openxmlformats.org/officeDocument/2006/relationships/hyperlink" Id="rId256" Target="https://doi.org/10.1016/j.jtbi.2016.04.024" TargetMode="External" /><Relationship Type="http://schemas.openxmlformats.org/officeDocument/2006/relationships/hyperlink" Id="rId251" Target="https://doi.org/10.1017/RDC.2020.41" TargetMode="External" /><Relationship Type="http://schemas.openxmlformats.org/officeDocument/2006/relationships/hyperlink" Id="rId199" Target="https://doi.org/10.1017/aap.2021.10" TargetMode="External" /><Relationship Type="http://schemas.openxmlformats.org/officeDocument/2006/relationships/hyperlink" Id="rId271" Target="https://doi.org/10.1017/ehs.2023.5" TargetMode="External" /><Relationship Type="http://schemas.openxmlformats.org/officeDocument/2006/relationships/hyperlink" Id="rId178" Target="https://doi.org/10.1038/srep39122" TargetMode="External" /><Relationship Type="http://schemas.openxmlformats.org/officeDocument/2006/relationships/hyperlink" Id="rId167" Target="https://doi.org/10.1073/pnas.0903232106" TargetMode="External" /><Relationship Type="http://schemas.openxmlformats.org/officeDocument/2006/relationships/hyperlink" Id="rId188" Target="https://doi.org/10.1073/pnas.2418106121" TargetMode="External" /><Relationship Type="http://schemas.openxmlformats.org/officeDocument/2006/relationships/hyperlink" Id="rId232" Target="https://doi.org/10.1073/pnas.70.12.3321" TargetMode="External" /><Relationship Type="http://schemas.openxmlformats.org/officeDocument/2006/relationships/hyperlink" Id="rId224" Target="https://doi.org/10.1080/20548923.2018.1504490" TargetMode="External" /><Relationship Type="http://schemas.openxmlformats.org/officeDocument/2006/relationships/hyperlink" Id="rId267" Target="https://doi.org/10.1093/genetics/28.2.114" TargetMode="External" /><Relationship Type="http://schemas.openxmlformats.org/officeDocument/2006/relationships/hyperlink" Id="rId169" Target="https://doi.org/10.1098/rspb.2004.2746" TargetMode="External" /><Relationship Type="http://schemas.openxmlformats.org/officeDocument/2006/relationships/hyperlink" Id="rId269" Target="https://doi.org/10.1111/j.1469-1809.1949.tb02451.x" TargetMode="External" /><Relationship Type="http://schemas.openxmlformats.org/officeDocument/2006/relationships/hyperlink" Id="rId205" Target="https://doi.org/10.1146/annurev-ecolsys-110512-135838" TargetMode="External" /><Relationship Type="http://schemas.openxmlformats.org/officeDocument/2006/relationships/hyperlink" Id="rId213" Target="https://doi.org/10.1371/journal.pone.0124942" TargetMode="External" /><Relationship Type="http://schemas.openxmlformats.org/officeDocument/2006/relationships/hyperlink" Id="rId210" Target="https://doi.org/10.1371/journal.pone.0250690" TargetMode="External" /><Relationship Type="http://schemas.openxmlformats.org/officeDocument/2006/relationships/hyperlink" Id="rId244" Target="https://doi.org/10.1525/aa.1953.55.5.02a00030" TargetMode="External" /><Relationship Type="http://schemas.openxmlformats.org/officeDocument/2006/relationships/hyperlink" Id="rId194" Target="https://doi.org/10.1525/aa.2001.103.4.992" TargetMode="External" /><Relationship Type="http://schemas.openxmlformats.org/officeDocument/2006/relationships/hyperlink" Id="rId171" Target="https://doi.org/10.2307/2694206" TargetMode="External" /><Relationship Type="http://schemas.openxmlformats.org/officeDocument/2006/relationships/hyperlink" Id="rId235" Target="https://doi.org/10.2307/279066" TargetMode="External" /><Relationship Type="http://schemas.openxmlformats.org/officeDocument/2006/relationships/hyperlink" Id="rId180" Target="https://doi.org/10.2307/279244" TargetMode="External" /><Relationship Type="http://schemas.openxmlformats.org/officeDocument/2006/relationships/hyperlink" Id="rId165" Target="https://doi.org/10.2307/3557066" TargetMode="External" /><Relationship Type="http://schemas.openxmlformats.org/officeDocument/2006/relationships/hyperlink" Id="rId248" Target="https://doi.org/10.7183/0002-7316.76.1.163" TargetMode="External" /><Relationship Type="http://schemas.openxmlformats.org/officeDocument/2006/relationships/hyperlink" Id="rId24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1002/arp.1477" TargetMode="External" /><Relationship Type="http://schemas.openxmlformats.org/officeDocument/2006/relationships/hyperlink" Id="rId215" Target="https://doi.org/10.1006/jaar.1997.0314" TargetMode="External" /><Relationship Type="http://schemas.openxmlformats.org/officeDocument/2006/relationships/hyperlink" Id="rId186" Target="https://doi.org/10.1007/s10814-007-9013-z" TargetMode="External" /><Relationship Type="http://schemas.openxmlformats.org/officeDocument/2006/relationships/hyperlink" Id="rId239" Target="https://doi.org/10.1007/s10816-018-9364-4" TargetMode="External" /><Relationship Type="http://schemas.openxmlformats.org/officeDocument/2006/relationships/hyperlink" Id="rId176" Target="https://doi.org/10.1007/s10816-022-09599-x" TargetMode="External" /><Relationship Type="http://schemas.openxmlformats.org/officeDocument/2006/relationships/hyperlink" Id="rId196" Target="https://doi.org/10.1016/S1090-5138(98)00018-X" TargetMode="External" /><Relationship Type="http://schemas.openxmlformats.org/officeDocument/2006/relationships/hyperlink" Id="rId258" Target="https://doi.org/10.1016/j.evolhumbehav.2014.09.006" TargetMode="External" /><Relationship Type="http://schemas.openxmlformats.org/officeDocument/2006/relationships/hyperlink" Id="rId184" Target="https://doi.org/10.1016/j.jaa.2005.08.001" TargetMode="External" /><Relationship Type="http://schemas.openxmlformats.org/officeDocument/2006/relationships/hyperlink" Id="rId237" Target="https://doi.org/10.1016/j.jas.2012.04.040" TargetMode="External" /><Relationship Type="http://schemas.openxmlformats.org/officeDocument/2006/relationships/hyperlink" Id="rId256" Target="https://doi.org/10.1016/j.jtbi.2016.04.024" TargetMode="External" /><Relationship Type="http://schemas.openxmlformats.org/officeDocument/2006/relationships/hyperlink" Id="rId251" Target="https://doi.org/10.1017/RDC.2020.41" TargetMode="External" /><Relationship Type="http://schemas.openxmlformats.org/officeDocument/2006/relationships/hyperlink" Id="rId199" Target="https://doi.org/10.1017/aap.2021.10" TargetMode="External" /><Relationship Type="http://schemas.openxmlformats.org/officeDocument/2006/relationships/hyperlink" Id="rId271" Target="https://doi.org/10.1017/ehs.2023.5" TargetMode="External" /><Relationship Type="http://schemas.openxmlformats.org/officeDocument/2006/relationships/hyperlink" Id="rId178" Target="https://doi.org/10.1038/srep39122" TargetMode="External" /><Relationship Type="http://schemas.openxmlformats.org/officeDocument/2006/relationships/hyperlink" Id="rId167" Target="https://doi.org/10.1073/pnas.0903232106" TargetMode="External" /><Relationship Type="http://schemas.openxmlformats.org/officeDocument/2006/relationships/hyperlink" Id="rId188" Target="https://doi.org/10.1073/pnas.2418106121" TargetMode="External" /><Relationship Type="http://schemas.openxmlformats.org/officeDocument/2006/relationships/hyperlink" Id="rId232" Target="https://doi.org/10.1073/pnas.70.12.3321" TargetMode="External" /><Relationship Type="http://schemas.openxmlformats.org/officeDocument/2006/relationships/hyperlink" Id="rId224" Target="https://doi.org/10.1080/20548923.2018.1504490" TargetMode="External" /><Relationship Type="http://schemas.openxmlformats.org/officeDocument/2006/relationships/hyperlink" Id="rId267" Target="https://doi.org/10.1093/genetics/28.2.114" TargetMode="External" /><Relationship Type="http://schemas.openxmlformats.org/officeDocument/2006/relationships/hyperlink" Id="rId169" Target="https://doi.org/10.1098/rspb.2004.2746" TargetMode="External" /><Relationship Type="http://schemas.openxmlformats.org/officeDocument/2006/relationships/hyperlink" Id="rId269" Target="https://doi.org/10.1111/j.1469-1809.1949.tb02451.x" TargetMode="External" /><Relationship Type="http://schemas.openxmlformats.org/officeDocument/2006/relationships/hyperlink" Id="rId205" Target="https://doi.org/10.1146/annurev-ecolsys-110512-135838" TargetMode="External" /><Relationship Type="http://schemas.openxmlformats.org/officeDocument/2006/relationships/hyperlink" Id="rId213" Target="https://doi.org/10.1371/journal.pone.0124942" TargetMode="External" /><Relationship Type="http://schemas.openxmlformats.org/officeDocument/2006/relationships/hyperlink" Id="rId210" Target="https://doi.org/10.1371/journal.pone.0250690" TargetMode="External" /><Relationship Type="http://schemas.openxmlformats.org/officeDocument/2006/relationships/hyperlink" Id="rId244" Target="https://doi.org/10.1525/aa.1953.55.5.02a00030" TargetMode="External" /><Relationship Type="http://schemas.openxmlformats.org/officeDocument/2006/relationships/hyperlink" Id="rId194" Target="https://doi.org/10.1525/aa.2001.103.4.992" TargetMode="External" /><Relationship Type="http://schemas.openxmlformats.org/officeDocument/2006/relationships/hyperlink" Id="rId171" Target="https://doi.org/10.2307/2694206" TargetMode="External" /><Relationship Type="http://schemas.openxmlformats.org/officeDocument/2006/relationships/hyperlink" Id="rId235" Target="https://doi.org/10.2307/279066" TargetMode="External" /><Relationship Type="http://schemas.openxmlformats.org/officeDocument/2006/relationships/hyperlink" Id="rId180" Target="https://doi.org/10.2307/279244" TargetMode="External" /><Relationship Type="http://schemas.openxmlformats.org/officeDocument/2006/relationships/hyperlink" Id="rId165" Target="https://doi.org/10.2307/3557066" TargetMode="External" /><Relationship Type="http://schemas.openxmlformats.org/officeDocument/2006/relationships/hyperlink" Id="rId248" Target="https://doi.org/10.7183/0002-7316.76.1.163" TargetMode="External" /><Relationship Type="http://schemas.openxmlformats.org/officeDocument/2006/relationships/hyperlink" Id="rId24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2026-09-29T14:26:34Z</dcterms:created>
  <dcterms:modified xsi:type="dcterms:W3CDTF">2026-09-29T14:26:34Z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