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the HydroRIVERS river network (Lehner and Grill 2013),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the HydroRIVERS river network</w:t>
      </w:r>
      <w:r>
        <w:t xml:space="preserve"> </w:t>
      </w:r>
      <w:r>
        <w:t xml:space="preserve">(Lehner and Grill 2013)</w:t>
      </w:r>
      <w:r>
        <w:t xml:space="preserve">,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apply the same test to a second, independently constructed phase scheme, the southeast-Missouri phases Williams defined, and find that it too dissolves into drift. At the scale where the phases are drawn, in either region, they are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adopt the population thinking of Mayr</w:t>
      </w:r>
      <w:r>
        <w:t xml:space="preserve"> </w:t>
      </w:r>
      <w:r>
        <w:t xml:space="preserve">(1959)</w:t>
      </w:r>
      <w:r>
        <w:t xml:space="preserve">, brought into archaeology by Dunnell</w:t>
      </w:r>
      <w:r>
        <w:t xml:space="preserve"> </w:t>
      </w:r>
      <w:r>
        <w:t xml:space="preserve">(1980)</w:t>
      </w:r>
      <w:r>
        <w:t xml:space="preserve">, which frames the question differently from how the lower Mississippi Valley record is usually read. Archaeologists often treat the past as made of bounded units, the phase, the polity, the society, each a discrete entity with members and edges, and read a cluster of similar assemblages as one such unit. That is typological thinking, in which the type is the real object and the variation among assemblages is noise around it. Population thinking reverses that priority, taking the variation among individuals as the reality and the type as an abstraction drawn from it. We therefore treat transmission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also a matter of degree.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 F_ST 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 F_ST 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e Mississippi main stem reads as the heaviest line.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the Mississippi main stem reads as the heaviest line.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3" w:name="references"/>
    <w:p>
      <w:pPr>
        <w:pStyle w:val="Heading2"/>
      </w:pPr>
      <w:r>
        <w:t xml:space="preserve">References</w:t>
      </w:r>
    </w:p>
    <w:bookmarkStart w:id="232"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165"/>
    <w:bookmarkStart w:id="1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6"/>
    <w:bookmarkStart w:id="1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7"/>
    <w:bookmarkStart w:id="1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8">
        <w:r>
          <w:rPr>
            <w:rStyle w:val="Hyperlink"/>
          </w:rPr>
          <w:t xml:space="preserve">https://doi.org/10.1080/20548923.2018.1504490</w:t>
        </w:r>
      </w:hyperlink>
      <w:r>
        <w:t xml:space="preserve">.</w:t>
      </w:r>
    </w:p>
    <w:bookmarkEnd w:id="169"/>
    <w:bookmarkStart w:id="1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0"/>
    <w:bookmarkStart w:id="1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1"/>
    <w:bookmarkStart w:id="17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2"/>
    <w:bookmarkStart w:id="17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3"/>
    <w:bookmarkStart w:id="17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4"/>
    <w:bookmarkStart w:id="175"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5"/>
    <w:bookmarkStart w:id="1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6"/>
    <w:bookmarkStart w:id="177"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7"/>
    <w:bookmarkStart w:id="179"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8">
        <w:r>
          <w:rPr>
            <w:rStyle w:val="Hyperlink"/>
          </w:rPr>
          <w:t xml:space="preserve">https://doi.org/10.1098/rstb.2016.0426</w:t>
        </w:r>
      </w:hyperlink>
      <w:r>
        <w:t xml:space="preserve">.</w:t>
      </w:r>
    </w:p>
    <w:bookmarkEnd w:id="179"/>
    <w:bookmarkStart w:id="181"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0">
        <w:r>
          <w:rPr>
            <w:rStyle w:val="Hyperlink"/>
          </w:rPr>
          <w:t xml:space="preserve">https://doi.org/10.2307/279066</w:t>
        </w:r>
      </w:hyperlink>
      <w:r>
        <w:t xml:space="preserve">.</w:t>
      </w:r>
    </w:p>
    <w:bookmarkEnd w:id="181"/>
    <w:bookmarkStart w:id="183"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2">
        <w:r>
          <w:rPr>
            <w:rStyle w:val="Hyperlink"/>
          </w:rPr>
          <w:t xml:space="preserve">https://doi.org/10.1016/j.jas.2012.04.040</w:t>
        </w:r>
      </w:hyperlink>
      <w:r>
        <w:t xml:space="preserve">.</w:t>
      </w:r>
    </w:p>
    <w:bookmarkEnd w:id="183"/>
    <w:bookmarkStart w:id="185"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4">
        <w:r>
          <w:rPr>
            <w:rStyle w:val="Hyperlink"/>
          </w:rPr>
          <w:t xml:space="preserve">https://doi.org/10.1007/s10816-018-9364-4</w:t>
        </w:r>
      </w:hyperlink>
      <w:r>
        <w:t xml:space="preserve">.</w:t>
      </w:r>
    </w:p>
    <w:bookmarkEnd w:id="185"/>
    <w:bookmarkStart w:id="18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6"/>
    <w:bookmarkStart w:id="18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7"/>
    <w:bookmarkStart w:id="188"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8"/>
    <w:bookmarkStart w:id="190"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9">
        <w:r>
          <w:rPr>
            <w:rStyle w:val="Hyperlink"/>
          </w:rPr>
          <w:t xml:space="preserve">https://doi.org/10.1525/aa.1953.55.5.02a00030</w:t>
        </w:r>
      </w:hyperlink>
      <w:r>
        <w:t xml:space="preserve">.</w:t>
      </w:r>
    </w:p>
    <w:bookmarkEnd w:id="190"/>
    <w:bookmarkStart w:id="192"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1">
        <w:r>
          <w:rPr>
            <w:rStyle w:val="Hyperlink"/>
          </w:rPr>
          <w:t xml:space="preserve">https://doi.org/10.1126/science.1170165</w:t>
        </w:r>
      </w:hyperlink>
      <w:r>
        <w:t xml:space="preserve">.</w:t>
      </w:r>
    </w:p>
    <w:bookmarkEnd w:id="192"/>
    <w:bookmarkStart w:id="194"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3">
        <w:r>
          <w:rPr>
            <w:rStyle w:val="Hyperlink"/>
          </w:rPr>
          <w:t xml:space="preserve">https://doi.org/10.1086/674873</w:t>
        </w:r>
      </w:hyperlink>
      <w:r>
        <w:t xml:space="preserve">.</w:t>
      </w:r>
    </w:p>
    <w:bookmarkEnd w:id="194"/>
    <w:bookmarkStart w:id="196"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5">
        <w:r>
          <w:rPr>
            <w:rStyle w:val="Hyperlink"/>
          </w:rPr>
          <w:t xml:space="preserve">https://doi.org/10.7183/0002-7316.81.4.605</w:t>
        </w:r>
      </w:hyperlink>
      <w:r>
        <w:t xml:space="preserve">.</w:t>
      </w:r>
    </w:p>
    <w:bookmarkEnd w:id="196"/>
    <w:bookmarkStart w:id="198"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7">
        <w:r>
          <w:rPr>
            <w:rStyle w:val="Hyperlink"/>
          </w:rPr>
          <w:t xml:space="preserve">https://doi.org/10.7183/0002-7316.76.1.163</w:t>
        </w:r>
      </w:hyperlink>
      <w:r>
        <w:t xml:space="preserve">.</w:t>
      </w:r>
    </w:p>
    <w:bookmarkEnd w:id="198"/>
    <w:bookmarkStart w:id="19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9"/>
    <w:bookmarkStart w:id="20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0">
        <w:r>
          <w:rPr>
            <w:rStyle w:val="Hyperlink"/>
          </w:rPr>
          <w:t xml:space="preserve">https://doi.org/10.1017/RDC.2020.41</w:t>
        </w:r>
      </w:hyperlink>
      <w:r>
        <w:t xml:space="preserve">.</w:t>
      </w:r>
    </w:p>
    <w:bookmarkEnd w:id="201"/>
    <w:bookmarkStart w:id="20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2">
        <w:r>
          <w:rPr>
            <w:rStyle w:val="Hyperlink"/>
          </w:rPr>
          <w:t xml:space="preserve">https://doi.org/10.1017/S0140525X1400106X</w:t>
        </w:r>
      </w:hyperlink>
      <w:r>
        <w:t xml:space="preserve">.</w:t>
      </w:r>
    </w:p>
    <w:bookmarkEnd w:id="203"/>
    <w:bookmarkStart w:id="20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4">
        <w:r>
          <w:rPr>
            <w:rStyle w:val="Hyperlink"/>
          </w:rPr>
          <w:t xml:space="preserve">https://doi.org/10.1057/s41599-019-0260-7</w:t>
        </w:r>
      </w:hyperlink>
      <w:r>
        <w:t xml:space="preserve">.</w:t>
      </w:r>
    </w:p>
    <w:bookmarkEnd w:id="205"/>
    <w:bookmarkStart w:id="20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6"/>
    <w:bookmarkStart w:id="20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7"/>
    <w:bookmarkStart w:id="20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8"/>
    <w:bookmarkStart w:id="21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9">
        <w:r>
          <w:rPr>
            <w:rStyle w:val="Hyperlink"/>
          </w:rPr>
          <w:t xml:space="preserve">https://doi.org/10.1016/j.jtbi.2016.04.024</w:t>
        </w:r>
      </w:hyperlink>
      <w:r>
        <w:t xml:space="preserve">.</w:t>
      </w:r>
    </w:p>
    <w:bookmarkEnd w:id="210"/>
    <w:bookmarkStart w:id="21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1">
        <w:r>
          <w:rPr>
            <w:rStyle w:val="Hyperlink"/>
          </w:rPr>
          <w:t xml:space="preserve">https://doi.org/10.1016/j.evolhumbehav.2014.09.006</w:t>
        </w:r>
      </w:hyperlink>
      <w:r>
        <w:t xml:space="preserve">.</w:t>
      </w:r>
    </w:p>
    <w:bookmarkEnd w:id="212"/>
    <w:bookmarkStart w:id="21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3"/>
    <w:bookmarkStart w:id="21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4"/>
    <w:bookmarkStart w:id="2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5"/>
    <w:bookmarkStart w:id="21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6"/>
    <w:bookmarkStart w:id="21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7">
        <w:r>
          <w:rPr>
            <w:rStyle w:val="Hyperlink"/>
          </w:rPr>
          <w:t xml:space="preserve">https://doi.org/10.1006/jhev.1994.1037</w:t>
        </w:r>
      </w:hyperlink>
      <w:r>
        <w:t xml:space="preserve">.</w:t>
      </w:r>
    </w:p>
    <w:bookmarkEnd w:id="218"/>
    <w:bookmarkStart w:id="22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9">
        <w:r>
          <w:rPr>
            <w:rStyle w:val="Hyperlink"/>
          </w:rPr>
          <w:t xml:space="preserve">https://doi.org/10.1017/aaq.2024.1</w:t>
        </w:r>
      </w:hyperlink>
      <w:r>
        <w:t xml:space="preserve">.</w:t>
      </w:r>
    </w:p>
    <w:bookmarkEnd w:id="220"/>
    <w:bookmarkStart w:id="2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1"/>
    <w:bookmarkStart w:id="2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2">
        <w:r>
          <w:rPr>
            <w:rStyle w:val="Hyperlink"/>
          </w:rPr>
          <w:t xml:space="preserve">https://doi.org/10.1086/651661</w:t>
        </w:r>
      </w:hyperlink>
      <w:r>
        <w:t xml:space="preserve">.</w:t>
      </w:r>
    </w:p>
    <w:bookmarkEnd w:id="223"/>
    <w:bookmarkStart w:id="2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4"/>
    <w:bookmarkStart w:id="225" w:name="ref-williams_1954"/>
    <w:p>
      <w:pPr>
        <w:pStyle w:val="Bibliography"/>
      </w:pPr>
      <w:r>
        <w:t xml:space="preserve">Williams, Stephen. 1954. An Archeological Study of the Mississippian Culture in Southeast Missouri. PhD thesis, Yale University, New Haven.</w:t>
      </w:r>
    </w:p>
    <w:bookmarkEnd w:id="225"/>
    <w:bookmarkStart w:id="2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6">
        <w:r>
          <w:rPr>
            <w:rStyle w:val="Hyperlink"/>
          </w:rPr>
          <w:t xml:space="preserve">https://doi.org/10.1093/genetics/28.2.114</w:t>
        </w:r>
      </w:hyperlink>
      <w:r>
        <w:t xml:space="preserve">.</w:t>
      </w:r>
    </w:p>
    <w:bookmarkEnd w:id="227"/>
    <w:bookmarkStart w:id="2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8">
        <w:r>
          <w:rPr>
            <w:rStyle w:val="Hyperlink"/>
          </w:rPr>
          <w:t xml:space="preserve">https://doi.org/10.1111/j.1469-1809.1949.tb02451.x</w:t>
        </w:r>
      </w:hyperlink>
      <w:r>
        <w:t xml:space="preserve">.</w:t>
      </w:r>
    </w:p>
    <w:bookmarkEnd w:id="229"/>
    <w:bookmarkStart w:id="2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0">
        <w:r>
          <w:rPr>
            <w:rStyle w:val="Hyperlink"/>
          </w:rPr>
          <w:t xml:space="preserve">https://doi.org/10.1017/ehs.2023.5</w:t>
        </w:r>
      </w:hyperlink>
      <w:r>
        <w:t xml:space="preserve">.</w:t>
      </w:r>
    </w:p>
    <w:bookmarkEnd w:id="231"/>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2026-06-19T21:52:21Z</dcterms:created>
  <dcterms:modified xsi:type="dcterms:W3CDTF">2026-06-19T21:52:21Z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