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3.png" ContentType="image/png"/>
  <Override PartName="/word/media/rId111.png" ContentType="image/png"/>
  <Override PartName="/word/media/rId119.png" ContentType="image/png"/>
  <Override PartName="/word/media/rId122.png" ContentType="image/png"/>
  <Override PartName="/word/media/rId126.png" ContentType="image/png"/>
  <Override PartName="/word/media/rId135.png" ContentType="image/png"/>
  <Override PartName="/word/media/rId138.png" ContentType="image/png"/>
  <Override PartName="/word/media/rId141.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interpret them as bounded societies, assuming that assemblages more like their near than their distant neighbors record a social group. Neutral drift among neighbors can produce the same clustering with no boundary; a social group is marked by local interaction beyond what distance accounts for. We ask what produced the phase structure, using the St. Francis basin’s Late Mississippian phases as the case. Of four candidate signatures, only between-group variance can detect such closure at this resolution, and by it the basin shows none the record can resolve. A model imposing no groups attributes 99 percent of assemblage-level variation to geography. The published phases are recovered mostly from site locations, and their boundaries fall where composition changes slowly. Parkin, long read as the center of a polity, bridges several seriation orderings rather than anchoring one. At the grain the data select, calibrated drift reproduces the basin’s between-cluster differentiation; finer cuts exceed it by three- to fivefold, and drift’s pottery is sorted into the published phases as readily as the real pottery. What drift leaves sits in the smallest samples, not at Parkin, and a weak locality in where new styles originate reproduces it.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en fases y las interpretan como sociedades delimitadas, suponiendo que los conjuntos cuyas frecuencias de clases cerámicas son más similares a las de sus vecinos cercanos que a las de los distantes registran un grupo social. Sin embargo, la deriva neutral entre vecinos puede producir el mismo agrupamiento sin fronteras. Lo que distingue a un grupo social es la interacción local que trasciende lo que la distancia puede explicar. Preguntamos qué dio origen a la estructura de las fases, tomando como ejemplo la cuenca del St. Francis y sus varias fases bien definidas del Misisipiano tardío. De cuatro firmas candidatas, solo la varianza entre grupos puede detectar ese cierre a esta resolución, y según ella, la cuenca no muestra ningún cierre que el registro pueda resolver. Un modelo que no impone grupos atribuye el 99 % de la variación entre los conjuntos a la geografía. Las fases publicadas se recuperan en su mayor parte a partir de la ubicación de los sitios, y sus límites caen donde la composición cambia lentamente. Parkin, interpretado durante mucho tiempo como el centro de una entidad política, sirve de puente entre varias ordenaciones de seriación en lugar de anclar una sola. En la escala que los datos seleccionan, la deriva calibrada reproduce la diferenciación entre los agrupamientos espaciales de la cuenca; los cortes más finos la superan entre tres y cinco veces, y la cerámica que la deriva genera se clasifica en las fases publicadas con la misma facilidad que la cerámica real. Lo que la deriva deja sin explicar se concentra en las muestras más pequeñas, no en Parkin, y una débil localidad en el origen de los nuevos estilos lo reproduce.</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includes the Parkin site, the largest moated, palisaded town in the St. Francis basin of northeastern Arkansas. The chronicles of the Hernando de Soto expedition identify it as Casqui, the seat of a paramount chief, which the expedition encountered in 1541</w:t>
      </w:r>
      <w:r>
        <w:t xml:space="preserve"> </w:t>
      </w:r>
      <w:r>
        <w:t xml:space="preserve">(Hudson et al. 1990; Mitchem 2001; Phyllis A. Morse 1990)</w:t>
      </w:r>
      <w:r>
        <w:t xml:space="preserve">. Because of its size, fortification, platform mound, and ethnohistoric identification, Parkin is routinely interpreted as the center of a Mississippian polity. That interpretation rests on the long-standing assumption that a dominant mound center marks the apex of a ranked society</w:t>
      </w:r>
      <w:r>
        <w:t xml:space="preserve"> </w:t>
      </w:r>
      <w:r>
        <w:t xml:space="preserve">(Peebles and Kus 1977)</w:t>
      </w:r>
      <w:r>
        <w:t xml:space="preserve">. It makes a specific claim about social structure. The Parkin phase was a bounded, hierarchically organized society with Parkin at its apex.</w:t>
      </w:r>
    </w:p>
    <w:p>
      <w:pPr>
        <w:pStyle w:val="CaptionedFigure"/>
      </w:pPr>
      <w:r>
        <w:drawing>
          <wp:inline>
            <wp:extent cx="4114800" cy="8028878"/>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 (1996b) assigns to each assemblage, with a gap drawn between adjacent territories for legibility. Territories are drawn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28878"/>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w:t>
      </w:r>
      <w:r>
        <w:t xml:space="preserve"> </w:t>
      </w:r>
      <w:r>
        <w:t xml:space="preserve">(1996b)</w:t>
      </w:r>
      <w:r>
        <w:t xml:space="preserve"> </w:t>
      </w:r>
      <w:r>
        <w:t xml:space="preserve">assigns to each assemblage, with a gap drawn between adjacent territories for legibility. Territories are drawn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w:t>
      </w:r>
    </w:p>
    <w:p>
      <w:pPr>
        <w:pStyle w:val="BodyText"/>
      </w:pPr>
      <w:r>
        <w:t xml:space="preserve">That makes the Parkin phase an excellent case to evaluate what a phase is. Of all the late Mississippian phases, it has the strongest independent reason to be a real social unit, since a documented paramountcy is said to sit at its center. If the phase pattern records bounded interaction anywhere, it should be detectable here. Whether such an entity existed at Parkin is an empirical question. Settlement form alone cannot answer it, because a primary center of interaction, a palisade, and a monumental mound are as compatible with competing peer communities as with a centralized, consolidated hierarchy</w:t>
      </w:r>
      <w:r>
        <w:t xml:space="preserve"> </w:t>
      </w:r>
      <w:r>
        <w:t xml:space="preserve">(King and Freer 1995; Rees 2001)</w:t>
      </w:r>
      <w:r>
        <w:t xml:space="preserve">. The 16th-century chronicles are themselves equivocal. They have been interpreted both as describing rivalry among competing peers and as describing a ranked order, so even if Parkin is Casqui they do not by themselves establish a consolidated hierarchy over the Parkin phase</w:t>
      </w:r>
      <w:r>
        <w:t xml:space="preserve"> </w:t>
      </w:r>
      <w:r>
        <w:t xml:space="preserve">(Hudson et al. 1990; Phyllis A. Morse 1990)</w:t>
      </w:r>
      <w:r>
        <w:t xml:space="preserve">. We ask instead what produced the pattern the record actually carries, measured rather than interpreted through an assumed polity model. Within the basin, settlement size is graded rather than organized around a redistributive center. The chert hoes tied to agricultural capacity, whose control would mark an economic apex, were produced across the region in a decentralized way, and they moved along a down-the-line gradient rather than through central redistribution</w:t>
      </w:r>
      <w:r>
        <w:t xml:space="preserve"> </w:t>
      </w:r>
      <w:r>
        <w:t xml:space="preserve">(Cobb 2000)</w:t>
      </w:r>
      <w:r>
        <w:t xml:space="preserve">. As we show below, the decorated-ceramic record likewise carries no clear signature of interaction narrowing beyond what distance alone would produce.</w:t>
      </w:r>
    </w:p>
    <w:p>
      <w:pPr>
        <w:pStyle w:val="BodyText"/>
      </w:pPr>
      <w:r>
        <w:t xml:space="preserve">The more revealing question is why Parkin was taken for a polity and phase in the first place. The answer lies in the unit through which the record is interpreted, a matter that the renewed debate over archaeological systematics has brought back into focus</w:t>
      </w:r>
      <w:r>
        <w:t xml:space="preserve"> </w:t>
      </w:r>
      <w:r>
        <w:t xml:space="preserve">(Lyman 2021)</w:t>
      </w:r>
      <w:r>
        <w:t xml:space="preserve">. The Parkin phase is a culture-history construct. It is a set of assemblages grouped together because their decorated-class frequencies seriate. This means they can be arranged in one ordered sequence of gradually changing frequencies, and because the sites cluster in space</w:t>
      </w:r>
      <w:r>
        <w:t xml:space="preserve"> </w:t>
      </w:r>
      <w:r>
        <w:t xml:space="preserve">(Phillips et al. 1951)</w:t>
      </w:r>
      <w:r>
        <w:t xml:space="preserve">. A social interpretation goes beyond that definition. In the Phillips-Ford-Griffin framework, the phase is the basic space-time-cultural unit, defined by distinctive traits within a locality or region over a brief span, and the definition contains no social criterion</w:t>
      </w:r>
      <w:r>
        <w:t xml:space="preserve"> </w:t>
      </w:r>
      <w:r>
        <w:t xml:space="preserve">(Phillips and Willey 1953; Willey and Phillips 1958)</w:t>
      </w:r>
      <w:r>
        <w:t xml:space="preserve">.</w:t>
      </w:r>
    </w:p>
    <w:p>
      <w:pPr>
        <w:pStyle w:val="BodyText"/>
      </w:pPr>
      <w:r>
        <w:t xml:space="preserve">In practice, however, researchers have treated the phase as a society or social unit. Willey and Phillips</w:t>
      </w:r>
      <w:r>
        <w:t xml:space="preserve"> </w:t>
      </w:r>
      <w:r>
        <w:t xml:space="preserve">(1958:48–49)</w:t>
      </w:r>
      <w:r>
        <w:t xml:space="preserve"> </w:t>
      </w:r>
      <w:r>
        <w:t xml:space="preserve">set out the syllogism that makes a phase a society. They also rejected the idea but then treated phases as societies anyway. Williams</w:t>
      </w:r>
      <w:r>
        <w:t xml:space="preserve"> </w:t>
      </w:r>
      <w:r>
        <w:t xml:space="preserve">(1954)</w:t>
      </w:r>
      <w:r>
        <w:t xml:space="preserve">, defining the southeast-Missouri phases on which the regional scheme rests, adopted the same equation outright and wrote that a phase</w:t>
      </w:r>
      <w:r>
        <w:t xml:space="preserve"> </w:t>
      </w:r>
      <w:r>
        <w:t xml:space="preserve">“probably”</w:t>
      </w:r>
      <w:r>
        <w:t xml:space="preserve"> </w:t>
      </w:r>
      <w:r>
        <w:t xml:space="preserve">equals a society. Regional practice has repeated it since, often while disavowing it. The premise itself is rarely stated. It is that assemblages more similar to one another than to their neighbors record a bounded, mutually interacting social group. Once such a group can be paired with a single dominant center, the phase becomes a polity. As a result, the polity interpretation builds the social unit in before any independent evidence of bounded groups has been weighed.</w:t>
      </w:r>
    </w:p>
    <w:p>
      <w:pPr>
        <w:pStyle w:val="BodyText"/>
      </w:pPr>
      <w:r>
        <w:t xml:space="preserve">The phase construct has been questioned on exactly this ground. Fox</w:t>
      </w:r>
      <w:r>
        <w:t xml:space="preserve"> </w:t>
      </w:r>
      <w:r>
        <w:t xml:space="preserve">(1998)</w:t>
      </w:r>
      <w:r>
        <w:t xml:space="preserve"> </w:t>
      </w:r>
      <w:r>
        <w:t xml:space="preserve">showed, through cluster analysis and ordination, that the southeast-Missouri phases fail as both groups and classes. For these phases, member assemblages fall into statistical clusters at random rather than segregating by phase. Mainfort</w:t>
      </w:r>
      <w:r>
        <w:t xml:space="preserve"> </w:t>
      </w:r>
      <w:r>
        <w:t xml:space="preserve">(2003)</w:t>
      </w:r>
      <w:r>
        <w:t xml:space="preserve"> </w:t>
      </w:r>
      <w:r>
        <w:t xml:space="preserve">put the question to very nearly the record we use. He assembled counts of ten decorated types for 39 sites with at least 800 sherds each, transcribed in large part from the Lower Mississippi Valley Survey records, and ordinated them by nonmetric multidimensional scaling, a method that imposes no groups on the data. The result, he wrote,</w:t>
      </w:r>
      <w:r>
        <w:t xml:space="preserve"> </w:t>
      </w:r>
      <w:r>
        <w:t xml:space="preserve">“provides little evidence for the integrity of the traditional late period phases in the study area and little support for their existence as currently formulated. No clear grouping is evident, although in a general sense most sites assigned to most phases are located in the general vicinity of each other in ordination space”</w:t>
      </w:r>
      <w:r>
        <w:t xml:space="preserve"> </w:t>
      </w:r>
      <w:r>
        <w:t xml:space="preserve">(Mainfort 2003:180)</w:t>
      </w:r>
      <w:r>
        <w:t xml:space="preserve">. Phase by phase the verdict was the same. The Parkin phase sites plot near one another</w:t>
      </w:r>
      <w:r>
        <w:t xml:space="preserve"> </w:t>
      </w:r>
      <w:r>
        <w:t xml:space="preserve">“but are by no means isolated from sites assigned to other phases,”</w:t>
      </w:r>
      <w:r>
        <w:t xml:space="preserve"> </w:t>
      </w:r>
      <w:r>
        <w:t xml:space="preserve">the Nodena sites give</w:t>
      </w:r>
      <w:r>
        <w:t xml:space="preserve"> </w:t>
      </w:r>
      <w:r>
        <w:t xml:space="preserve">“no basis for viewing the Nodena phase as a definable group or a class,”</w:t>
      </w:r>
      <w:r>
        <w:t xml:space="preserve"> </w:t>
      </w:r>
      <w:r>
        <w:t xml:space="preserve">and the Kent phase</w:t>
      </w:r>
      <w:r>
        <w:t xml:space="preserve"> </w:t>
      </w:r>
      <w:r>
        <w:t xml:space="preserve">“fares perhaps the worst”</w:t>
      </w:r>
      <w:r>
        <w:t xml:space="preserve"> </w:t>
      </w:r>
      <w:r>
        <w:t xml:space="preserve">(Mainfort 2003:181)</w:t>
      </w:r>
      <w:r>
        <w:t xml:space="preserve">. Mainfort closed by observing that since Phillips’s synthesis</w:t>
      </w:r>
      <w:r>
        <w:t xml:space="preserve"> </w:t>
      </w:r>
      <w:r>
        <w:t xml:space="preserve">“attempts to group archaeological sites into culture-historical units (phases) have not been accompanied by either theoretical or methodological advances,”</w:t>
      </w:r>
      <w:r>
        <w:t xml:space="preserve"> </w:t>
      </w:r>
      <w:r>
        <w:t xml:space="preserve">and that the patterns an ordination produces</w:t>
      </w:r>
      <w:r>
        <w:t xml:space="preserve"> </w:t>
      </w:r>
      <w:r>
        <w:t xml:space="preserve">“require interpretation”</w:t>
      </w:r>
      <w:r>
        <w:t xml:space="preserve"> </w:t>
      </w:r>
      <w:r>
        <w:t xml:space="preserve">(Mainfort 2003:182)</w:t>
      </w:r>
      <w:r>
        <w:t xml:space="preserve">. Both remarks mark where this paper begins. An ordination shows that the phases do not separate. It cannot say what produced the structure that is there, since assemblages sorting loosely by phase in ordination space is what bounded groups would give and also what unbounded copying across distance would give. Deciding between them takes a model of the process and a statement of what each process predicts. Lipo</w:t>
      </w:r>
      <w:r>
        <w:t xml:space="preserve"> </w:t>
      </w:r>
      <w:r>
        <w:t xml:space="preserve">(2001)</w:t>
      </w:r>
      <w:r>
        <w:t xml:space="preserve"> </w:t>
      </w:r>
      <w:r>
        <w:t xml:space="preserve">questioned the nature of phases through frequency seriation, ordering assemblages by increases and decreases in type frequencies. He showed that the assemblages are structured rather than panmictic, that is, not drawn from one freely mixing population, and argued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This premise, however, is rarely tested, and it overlooks a strong alternative that offers a potentially falsifiable explanation for the observed patterns in the archaeological record. Seen through models of social learning and cultural transmission, interaction is always continuous but highly variable. Distance and geography, along with social relationships, structure who learns from whom. This task is explanatory rather than merely critical. The culture historians who named these phases were responding to real structure they observed in the assemblages, and the question is what produced it. We therefore ask how much of that structure continuous, distance-structured interaction generates on its own, and what, if anything, remains once we account for it.</w:t>
      </w:r>
    </w:p>
    <w:p>
      <w:pPr>
        <w:pStyle w:val="BodyText"/>
      </w:pPr>
      <w:r>
        <w:t xml:space="preserve">Under the neutral model of cultural transmission, decorative style behaves as a selectively neutral trait. A neutral trait is one that confers no advantage on its user and whose frequency drifts by chance in a finite population of interacting learners</w:t>
      </w:r>
      <w:r>
        <w:t xml:space="preserve"> </w:t>
      </w:r>
      <w:r>
        <w:t xml:space="preserve">(Bentley et al. 2004; Dunnell 1978; Eerkens and Lipo 2007; Fogarty et al. 2024; Neiman 1995)</w:t>
      </w:r>
      <w:r>
        <w:t xml:space="preserve">. When those learners copy near neighbors more often than distant ones, drift in the spatially structured population produces similarity that is highest over short distances and fades with distance. Viewed at a larger scale and cut into discrete units, that gradient can look like difference and clustering, though there are no bounded groups anywhere</w:t>
      </w:r>
      <w:r>
        <w:t xml:space="preserve"> </w:t>
      </w:r>
      <w:r>
        <w:t xml:space="preserve">(Lipo et al. 1997, 2021)</w:t>
      </w:r>
      <w:r>
        <w:t xml:space="preserve">. On this account a phase can simply be the ordinary product of continuous, distance-structured interaction. The pattern the culture-history tradition interprets as a society, assemblages near one another in space and in style, is exactly what spatially structured drift predicts. Telling a real interaction group from spatially structured drift requires a test the tradition never applied, and one that culture-history methods cannot supply, because the seriation coherence and spatial proximity that define a phase are equally products of drift</w:t>
      </w:r>
      <w:r>
        <w:t xml:space="preserve"> </w:t>
      </w:r>
      <w:r>
        <w:t xml:space="preserve">(Riede et al. 2019)</w:t>
      </w:r>
      <w:r>
        <w:t xml:space="preserve">.</w:t>
      </w:r>
    </w:p>
    <w:p>
      <w:pPr>
        <w:pStyle w:val="BodyText"/>
      </w:pPr>
      <w:r>
        <w:t xml:space="preserve">Assemblages of decorated ceramics, however, provide a means to test that. Potters copy stylistic variants through social learning networks, so the spatial and temporal structure of decorated-class frequencies records past interaction. A genuine social boundary, had one existed, would result in learning that looks conformist within groups and divergent between them, and it would fragment the single drifting pool that continuous interaction maintains</w:t>
      </w:r>
      <w:r>
        <w:t xml:space="preserve"> </w:t>
      </w:r>
      <w:r>
        <w:t xml:space="preserve">(Lipo et al. 1997, 2010, 2015; Neiman 1995)</w:t>
      </w:r>
      <w:r>
        <w:t xml:space="preserve">.</w:t>
      </w:r>
    </w:p>
    <w:p>
      <w:pPr>
        <w:pStyle w:val="BodyText"/>
      </w:pPr>
      <w:r>
        <w:t xml:space="preserve">The late pre-contact lower Mississippi Valley is a favorable place to examine this potential scenario. Its decorated assemblages are well documented, and European contact and the demographic collapse that followed ended the sequence before any later reorganization could overwrite it</w:t>
      </w:r>
      <w:r>
        <w:t xml:space="preserve"> </w:t>
      </w:r>
      <w:r>
        <w:t xml:space="preserve">(Morse and Morse 1996)</w:t>
      </w:r>
      <w:r>
        <w:t xml:space="preserve">. Here, we focus on the St. Francis basin, the setting of Parkin (Figure 1), where the deposits are comparable, the decorated classes are the long-established Phillips-Ford-Griffin types, and the samples are large enough to test the empirical bases of phases</w:t>
      </w:r>
      <w:r>
        <w:t xml:space="preserve"> </w:t>
      </w:r>
      <w:r>
        <w:t xml:space="preserve">(Lipo 2001)</w:t>
      </w:r>
      <w:r>
        <w:t xml:space="preserve">.</w:t>
      </w:r>
    </w:p>
    <w:p>
      <w:pPr>
        <w:pStyle w:val="BodyText"/>
      </w:pPr>
      <w:r>
        <w:t xml:space="preserve">This analysis, however, rests on an honest recognition of what the ceramic record consists. We cannot treat assemblages as degraded snapshots of a past behavioral moment that must be restored by correcting for the processes that formed it</w:t>
      </w:r>
      <w:r>
        <w:t xml:space="preserve"> </w:t>
      </w:r>
      <w:r>
        <w:t xml:space="preserve">(Schiffer 1972)</w:t>
      </w:r>
      <w:r>
        <w:t xml:space="preserve">. Instead, we must treat them as time-averaged accumulations built up over many years of use and discard, whose decorated-class frequencies reflect the accumulated product of social learning across a population, and measure and explain them directly rather than reconstruct them</w:t>
      </w:r>
      <w:r>
        <w:t xml:space="preserve"> </w:t>
      </w:r>
      <w:r>
        <w:t xml:space="preserve">(Lipo et al. 2015; Neiman 1995)</w:t>
      </w:r>
      <w:r>
        <w:t xml:space="preserve">. This evolutionary position treats the record as an evolving phenotype to be explained rather than as direct evidence of a vanished behavioral system</w:t>
      </w:r>
      <w:r>
        <w:t xml:space="preserve"> </w:t>
      </w:r>
      <w:r>
        <w:t xml:space="preserve">(Binford 1981; Dunnell 1978, 1980, 1995a; Ladefoged and Graves 2000)</w:t>
      </w:r>
      <w:r>
        <w:t xml:space="preserve">. Its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question’s resolution rather than disqualifying it. A reorganization of transmission large enough to matter over the two centuries of the Parkin phase should register in the averaged frequency structure, and a drift-versus-groups test must measure that structure directly rather than rest on an imagined moment behind it.</w:t>
      </w:r>
    </w:p>
    <w:p>
      <w:pPr>
        <w:pStyle w:val="BodyText"/>
      </w:pPr>
      <w:r>
        <w:t xml:space="preserve">Identifying any single transmission signature cannot settle the question, because each is consistent with several processes. A departure from neutral copying, a spatial cline, or a rise in between-group variance can each arise from drift, from conformity, or from environmental patchiness. This is equifinality, the same pattern reached by different processes, and it undermines any inference that rests on one signature</w:t>
      </w:r>
      <w:r>
        <w:t xml:space="preserve"> </w:t>
      </w:r>
      <w:r>
        <w:t xml:space="preserve">(Barrett 2019; Crema et al. 2016; Kandler and Shennan 2015; Mesoudi 2021)</w:t>
      </w:r>
      <w:r>
        <w:t xml:space="preserve">. Instead, we compare the candidate processes generatively. We simulate neutral spatial drift and bounded groups on the real coordinate layout of the assemblages and ask which one best reproduces the observed structure. Because the assemblages are time-averaged and sampled, we calibrate that comparison to the record with a recovery experiment. We build a known degree of group closure into synthetic data that match the record and check whether the signatures can find it. The experiment lets us state the resolution of a negative result rather than assume it. This calibration is the transferable contribution, and it has two parts. Before any similarity structure is interpreted as social, a record must be shown to be able to distinguish drift from groups at all. And before a null model is credited with reproducing that record, it must be shown to fit the record’s own diversity. The second half turns out to matter as much as the first. Our substantive contribution is the account that survives those two requirements, which is an explanation of why one of the best-known phases in the Southeast looks as structured as it does.</w:t>
      </w:r>
    </w:p>
    <w:p>
      <w:pPr>
        <w:pStyle w:val="BodyText"/>
      </w:pPr>
      <w:r>
        <w:t xml:space="preserve">Our analysis proceeds in six steps. First, we examine the origins of the phase concept and how the Parkin site came to be recognized as the center of a polity, since that interpretation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how much of the structure that closure would leave a set of decorated-ceramic type frequencies actually carries. Fourth, we develop methods matched to the quality of the archaeological record, whose assemblages are time-averaged rather than synchronic snapshots, so that each signature is tested against the resolution the deposits actually preserve. Fifth, we apply the surviving signature to the decorated-ceramic record of the St. Francis basin, including the Parkin phase, the one lower-valley setting whose assemblages, classes, and sample sizes are adequate for the test. Finally, because we evaluate that signature against a model, we compare neutral drift with bounded groups on the real geography after calibrating each to the assemblages’ own diversity, then relax four simplifying assumptions in the drift model.</w:t>
      </w:r>
    </w:p>
    <w:bookmarkEnd w:id="114"/>
    <w:bookmarkStart w:id="118" w:name="background"/>
    <w:p>
      <w:pPr>
        <w:pStyle w:val="Heading2"/>
      </w:pPr>
      <w:r>
        <w:t xml:space="preserve">Background</w:t>
      </w:r>
    </w:p>
    <w:bookmarkStart w:id="115" w:name="Xd14237f88ca1a3c0c3921d7ef3d99b8c3ac802d"/>
    <w:p>
      <w:pPr>
        <w:pStyle w:val="Heading3"/>
      </w:pPr>
      <w:r>
        <w:t xml:space="preserve">The phase, its unstated premise, and the drift alternative</w:t>
      </w:r>
    </w:p>
    <w:p>
      <w:pPr>
        <w:pStyle w:val="FirstParagraph"/>
      </w:pPr>
      <w:r>
        <w:t xml:space="preserve">We evaluate the phase concept from the standpoint of Mayr’s</w:t>
      </w:r>
      <w:r>
        <w:t xml:space="preserve"> </w:t>
      </w:r>
      <w:r>
        <w:t xml:space="preserve">(1959)</w:t>
      </w:r>
      <w:r>
        <w:t xml:space="preserve"> </w:t>
      </w:r>
      <w:r>
        <w:t xml:space="preserve">population thinking, which Dunnell</w:t>
      </w:r>
      <w:r>
        <w:t xml:space="preserve"> </w:t>
      </w:r>
      <w:r>
        <w:t xml:space="preserve">(1980)</w:t>
      </w:r>
      <w:r>
        <w:t xml:space="preserve"> </w:t>
      </w:r>
      <w:r>
        <w:t xml:space="preserve">introduced to archaeology and which frames the question differently from the usual interpretation of the lower Mississippi Valley record. Archaeologists often treat the past as made of bounded units, the phase, the polity, the society, each a discrete entity with members and edges, and they interpret a cluster of similar assemblages as one such unit. That is typological thinking. It takes the type as the real object and the variation among assemblages as noise around it. Population thinking reverses that priority. Variation among individuals is the reality, and the type is an abstraction derived from it. We accordingly treat transmission as a continuous, variable field of copying among potters with no intrinsic boundaries. Interaction falls off with distance and is more local in some places and times than in others. A group is then not a thing with a boundary but a region where copying is locally intensified, and similarity is a matter of degree. Closure, the narrowing of interaction inward, is also a matter of degree, defined against geography rather than in place of it. Potters everywhere interact more with near neighbors than with distant ones, and that tendency alone produces clustering. Closure is the part of local interaction that distance does not account for. It is therefore a quantity rather than a condition, running from zero, where distance predicts who copies whom entirely, upward as interaction narrows further than distance would make it. Neither zero nor complete closure is expected in a real settlement system. A phase needs to be a social unit not through complete closure but through a measurable amount of it, and our analysis asks how much the record carries. When we write of a bounded interaction group, we mean the upper end of that scale, called a limiting case, so the measured quantity has something to be measured against.</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people who interacted mostly within it</w:t>
      </w:r>
      <w:r>
        <w:t xml:space="preserve"> </w:t>
      </w:r>
      <w:r>
        <w:t xml:space="preserve">(McNutt 1996; Morse and Morse 1983; Phillips et al. 1951; Williams 1954)</w:t>
      </w:r>
      <w:r>
        <w:t xml:space="preserve">. That premise is not unreasonable. The difficulty is that the same clustering arises with no closure at all through isolation by distance, the tendency for neighbors to resemble one another simply because they interact more often than distant parties do</w:t>
      </w:r>
      <w:r>
        <w:t xml:space="preserve"> </w:t>
      </w:r>
      <w:r>
        <w:t xml:space="preserve">(Lipo et al. 2021; Neiman 1995; Shennan et al. 2015)</w:t>
      </w:r>
      <w:r>
        <w:t xml:space="preserve">. What marks a social group is therefore the excess over what distance predicts, in the sense defined above, and that excess is the signature we must test for. It is also what makes the test operational. Every comparison below measures the observed structure against a model run on the real geography of the assemblages, so the quantity left over is by construction the part geography does not account for. Decoration transmitted preferentially within a group and diverging between groups can be treated as a marker rather than as a neutral style drifting in a shared pool. A marker is the ceramic proxy for interaction closing into a bounded group, so the drift-versus-groups question becomes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 an ordering in which each type rises to a peak and then declines</w:t>
      </w:r>
      <w:r>
        <w:t xml:space="preserve"> </w:t>
      </w:r>
      <w:r>
        <w:t xml:space="preserve">(Dunnell 1995b; Lipo 2001; Lipo et al. 2015; Lipo and Madsen 2001; O’Brien and Leonard 2001)</w:t>
      </w:r>
      <w:r>
        <w:t xml:space="preserve">. Assortment, the tendency for like to learn from like, breaks that pool up. If learning becomes restricted within emerging social boundaries where conformist copying occurs within groups and learners favor whatever variant is already common, each group’s range of variants shrinks. As a result, groups diverge from one another, and the single transmission field fragments</w:t>
      </w:r>
      <w:r>
        <w:t xml:space="preserve"> </w:t>
      </w:r>
      <w:r>
        <w:t xml:space="preserve">(Crema et al. 2016; Henrich 2001; Henrich and Boyd 1998)</w:t>
      </w:r>
      <w:r>
        <w:t xml:space="preserve">. The resulting restricted pool can come to look like</w:t>
      </w:r>
      <w:r>
        <w:t xml:space="preserve"> </w:t>
      </w:r>
      <w:r>
        <w:t xml:space="preserve">“markers”</w:t>
      </w:r>
      <w:r>
        <w:t xml:space="preserve"> </w:t>
      </w:r>
      <w:r>
        <w:t xml:space="preserve">of bounded social groups, even if no sharp boundaries ever existed.</w:t>
      </w:r>
    </w:p>
    <w:p>
      <w:pPr>
        <w:pStyle w:val="BodyText"/>
      </w:pPr>
      <w:r>
        <w:t xml:space="preserve">A methodological obstacle is that no single frequency pattern is uniquely tied to the process that generated it. A departure from neutrality can reflect conformity, an anti-conformist preference for novelty, a bias toward particular content, or simply the fact that durable objects rather than people are the units that accumulate in a deposit</w:t>
      </w:r>
      <w:r>
        <w:t xml:space="preserve"> </w:t>
      </w:r>
      <w:r>
        <w:t xml:space="preserve">(Crema et al. 2016, 2024; Henrich 2001)</w:t>
      </w:r>
      <w:r>
        <w:t xml:space="preserve">. Archaeological assemblages make the problem harder because they are time-averaged. Deposits form by aggregation over a use-life, which inflates richness, flattens evenness, and biases neutrality statistics by an amount that depends on the mean lifetime of the variants</w:t>
      </w:r>
      <w:r>
        <w:t xml:space="preserve"> </w:t>
      </w:r>
      <w:r>
        <w:t xml:space="preserve">(Madsen 2012; Premo 2014)</w:t>
      </w:r>
      <w:r>
        <w:t xml:space="preserve">. The result is equifinality in which several transmission processes can produce the same population-level pattern, so a single statistic cannot recover the process that generated it. Where a discriminating signature survives at all, it lies only in the rare-variant tail of the frequency distribution, the least common types, rather than in the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predict opposite transmission signatures.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Parkin dominates the phase. It is a roughly 17-acre palisaded center, with a platform mound rising more than 6 m. The De Soto chronicles place it as the seat of the paramount of Casqui</w:t>
      </w:r>
      <w:r>
        <w:t xml:space="preserve"> </w:t>
      </w:r>
      <w:r>
        <w:t xml:space="preserve">(Dye and Cox 1990; Mitchem 2001; Phyllis A. Morse 1990)</w:t>
      </w:r>
      <w:r>
        <w:t xml:space="preserve">. Under this interpretation, Parkin’s location on agriculturally poor soil is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that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w:t>
      </w:r>
    </w:p>
    <w:p>
      <w:pPr>
        <w:pStyle w:val="BodyText"/>
      </w:pPr>
      <w:r>
        <w:t xml:space="preserve">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competing peers would. The same sources have also been interpreted as ranking Casqui below Pacaha, and the chronicle ethnography is thin and filtered</w:t>
      </w:r>
      <w:r>
        <w:t xml:space="preserve"> </w:t>
      </w:r>
      <w:r>
        <w:t xml:space="preserve">(Hudson et al. 1990; Mitchem 2001; Phyllis A. Morse 1990)</w:t>
      </w:r>
      <w:r>
        <w:t xml:space="preserve">. Settlement morphology alone cannot separate the two possibilities for Parkin. We can separate them by asking how far interaction narrowed beyond what distance alone produces, and that is the test we now construct.</w:t>
      </w:r>
    </w:p>
    <w:bookmarkEnd w:id="117"/>
    <w:bookmarkEnd w:id="118"/>
    <w:bookmarkStart w:id="125" w:name="Xe1cc53abb112c2b395e3beee2af5ceb0aad4bed"/>
    <w:p>
      <w:pPr>
        <w:pStyle w:val="Heading2"/>
      </w:pPr>
      <w:r>
        <w:t xml:space="preserve">Distinguishing true group structure from spatially structured drift</w:t>
      </w:r>
    </w:p>
    <w:p>
      <w:pPr>
        <w:pStyle w:val="FirstParagraph"/>
      </w:pPr>
      <w:r>
        <w:t xml:space="preserve">Our test for group structure rests on a single principle. A process that genuinely reorganizes a population into groups must leave a mark on every aspect of how pottery styles were copied, whereas a process that merely produces a similar pattern leaves a mark on some aspects and not others. The reorganization at issue is what we call the closure of interaction. Because it is central to the rest of the paper, we define it intensionally, by the conditions that constitute it rather than by listing cases</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come to copy mostly others within their own group and rarely anyone outside it, until a field of social learning that was once continuous breaks into separate pools that drift apart.</w:t>
      </w:r>
    </w:p>
    <w:p>
      <w:pPr>
        <w:pStyle w:val="BodyText"/>
      </w:pPr>
      <w:r>
        <w:t xml:space="preserve">Closure is the process a genuinely bounded interaction group undergoes. We treat its strength as a quantity to be tested for and measured. That strength varies from none, meaning one fully open field of learning, through partial, to complete, meaning sealed groups that do not interact. In the synthetic experiments below, we treat it as a parameter,</w:t>
      </w:r>
      <w:r>
        <w:t xml:space="preserve"> </w:t>
      </w:r>
      <w:r>
        <w:rPr>
          <w:i/>
          <w:iCs/>
        </w:rPr>
        <w:t xml:space="preserve">s</w:t>
      </w:r>
      <w:r>
        <w:t xml:space="preserve">, that runs from 0 (pure drift, no closure) to 1 (strongly bounded, sharply separated groups). Drift here means neutral drift, the random change in the frequencies of designs that arises when potters copy one another with no preference among designs. Four candidate signatures for closure follow, each a different consequence, and we state each in plain terms before naming its formal measure.</w:t>
      </w:r>
    </w:p>
    <w:p>
      <w:pPr>
        <w:pStyle w:val="BodyText"/>
      </w:pPr>
      <w:r>
        <w:t xml:space="preserve">The first signature asks whether potters copied at random or with a bias. Under random copying, two independent measures of an assemblage’s diversity agree. One is based on the chance that two randomly drawn sherds share a decorated class; the other on the number of classes present. Biased copying pulls them apart. Conformity, in which potters preferentially copy whatever is already common, concentrates sherds onto a few classes without eliminating the rare ones, so the first measure changes and the second barely does. A process that favors novelty does the reverse. Their disagreement detects a departure from random copying and gives its direction</w:t>
      </w:r>
      <w:r>
        <w:t xml:space="preserve"> </w:t>
      </w:r>
      <w:r>
        <w:t xml:space="preserve">(Neiman 1995; Shennan and Wilkinson 2001)</w:t>
      </w:r>
      <w:r>
        <w:t xml:space="preserve">. This matters here because a bounded group enforcing a shared decorative marker would copy in a conformist way right up to its boundaries, whereas a single drifting pool of styles would keep the two measures equal.</w:t>
      </w:r>
    </w:p>
    <w:p>
      <w:pPr>
        <w:pStyle w:val="BodyText"/>
      </w:pPr>
      <w:r>
        <w:t xml:space="preserve">The second signature asks whether the assemblages belong to one interacting community or to several. It is the most direct test of fragmentation. The signature rests on frequency seriation: ordering assemblages so each decorated class rises to a single peak and then decreases monotonically. This shape has long been known as a</w:t>
      </w:r>
      <w:r>
        <w:t xml:space="preserve"> </w:t>
      </w:r>
      <w:r>
        <w:t xml:space="preserve">“battleship curve”</w:t>
      </w:r>
      <w:r>
        <w:t xml:space="preserve"> </w:t>
      </w:r>
      <w:r>
        <w:t xml:space="preserve">(Dunnell 1970)</w:t>
      </w:r>
      <w:r>
        <w:t xml:space="preserve">. That shape is how styles behave within a community drawing on a shared pool of designs. They are introduced, become popular, and are abandoned. Classical practice pooled all assemblages into one seriation and dismissed departures from it as sampling error, discarding what is arguably the method’s most informative feature</w:t>
      </w:r>
      <w:r>
        <w:t xml:space="preserve"> </w:t>
      </w:r>
      <w:r>
        <w:t xml:space="preserve">(Lipo 2001)</w:t>
      </w:r>
      <w:r>
        <w:t xml:space="preserve">. A set of assemblages is co-seriable when a single ordering satisfies every class at once, which is what a single continuously interacting population produces. When learning splits into separate groups, each with its own repertoire, no single ordering can satisfy them all, and the assemblages break into mutually incompatible orderings whose number directly measures the structure of past interaction</w:t>
      </w:r>
      <w:r>
        <w:t xml:space="preserve"> </w:t>
      </w:r>
      <w:r>
        <w:t xml:space="preserve">(Lipo et al. 1997, 2015)</w:t>
      </w:r>
      <w:r>
        <w:t xml:space="preserve">. An assemblage that falls into several of them bridges sequences rather than forming the closed core of a bounded community.</w:t>
      </w:r>
    </w:p>
    <w:p>
      <w:pPr>
        <w:pStyle w:val="BodyText"/>
      </w:pPr>
      <w:r>
        <w:t xml:space="preserve">The third signature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how differentiated groups are from one another.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belong to different classes, and we compute the index both within each spatial group and across all assemblages pooled together.</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each group already holds,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 Here</w:t>
      </w:r>
      <w:r>
        <w:t xml:space="preserve"> </w:t>
      </w:r>
      <m:oMath>
        <m:sSub>
          <m:e>
            <m:r>
              <m:t>F</m:t>
            </m:r>
          </m:e>
          <m:sub>
            <m:r>
              <m:t>S</m:t>
            </m:r>
            <m:r>
              <m:t>T</m:t>
            </m:r>
          </m:sub>
        </m:sSub>
      </m:oMath>
      <w:r>
        <w:t xml:space="preserve"> </w:t>
      </w:r>
      <w:r>
        <w:t xml:space="preserve">is the most direct measure of how far decoration has sorted by group, with one important caveat.</w:t>
      </w:r>
    </w:p>
    <w:p>
      <w:pPr>
        <w:pStyle w:val="BodyText"/>
      </w:pPr>
      <w:r>
        <w:t xml:space="preserve">The caveat is that drift alone generates between-group variance when a population is spread across space. Subpopulations retain different levels of diversity depending on their size and connectivity. Small or sparsely connected areas drift toward depleted, idiosyncratic repertoires, while larger, well-connected ones remain richer. These differences can look like distinct interacting groups even though spatial position alone produces them</w:t>
      </w:r>
      <w:r>
        <w:t xml:space="preserve"> </w:t>
      </w:r>
      <w:r>
        <w:t xml:space="preserve">(Lipo et al. 2021)</w:t>
      </w:r>
      <w:r>
        <w:t xml:space="preserve">. Therefore, we must calibrate our measure against that spatial-drift null, the range of values that drift alone produces on a spatially structured population, rather than take it at face value.</w:t>
      </w:r>
    </w:p>
    <w:p>
      <w:pPr>
        <w:pStyle w:val="BodyText"/>
      </w:pPr>
      <w:r>
        <w:t xml:space="preserve">The fourth signature asks whether socially close assemblages are more alike than assemblages that are merely near one another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so that pairs of assemblages within a cluster are more alike than pairs across neighboring clusters spanning the same distance. We capture the step with a boundary-excess statistic, which a plain correlation of similarity with distance cannot isolate, with the caveat that drift on a finite network can itself produce a positive excess</w:t>
      </w:r>
      <w:r>
        <w:t xml:space="preserve"> </w:t>
      </w:r>
      <w:r>
        <w:t xml:space="preserve">(Lipo et al. 2021)</w:t>
      </w:r>
      <w:r>
        <w:t xml:space="preserve">. Full definitions of all four signatures are in the Supplemental Text.</w:t>
      </w:r>
    </w:p>
    <w:p>
      <w:pPr>
        <w:pStyle w:val="BodyText"/>
      </w:pPr>
      <w:r>
        <w:t xml:space="preserve">Each plausible alternative to a bounded interaction group drives only some of these signatures (Table 1). Environmental patchiness, in which similar people occupy distinct ecological zones, produces spatial structure without departing from neutral transmission and without losing seriation coherence. Aggregated conformity, the bottom-up regime in which a conformist bias flattens diversity within a single community, produces a departure from neutrality but no boundaries, so seriation stays coherent and between-group variance stays low. Smooth, deterministic drift with distance-limited interaction produces an isolation-by-distance cline</w:t>
      </w:r>
      <w:r>
        <w:t xml:space="preserve"> </w:t>
      </w:r>
      <w:r>
        <w:t xml:space="preserve">(Shennan et al. 2015; Wright 1943)</w:t>
      </w:r>
      <w:r>
        <w:t xml:space="preserve">. That pattern is a gradual fading of similarity with distance, as people interact mostly with near neighbors, and it lacks both the sharp boundaries and the departures from neutrality that mark restricted, assortative learning, in which potters preferentially copy members of their own group. A bounded interaction group, in which one assortative process restricts transmission along every dimension, is the only process that drives all four signatures together at full strength.</w:t>
      </w:r>
    </w:p>
    <w:p>
      <w:pPr>
        <w:pStyle w:val="BodyText"/>
      </w:pPr>
      <w:r>
        <w:t xml:space="preserve">Table 1 sets out this comparison in idealized form. Its last two columns also show why we cannot apply that logic directly to this record, as we discuss next. Because of these complications, we compare the two processes generatively instead, simulating neutral spatial drift and bounded groups alike on the real geography of the deposits. The simulations show which process reproduces the observed structure, and the signatures then serve as diagnostics of which one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that the process drives, and an open circle (○) marks one that it does not. Figure 2 shows the same expectations as simulated trajectories. The two drift columns, and the reason we do not apply this logic to the record as it stands, are explained in the text below. The final column reports the recovery experiment introduced later, which screens the four signatures against this record. What survives that screening is cultural</w:t>
      </w:r>
      <w:r>
        <w:t xml:space="preserve"> </w:t>
      </w:r>
      <m:oMath>
        <m:sSub>
          <m:e>
            <m:r>
              <m:t>F</m:t>
            </m:r>
          </m:e>
          <m:sub>
            <m:r>
              <m:t>S</m:t>
            </m:r>
            <m:r>
              <m:t>T</m:t>
            </m:r>
          </m:sub>
        </m:sSub>
      </m:oMath>
      <w:r>
        <w:t xml:space="preserve">, judged against the drift null, together with the generative comparison of drift with groups, not convergence across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w:t>
      </w:r>
    </w:p>
    <w:p>
      <w:pPr>
        <w:pStyle w:val="BodyText"/>
      </w:pPr>
      <w:r>
        <w:t xml:space="preserve">Figure 2 makes those expectations concrete. Simulating each process on large, clean assemblages and measuring all four signatures along the sequence shows a bounded interaction group moving all four together, and each of the other three drives a characteristic subset. That is the pattern the criterion looks for, shown before any question of whether this record could register it.</w:t>
      </w:r>
    </w:p>
    <w:p>
      <w:pPr>
        <w:pStyle w:val="BodyText"/>
      </w:pPr>
      <w:r>
        <w:t xml:space="preserve">The two drift columns illustrate the difficulty archaeologists face in detecting bounded groups. Smooth, deterministic isolation by distance produces only a decay of similarity with distance, and the distance-controlled boundary excess is near zero under it, so it drives none of the four signatures. Stochastic neutral drift on a finite network is less forgiving, because it generates patchy divergence that raises cultural</w:t>
      </w:r>
      <w:r>
        <w:t xml:space="preserve"> </w:t>
      </w:r>
      <m:oMath>
        <m:sSub>
          <m:e>
            <m:r>
              <m:t>F</m:t>
            </m:r>
          </m:e>
          <m:sub>
            <m:r>
              <m:t>S</m:t>
            </m:r>
            <m:r>
              <m:t>T</m:t>
            </m:r>
          </m:sub>
        </m:sSub>
      </m:oMath>
      <w:r>
        <w:t xml:space="preserve"> </w:t>
      </w:r>
      <w:r>
        <w:t xml:space="preserve">and registers as a positive boundary signature even without any social boundary. The result is a pattern that resembles group structure with no group present, and the record-matched controls, synthetic assemblages built to the record’s own sample sizes and geography, demonstrate it (see Results, Figure S2). Aggregated conformity, by contrast, raises the neutrality departure within a single undivided pool and forms none of the between-group boundaries that the other signatures require.</w:t>
      </w:r>
    </w:p>
    <w:p>
      <w:pPr>
        <w:pStyle w:val="BodyText"/>
      </w:pPr>
      <w:r>
        <w:t xml:space="preserve">If closure occurred, its effects would accumulate across the sequence. On idealized data, genuine convergence should take the form of a trajectory, a coherent shift of all four signatures in the same direction across the ordinal sequence of assemblages, concentrated where and when interaction narrows toward a bounded group. This logic is only as strong as the independence of the signatures, because four measures that merely repeat one another converge trivially. We therefore validate the test on simulated assemblages before applying it, and use the same simulations to ask whether the four signatures are tightly correlated under closure yet nearly independent under the alternatives, which is what would make their joint movement informative.</w:t>
      </w:r>
    </w:p>
    <w:p>
      <w:pPr>
        <w:pStyle w:val="BodyText"/>
      </w:pPr>
      <w:r>
        <w:t xml:space="preserve">This kind of convergence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his approach to our four measures to ensure dynamic sufficiency, a property we define below. Empirical sufficiency is a separate question. It asks whether all four signatures, or only some, can register closure on a record like ours. We settle it with a calibration test, in which we check what each signature can detect on synthetic data matched to the Parkin assemblages.</w:t>
      </w:r>
    </w:p>
    <w:p>
      <w:pPr>
        <w:pStyle w:val="BodyText"/>
      </w:pPr>
      <w:r>
        <w:t xml:space="preserve">The calibration takes the form of a recovery experiment. We build group closure of known, controlled strength into synthetic assemblages matched to the real record, then ask which signatures recover it and how strong the closure must be before it registers. Evaluating each signature against this record-matched standard, rather than an idealized expectation, lets us treat an absence of structure as a real result rather than a resolution failure. The Materials and Methods section and the Supplemental Text give the procedure and its parameters.</w:t>
      </w:r>
    </w:p>
    <w:p>
      <w:pPr>
        <w:pStyle w:val="BodyText"/>
      </w:pPr>
      <w:r>
        <w:t xml:space="preserve">Figure 3 previews what the test distinguishes. It shows the sharp structure that a bounded group would leave, set against the diffuse pattern that drift produces. Figure 3 also shows why a weak within-basin boundary cannot be excluded on a record of this size and degree of time-averaging.</w:t>
      </w:r>
    </w:p>
    <w:p>
      <w:pPr>
        <w:pStyle w:val="CaptionedFigure"/>
      </w:pPr>
      <w:r>
        <w:drawing>
          <wp:inline>
            <wp:extent cx="5334000" cy="4404980"/>
            <wp:effectExtent b="0" l="0" r="0" t="0"/>
            <wp:docPr descr="Figure 3. 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 F_{ST} signature recovered from synthetic assemblages as the strength of imposed group closure rises from 0 (drift) to 1 (strong groups). The dashed line shows the observed trend (-0.048): a rank correlation of F_{ST} with seriation position, not an F_{ST} 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w:t>
      </w:r>
      <w:r>
        <w:t xml:space="preserve"> </w:t>
      </w:r>
      <m:oMath>
        <m:sSub>
          <m:e>
            <m:r>
              <m:t>F</m:t>
            </m:r>
          </m:e>
          <m:sub>
            <m:r>
              <m:t>S</m:t>
            </m:r>
            <m:r>
              <m:t>T</m:t>
            </m:r>
          </m:sub>
        </m:sSub>
      </m:oMath>
      <w:r>
        <w:t xml:space="preserve"> </w:t>
      </w:r>
      <w:r>
        <w:t xml:space="preserve">signature recovered from synthetic assemblages as the strength of imposed group closure rises from 0 (drift) to 1 (strong groups). The dashed line shows the observed trend (-0.048): a rank correlation of</w:t>
      </w:r>
      <w:r>
        <w:t xml:space="preserve"> </w:t>
      </w:r>
      <m:oMath>
        <m:sSub>
          <m:e>
            <m:r>
              <m:t>F</m:t>
            </m:r>
          </m:e>
          <m:sub>
            <m:r>
              <m:t>S</m:t>
            </m:r>
            <m:r>
              <m:t>T</m:t>
            </m:r>
          </m:sub>
        </m:sSub>
      </m:oMath>
      <w:r>
        <w:t xml:space="preserve"> </w:t>
      </w:r>
      <w:r>
        <w:t xml:space="preserve">with seriation position, not an</w:t>
      </w:r>
      <w:r>
        <w:t xml:space="preserve"> </w:t>
      </w:r>
      <m:oMath>
        <m:sSub>
          <m:e>
            <m:r>
              <m:t>F</m:t>
            </m:r>
          </m:e>
          <m:sub>
            <m:r>
              <m:t>S</m:t>
            </m:r>
            <m:r>
              <m:t>T</m:t>
            </m:r>
          </m:sub>
        </m:sSub>
      </m:oMath>
      <w:r>
        <w:t xml:space="preserve"> </w:t>
      </w:r>
      <w:r>
        <w:t xml:space="preserve">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w:t>
      </w:r>
    </w:p>
    <w:p>
      <w:pPr>
        <w:pStyle w:val="BodyText"/>
      </w:pPr>
      <w:r>
        <w:t xml:space="preserve">A signature is trustworthy to the degree that it meets three conditions, which are usually treated separately. First, it should rest solidly on theory. Here, a cultural transmission model supplies its assumptions, so the signature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derive from the same cultural transmission model</w:t>
      </w:r>
      <w:r>
        <w:t xml:space="preserve"> </w:t>
      </w:r>
      <w:r>
        <w:t xml:space="preserve">(Lipo et al. 2015)</w:t>
      </w:r>
      <w:r>
        <w:t xml:space="preserve">. Second, it should be dynamically sufficient in Lewontin’s</w:t>
      </w:r>
      <w:r>
        <w:t xml:space="preserve"> </w:t>
      </w:r>
      <w:r>
        <w:t xml:space="preserve">(1974)</w:t>
      </w:r>
      <w:r>
        <w:t xml:space="preserve"> </w:t>
      </w:r>
      <w:r>
        <w:t xml:space="preserve">sense, meaning that its state variables and their transformation laws are enough to carry the system from one state to the next. Third, it should be empirically sufficient. This means that it matches the quality of the archaeological record and is defined at the time-averaged resolution the deposit preserves, rather than at a snapshot or generational resolution</w:t>
      </w:r>
      <w:r>
        <w:t xml:space="preserve"> </w:t>
      </w:r>
      <w:r>
        <w:t xml:space="preserve">(Holdaway and Wandsnider 2008; Perreault 2019)</w:t>
      </w:r>
      <w:r>
        <w:t xml:space="preserve">.</w:t>
      </w:r>
    </w:p>
    <w:p>
      <w:pPr>
        <w:pStyle w:val="BodyText"/>
      </w:pPr>
      <w:r>
        <w:t xml:space="preserve">The transmission model thus supports our four signatures on theoretical and dynamic grounds. Empirical sufficiency, whether a signature can actually register closure at the resolution the deposit preserves, does not follow from that framing, and we must test it rather than assume it. As we describe below, on this record’s 43 time-averaged assemblages only cultural</w:t>
      </w:r>
      <w:r>
        <w:t xml:space="preserve"> </w:t>
      </w:r>
      <m:oMath>
        <m:sSub>
          <m:e>
            <m:r>
              <m:t>F</m:t>
            </m:r>
          </m:e>
          <m:sub>
            <m:r>
              <m:t>S</m:t>
            </m:r>
            <m:r>
              <m:t>T</m:t>
            </m:r>
          </m:sub>
        </m:sSub>
      </m:oMath>
      <w:r>
        <w:t xml:space="preserve"> </w:t>
      </w:r>
      <w:r>
        <w:t xml:space="preserve">registers the imposed closure, and even then it must be compared against the stochastic-drift null rather than against zero. Seriation-coherence breakdown, which only a bounded group drives in principle, is the cleanest discriminator on paper yet undetectable here. Measured as states along the sequence, the signatures are only partially dynamically sufficient, a shortcoming we address in the Discussion with tests that model the transformation between states.</w:t>
      </w:r>
    </w:p>
    <w:bookmarkEnd w:id="125"/>
    <w:bookmarkStart w:id="134" w:name="materials-and-methods"/>
    <w:p>
      <w:pPr>
        <w:pStyle w:val="Heading2"/>
      </w:pPr>
      <w:r>
        <w:t xml:space="preserve">Materials and methods</w:t>
      </w:r>
    </w:p>
    <w:bookmarkStart w:id="129"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t>
      </w:r>
      <w:r>
        <w:t xml:space="preserve">together with the collections reported there. The assemblages in this study underlie the original phase definitions, amended with additional locations and evaluated for statistical sufficiency. We restrict the analysis to decorated classes on theoretical grounds. The expectations of neutral transmission apply to stylistic variation, meaning variants that carry no difference in performance and whose frequencies therefore change through copying and chance alone</w:t>
      </w:r>
      <w:r>
        <w:t xml:space="preserve"> </w:t>
      </w:r>
      <w:r>
        <w:t xml:space="preserve">(Dunnell 1978; Neiman 1995)</w:t>
      </w:r>
      <w:r>
        <w:t xml:space="preserve">. Plain wares are everything else, that is, all sherds without stylistic decorative elements. Their abundance tracks vessel function, paste technology, and the activities carried out at a site, none of which a drift model represents. Mississippi Plain and Bell Plain, which differ from one another only in paste, make up 87 percent of the sherds in the one published table for this region that reports them</w:t>
      </w:r>
      <w:r>
        <w:t xml:space="preserve"> </w:t>
      </w:r>
      <w:r>
        <w:t xml:space="preserve">(Mainfort 2003)</w:t>
      </w:r>
      <w:r>
        <w:t xml:space="preserve">. They are excluded. Ten decorated classes remain. One pools Barton Incised, Kent Incised, and Mound Place Incised, and one pools the painted types Old Town Red, Nodena Red and White, and Avenue Polychrome. Every assemblage takes its counts from a single source, and no counts are summed across sources. Of the 38 assemblages, 20 come from Lipo’s compilation, which adds controlled surface collections and limited excavation carried out in 1996 and 1997 at seven of them, six being recollections of sites the original survey had sampled and one, Holden Lake, a new collection</w:t>
      </w:r>
      <w:r>
        <w:t xml:space="preserve"> </w:t>
      </w:r>
      <w:r>
        <w:t xml:space="preserve">(Lipo 2001)</w:t>
      </w:r>
      <w:r>
        <w:t xml:space="preserve">. The other 18 carry the survey’s counts alone. Mainfort</w:t>
      </w:r>
      <w:r>
        <w:t xml:space="preserve"> </w:t>
      </w:r>
      <w:r>
        <w:t xml:space="preserve">(2003)</w:t>
      </w:r>
      <w:r>
        <w:t xml:space="preserve"> </w:t>
      </w:r>
      <w:r>
        <w:t xml:space="preserve">assembled an overlapping table of 39 sites with at least 800 sherds each, transcribed largely from the same survey files. His counts are therefore not independent of ours. They match the survey’s at 11 of the 21 sites the two share and exceed them at the other ten. His acknowledgments report that collections housed at the C. H. Nash Museum at Chucalissa were analyzed for the study</w:t>
      </w:r>
      <w:r>
        <w:t xml:space="preserve"> </w:t>
      </w:r>
      <w:r>
        <w:t xml:space="preserve">(Mainfort 2003:182)</w:t>
      </w:r>
      <w:r>
        <w:t xml:space="preserve">, and six of those ten sites (Walls, Irby, Woodlyn, Beck, Belle Meade, and Mound Place) lie in the Memphis locality, so we infer that the excess is later collections from those sites. He does not itemize sources by site, and the inference is ours. We do not combine his counts with ours. We use his table for a second, separate analysis reported at the end of the Results, because he assigned his sites to phases under a configuration that differs from the one in Figure 1, and two schemes drawn through the same sites are the material for asking whether either set of lines is where anything changes. The broader 266-assemblage compilation of the survey’s counts</w:t>
      </w:r>
      <w:r>
        <w:t xml:space="preserve"> </w:t>
      </w:r>
      <w:r>
        <w:t xml:space="preserve">(Lipo 2001)</w:t>
      </w:r>
      <w:r>
        <w:t xml:space="preserve"> </w:t>
      </w:r>
      <w:r>
        <w:t xml:space="preserve">enters only the regional comparisons and the settlement cross-checks. Each decorated class is a culture-history type, that is, a unit of measurement the analysts built to capture stylistic variation, rather than a category assumed to have existed in the past.</w:t>
      </w:r>
    </w:p>
    <w:p>
      <w:pPr>
        <w:pStyle w:val="BodyText"/>
      </w:pPr>
      <w:r>
        <w:t xml:space="preserve">We restrict the analysis to the phases of the St. Francis basin, the setting of Parkin. The unit under test is the phase scheme itself, so membership is phase membership: an assemblage enters the analysis when Mainfort</w:t>
      </w:r>
      <w:r>
        <w:t xml:space="preserve"> </w:t>
      </w:r>
      <w:r>
        <w:t xml:space="preserve">(1996b)</w:t>
      </w:r>
      <w:r>
        <w:t xml:space="preserve"> </w:t>
      </w:r>
      <w:r>
        <w:t xml:space="preserve">assigns it to one of the five phases named above, or when the assemblage falls inside the territory his assignments define. Two further rules apply. The Parchman phase is excluded on geography: its three assemblages lie across the Mississippi in Coahoma County, 30 to 46 km from the nearest other assemblage and 77 km from the centroid of the rest, and no definition of the St. Francis basin reaches them. And an assemblage enters only with at least 75 decorated sherds. That number is chosen by measurement rather than convention. The cultural</w:t>
      </w:r>
      <w:r>
        <w:t xml:space="preserve"> </w:t>
      </w:r>
      <m:oMath>
        <m:sSub>
          <m:e>
            <m:r>
              <m:t>F</m:t>
            </m:r>
          </m:e>
          <m:sub>
            <m:r>
              <m:t>S</m:t>
            </m:r>
            <m:r>
              <m:t>T</m:t>
            </m:r>
          </m:sub>
        </m:sSub>
      </m:oMath>
      <w:r>
        <w:t xml:space="preserve"> </w:t>
      </w:r>
      <w:r>
        <w:t xml:space="preserve">we use is a plug-in estimator, and sampling alone manufactures differentiation between two assemblages drawn from one and the same population of pots, in rough proportion to one over the sample size. Drawing pairs of samples from the basin’s pooled class profile, so that everything between them is sampling, gives a spurious</w:t>
      </w:r>
      <w:r>
        <w:t xml:space="preserve"> </w:t>
      </w:r>
      <m:oMath>
        <m:sSub>
          <m:e>
            <m:r>
              <m:t>F</m:t>
            </m:r>
          </m:e>
          <m:sub>
            <m:r>
              <m:t>S</m:t>
            </m:r>
            <m:r>
              <m:t>T</m:t>
            </m:r>
          </m:sub>
        </m:sSub>
      </m:oMath>
      <w:r>
        <w:t xml:space="preserve"> </w:t>
      </w:r>
      <w:r>
        <w:t xml:space="preserve">whose median is nearly half the observed between-cluster value at 25 sherds, a fifth at 50, a seventh at 75, and a ninth at 100, with the 95th percentile first falling below the observed value at 75 (Supplemental Text). Seventy-five is therefore the lowest count at which the sampling artifact can no longer pass for the result, and above it the artifact shrinks slowly while assemblages are lost quickly. Mainfort’s</w:t>
      </w:r>
      <w:r>
        <w:t xml:space="preserve"> </w:t>
      </w:r>
      <w:r>
        <w:t xml:space="preserve">(2003)</w:t>
      </w:r>
      <w:r>
        <w:t xml:space="preserve"> </w:t>
      </w:r>
      <w:r>
        <w:t xml:space="preserve">rule of 800 sherds in all corresponds to about 100 decorated sherds, so ours is slightly the more permissive. The minimum removes six assemblages, and one consequence is that the Nodena phase is left with a single member, Carson Lake; a phase of one has no within-group variance to compare and, as an isolated point, would be handed its own spatial cluster, so it is not carried as a phase. What remains is 28 decorated assemblages holding 14,101 decorated sherds (median 251 per assemblage, range 79 to 1,709) in three phases, Parkin with 11 assemblages, Kent with 8, and Walls with 9; 25 carry Mainfort’s assignment and 3 the territory’s. Figure 1 shows seven phases and the analysis tests three, and the path from seven to three has three steps, each with its own reason. Jones Bayou and Tipton, in western Tennessee, never enter: the only decorated counts for their sites are Mainfort’s</w:t>
      </w:r>
      <w:r>
        <w:t xml:space="preserve"> </w:t>
      </w:r>
      <w:r>
        <w:t xml:space="preserve">(2003)</w:t>
      </w:r>
      <w:r>
        <w:t xml:space="preserve">, which this paper keeps as a comparison rather than a source, and neither the survey nor our own collections reached them. Parchman leaves on geography, as above. Nodena leaves on sample size: its three assemblages hold 47, 38, and 153 decorated sherds, and after the minimum only one remains. What survives is the three phases whose assemblages the survey and our collections sampled well enough for a between-group statistic to mean something, and they are also the three that sit along the St. Francis and its distributaries rather than on the far side of the Mississippi or beyond the basin’s northern edge. Nodena and Parchman are therefore not tested here, not because they are not phases but because the decorated record for them is too thin, or too far away, for the comparison to mean anything. The four untested phases remain on Figure 1 because the scheme is what the paper is about, and the reader should see all of it. As drawn, these phases spill beyond the drainage that names them; the farthest member sits 40.6 km from the St. Francis system, and a 20 km corridor around that drainage would exclude ten assemblages that carry a phase label. A stricter rule, keeping only phase members nearer the St. Francis system than the Mississippi, would yield 17; the analyses below use the phase set, since the phases are the unit under test. Two southern St. Francis-type sites, Old Town and Blanchard, fall outside the drainage rule. They lie 28 and 80 km from the St. Francis system and belong to the Mississippi-proximal and lower Yazoo settings rather than to the St. Francis drainage.</w:t>
      </w:r>
    </w:p>
    <w:p>
      <w:pPr>
        <w:pStyle w:val="BodyText"/>
      </w:pPr>
      <w:r>
        <w:t xml:space="preserve">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Our test investigates how far interaction narrowed anywhere in the basin, that is, how far potters came to copy mainly within a group and rarely across its edge. We explore this question across the phase divisions that culture history draws within the basin, and within the Parkin phase itself.</w:t>
      </w:r>
    </w:p>
    <w:p>
      <w:pPr>
        <w:pStyle w:val="BodyText"/>
      </w:pPr>
      <w:r>
        <w:t xml:space="preserve">We georeferenced each assemblage from maps in the Lower Mississippi Survey site files. Settlement attributes, namely site size, mound count and height, and the presence of defensive ditches and St. Francis-type fortification, come from a regional geographic database</w:t>
      </w:r>
      <w:r>
        <w:t xml:space="preserve"> </w:t>
      </w:r>
      <w:r>
        <w:t xml:space="preserve">(Lipo and Dunnell 2007)</w:t>
      </w:r>
      <w:r>
        <w:t xml:space="preserve">.</w:t>
      </w:r>
    </w:p>
    <w:p>
      <w:pPr>
        <w:pStyle w:val="BodyText"/>
      </w:pPr>
      <w:r>
        <w:t xml:space="preserve">Two properties of the data limit what any transmission analysis can claim, and we treat them as constraints rather than nuisances. First, the assemblages are time-averaged surface collections. Each is a sample from pottery that accumulated over the whole use-life of its deposit, so sherds made at different times are counted together. This kind of aggregation distorts diversity and neutrality statistics in proportion to the mean lifetime of the variants</w:t>
      </w:r>
      <w:r>
        <w:t xml:space="preserve"> </w:t>
      </w:r>
      <w:r>
        <w:t xml:space="preserve">(Madsen 2012; Miller-Atkins and Premo 2018)</w:t>
      </w:r>
      <w:r>
        <w:t xml:space="preserve">. Second, the expectations of the neutral model, in which learners copy variants in proportion to their current frequency and no variant is favored, are derived for a population of people copying one another. An assemblage counts durable objects, the sherds themselves, not the potters who made them. Because the record is object-mediated rather than person-mediated, the standard neutral expectation does not apply exactly and must be interpreted with that caveat in mind</w:t>
      </w:r>
      <w:r>
        <w:t xml:space="preserve"> </w:t>
      </w:r>
      <w:r>
        <w:t xml:space="preserve">(Crema et al. 2024)</w:t>
      </w:r>
      <w:r>
        <w:t xml:space="preserve">.</w:t>
      </w:r>
    </w:p>
    <w:p>
      <w:pPr>
        <w:pStyle w:val="BodyText"/>
      </w:pPr>
      <w:r>
        <w:t xml:space="preserve">An absolute chronology is also required. Mainfort’s</w:t>
      </w:r>
      <w:r>
        <w:t xml:space="preserve"> </w:t>
      </w:r>
      <w:r>
        <w:t xml:space="preserve">(2001)</w:t>
      </w:r>
      <w:r>
        <w:t xml:space="preserve"> </w:t>
      </w:r>
      <w:r>
        <w:t xml:space="preserve">compilation provides 108 radiocarbon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and show a decline across the contact interval, as detailed in the Supplemental Text (summed-probability median AD 1428, Parkin AD 1483).</w:t>
      </w:r>
    </w:p>
    <w:p>
      <w:pPr>
        <w:pStyle w:val="BodyText"/>
      </w:pPr>
      <w:r>
        <w:t xml:space="preserve">A calibration plateau across that interval prevents year-scale resolution</w:t>
      </w:r>
      <w:r>
        <w:t xml:space="preserve"> </w:t>
      </w:r>
      <w:r>
        <w:t xml:space="preserve">(Holland-Lulewicz and Ritchison 2021)</w:t>
      </w:r>
      <w:r>
        <w:t xml:space="preserve">, so we order the assemblages by seriation rather than by calendar age. Seriation orders assemblages by the similarity of their class frequencies, so that the order reflects relative age rather than calendar years. We use the first axis of a correspondence analysis for this purpose</w:t>
      </w:r>
      <w:r>
        <w:t xml:space="preserve"> </w:t>
      </w:r>
      <w:r>
        <w:t xml:space="preserve">(Baxter 1994; Peeples and Schachner 2012; Smith and Neiman 2007)</w:t>
      </w:r>
      <w:r>
        <w:t xml:space="preserve">. This ordination arranges assemblages along axes that summarize the differences among their decorated-class frequencies. We treat the first axis as a relative chronological ordinate, oriented so that higher positions correspond to later time (Figure 4).</w:t>
      </w:r>
    </w:p>
    <w:p>
      <w:pPr>
        <w:pStyle w:val="BodyText"/>
      </w:pPr>
      <w:r>
        <w:t xml:space="preserve">The seriation axis tracks calendar time, but imperfectly. Pooling the dates of the five proveniences that match curated assemblages, the median calibrated ages correlate with seriation position at Spearman +0.70 (n = 5, 27 dates pooled). Four of the five sites fall in calendrical order, with one late-dated site deviating. We test an ordinal trajectory, not a calendrical rate. The discriminating quantity is the trend in cultural</w:t>
      </w:r>
      <w:r>
        <w:t xml:space="preserve"> </w:t>
      </w:r>
      <m:oMath>
        <m:sSub>
          <m:e>
            <m:r>
              <m:t>F</m:t>
            </m:r>
          </m:e>
          <m:sub>
            <m:r>
              <m:t>S</m:t>
            </m:r>
            <m:r>
              <m:t>T</m:t>
            </m:r>
          </m:sub>
        </m:sSub>
      </m:oMath>
      <w:r>
        <w:t xml:space="preserve"> </w:t>
      </w:r>
      <w:r>
        <w:t xml:space="preserve">along the sequence after subsampling each assemblage to a common sherd count. That trend is a signed rank correlation, so reversing the axis reverses the sign of the trend. Because the trend is negligible after subsampling, its orientation does not change the verdict. We run the spatial simulations below under the two orientations and return to both limits in the discussion.</w:t>
      </w:r>
    </w:p>
    <w:p>
      <w:pPr>
        <w:pStyle w:val="CaptionedFigure"/>
      </w:pPr>
      <w:r>
        <w:drawing>
          <wp:inline>
            <wp:extent cx="5334000" cy="3639186"/>
            <wp:effectExtent b="0" l="0" r="0" t="0"/>
            <wp:docPr descr="Figure 4. 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7" name="Picture"/>
            <a:graphic>
              <a:graphicData uri="http://schemas.openxmlformats.org/drawingml/2006/picture">
                <pic:pic>
                  <pic:nvPicPr>
                    <pic:cNvPr descr="../../figures/fig4_ca_ordination.png" id="128" name="Picture"/>
                    <pic:cNvPicPr>
                      <a:picLocks noChangeArrowheads="1" noChangeAspect="1"/>
                    </pic:cNvPicPr>
                  </pic:nvPicPr>
                  <pic:blipFill>
                    <a:blip r:embed="rId126"/>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9"/>
    <w:bookmarkStart w:id="130" w:name="the-four-signatures"/>
    <w:p>
      <w:pPr>
        <w:pStyle w:val="Heading3"/>
      </w:pPr>
      <w:r>
        <w:t xml:space="preserve">The four signatures</w:t>
      </w:r>
    </w:p>
    <w:p>
      <w:pPr>
        <w:pStyle w:val="FirstParagraph"/>
      </w:pPr>
      <w:r>
        <w:t xml:space="preserve">Each signature is computed with a published or standard estimator, stated in full in the Supplemental Text, and the four are combined only at the final step. Departure from neutral transmission is the ratio of two estimates of Neiman’s</w:t>
      </w:r>
      <w:r>
        <w:t xml:space="preserve"> </w:t>
      </w:r>
      <w:r>
        <w:t xml:space="preserve">(1995)</w:t>
      </w:r>
      <w:r>
        <w:t xml:space="preserve"> </w:t>
      </w:r>
      <w:r>
        <w:t xml:space="preserve">transmission parameter, one from an assemblage’s unbiased homozygosity and one from its number of classes through the Ewens sampling formula</w:t>
      </w:r>
      <w:r>
        <w:t xml:space="preserve"> </w:t>
      </w:r>
      <w:r>
        <w:t xml:space="preserve">(1972; Shennan and Wilkinson 2001)</w:t>
      </w:r>
      <w:r>
        <w:t xml:space="preserve">. The two agree under random copying and diverge under bias. Seriation coherence is the number of maximal co-seriable groups returned by the iterative deterministic method of Lipo, Madsen, and Dunnell</w:t>
      </w:r>
      <w:r>
        <w:t xml:space="preserve"> </w:t>
      </w:r>
      <w:r>
        <w:t xml:space="preserve">(2015)</w:t>
      </w:r>
      <w:r>
        <w:t xml:space="preserve">, together with the number of groups each assemblage joins. We confirm that the fragmented, overlapping topology is stable across thresholds. The variance partition is cultural</w:t>
      </w:r>
      <w:r>
        <w:t xml:space="preserve"> </w:t>
      </w:r>
      <m:oMath>
        <m:sSub>
          <m:e>
            <m:r>
              <m:t>F</m:t>
            </m:r>
          </m:e>
          <m:sub>
            <m:r>
              <m:t>S</m:t>
            </m:r>
            <m:r>
              <m:t>T</m:t>
            </m:r>
          </m:sub>
        </m:sSub>
      </m:oMath>
      <w:r>
        <w:t xml:space="preserve"> </w:t>
      </w:r>
      <w:r>
        <w:t xml:space="preserve">computed on Gini-Simpson diversity, the probability that two sherds drawn at random belong to different classes, across the spatial clusters and weighted by assemblage size</w:t>
      </w:r>
      <w:r>
        <w:t xml:space="preserve"> </w:t>
      </w:r>
      <w:r>
        <w:t xml:space="preserve">(Bell et al. 2009)</w:t>
      </w:r>
      <w:r>
        <w:t xml:space="preserve">. We compute spatial assortativity using Brainerd-Robinson similarity</w:t>
      </w:r>
      <w:r>
        <w:t xml:space="preserve"> </w:t>
      </w:r>
      <w:r>
        <w:t xml:space="preserve">(Brainerd 1951; Robinson 1951)</w:t>
      </w:r>
      <w:r>
        <w:t xml:space="preserve">, a standard index of class proportions that runs from 0 for no overlap to 200 for identical proportions. Because a plain similarity-distance correlation cannot separate a sharp boundary from smooth decay, we also compute the distance-controlled boundary excess, the loss of similarity across a boundary beyond what distance alone predicts.</w:t>
      </w:r>
    </w:p>
    <w:p>
      <w:pPr>
        <w:pStyle w:val="BodyText"/>
      </w:pPr>
      <w:r>
        <w:t xml:space="preserve">A between-cluster</w:t>
      </w:r>
      <w:r>
        <w:t xml:space="preserve"> </w:t>
      </w:r>
      <m:oMath>
        <m:sSub>
          <m:e>
            <m:r>
              <m:t>F</m:t>
            </m:r>
          </m:e>
          <m:sub>
            <m:r>
              <m:t>S</m:t>
            </m:r>
            <m:r>
              <m:t>T</m:t>
            </m:r>
          </m:sub>
        </m:sSub>
      </m:oMath>
      <w:r>
        <w:t xml:space="preserve"> </w:t>
      </w:r>
      <w:r>
        <w:t xml:space="preserve">also depends on how many clusters the basin is divided into, and that dependence is itself a result we report (Supplemental Text). For that reason, we also fit a partition-free model that treats decorated-class composition as a continuous spatial field over the assemblage coordinates and asks how much variation among assemblages is spatially structured and how much is specific to individual sites. Bounded groups produce site-specific character that geography does not explain, so the division between spatially structured variation and site-specific variation is exactly what decides the question. The Supplemental Text describes the model, its priors, and its diagnostics.</w:t>
      </w:r>
    </w:p>
    <w:p>
      <w:pPr>
        <w:pStyle w:val="BodyText"/>
      </w:pPr>
      <w:r>
        <w:t xml:space="preserve">Two safeguards are essential before interpreting any of these signatures. Assemblage sample size trends with seriation position (Spearman’s rho = +0.59), and several estimators are size-sensitive, so a signature could move along the sequence through sampling alone. We subsample every assemblage to a common count of 50 sherds, drawn without replacement, a procedure known as rarefaction</w:t>
      </w:r>
      <w:r>
        <w:t xml:space="preserve"> </w:t>
      </w:r>
      <w:r>
        <w:t xml:space="preserve">(Hurlbert 1971)</w:t>
      </w:r>
      <w:r>
        <w:t xml:space="preserve">, before scoring each signature as its rank correlation with ordinal position. The second safeguard is that we do not assume which signatures are trustworthy at the record’s resolution. We establish this through the recovery experiment described next, in which we impose a known degree of closure on the real configuration.</w:t>
      </w:r>
    </w:p>
    <w:bookmarkEnd w:id="130"/>
    <w:bookmarkStart w:id="131" w:name="criterion-validation-by-simulation"/>
    <w:p>
      <w:pPr>
        <w:pStyle w:val="Heading3"/>
      </w:pPr>
      <w:r>
        <w:t xml:space="preserve">Criterion validation by simulation</w:t>
      </w:r>
    </w:p>
    <w:p>
      <w:pPr>
        <w:pStyle w:val="FirstParagraph"/>
      </w:pPr>
      <w:r>
        <w:t xml:space="preserve">We ran three simulations, each answering a different question. The first, an idealized validation, asks whether, using large, clean synthetic assemblages, the four signatures can in principle separate a bounded interaction group from the three processes that can resemble it but are not bounded groups and can move some of the same signatures (Figure 2). The second, a record-matched recovery, asks which of those signatures can still detect a known, imposed closure once the synthetic assemblages match the real record’s sample sizes and time-averaging (Figure 5). The third, a positive control, asks which generative process, neutral spatial drift (class frequencies wandering through unbiased copying among neighbors) or bounded groups, reproduces the structure actually observed in the basin (Figure S2). Together, the first two establish what the test can resolve on a record of this size, and the third identifies which process the data match. We describe the validation and the recovery experiment here, and the drift comparison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that places group profiles on the landscape. Four generators produce the four idealized processes of Table 1. These include a bounded interaction group and three processes that can resemble it. These processes consist of environmental patchiness, aggregated conformity, and smooth distance-limited drift</w:t>
      </w:r>
      <w:r>
        <w:t xml:space="preserve"> </w:t>
      </w:r>
      <w:r>
        <w:t xml:space="preserve">(Mesoudi 2021)</w:t>
      </w:r>
      <w:r>
        <w:t xml:space="preserve">. We ran the simulation blind through the four-signature procedure across 500 random seeds. The Results report what it found. Because it uses large, clean assemblages, the idealized validation shows what the test can do in principle, not what it can do on a record like ours.</w:t>
      </w:r>
    </w:p>
    <w:p>
      <w:pPr>
        <w:pStyle w:val="BodyText"/>
      </w:pPr>
      <w:r>
        <w:t xml:space="preserve">The record-matched recovery builds synthetic pottery records in which we set how strongly group structure is emerging, from none to strong, and asks whether our four measures can detect it. We matched the synthetic records to the real ones in the number of assemblages, the range of sample sizes, and the time-averaging that surface assemblages impose</w:t>
      </w:r>
      <w:r>
        <w:t xml:space="preserve"> </w:t>
      </w:r>
      <w:r>
        <w:t xml:space="preserve">(Madsen 2012; Miller-Atkins and Premo 2018; Premo 2014)</w:t>
      </w:r>
      <w:r>
        <w:t xml:space="preserve">. This experiment tells us whether methods like ours, applied to data like ours, would have caught a chiefdom structure that was genuinely emerging at Parkin.</w:t>
      </w:r>
    </w:p>
    <w:p>
      <w:pPr>
        <w:pStyle w:val="BodyText"/>
      </w:pPr>
      <w:r>
        <w:t xml:space="preserve">Concretely, we generated one synthetic assemblage per real assemblage, at the real per-assemblage sample sizes, spatial clusters, and ordinal bins. We built group closure of known, adjustable strength</w:t>
      </w:r>
      <w:r>
        <w:t xml:space="preserve"> </w:t>
      </w:r>
      <w:r>
        <w:rPr>
          <w:i/>
          <w:iCs/>
        </w:rPr>
        <w:t xml:space="preserve">s</w:t>
      </w:r>
      <w:r>
        <w:t xml:space="preserve"> </w:t>
      </w:r>
      <w:r>
        <w:t xml:space="preserve">into these, with between-group divergence and within-group conformity rising together along the sequence to a maximum of</w:t>
      </w:r>
      <w:r>
        <w:t xml:space="preserve"> </w:t>
      </w:r>
      <w:r>
        <w:rPr>
          <w:i/>
          <w:iCs/>
        </w:rPr>
        <w:t xml:space="preserve">s</w:t>
      </w:r>
      <w:r>
        <w:t xml:space="preserve">. At</w:t>
      </w:r>
      <w:r>
        <w:t xml:space="preserve"> </w:t>
      </w:r>
      <w:r>
        <w:rPr>
          <w:i/>
          <w:iCs/>
        </w:rPr>
        <w:t xml:space="preserve">s</w:t>
      </w:r>
      <w:r>
        <w:t xml:space="preserve"> </w:t>
      </w:r>
      <w:r>
        <w:t xml:space="preserve">= 0, every cluster and bin shares one fixed class-frequency profile and differs only through sampling. This baseline is a sampling null rather than an evolving spatial-drift field, and the drift comparison in the next subsection supplies the latter. We then asked which signatures recover that imposed closure. This is a record-matched recovery design in the spirit of simulation-based inference calibrated to the data at hand</w:t>
      </w:r>
      <w:r>
        <w:t xml:space="preserve"> </w:t>
      </w:r>
      <w:r>
        <w:t xml:space="preserve">(Crema et al. 2014; Kandler and Shennan 2015)</w:t>
      </w:r>
      <w:r>
        <w:t xml:space="preserve">.</w:t>
      </w:r>
    </w:p>
    <w:p>
      <w:pPr>
        <w:pStyle w:val="BodyText"/>
      </w:pPr>
      <w:r>
        <w:t xml:space="preserve">Two properties of the record make this design necessary. First, assemblage size trends with seriation position, as noted above, so a size-dependent estimator can move along the axis through sampling alone. We subsample every assemblage, synthetic and real, to a common count before scoring. Second, we time-average the assemblages by blending adjacent-bin production within a window. The recovery experiment then asks, at the resolution and sample sizes this record preserves, which signatures we can trust and how strong a closure would need to be to register.</w:t>
      </w:r>
    </w:p>
    <w:p>
      <w:pPr>
        <w:pStyle w:val="BodyText"/>
      </w:pPr>
      <w:r>
        <w:t xml:space="preserve">One aspect of the calibration matters here.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As a result, the null with no closure (pure drift) itself carries a mild negative trend rather than a flat zero. Rather than build a significance test against that null, we treat the simulations themselves as the likelihood. For each imposed strength, the simulations give the distribution of trajectory statistics that strength produces, and the observed statistic then yields a posterior over strength. The imposed strength</w:t>
      </w:r>
      <w:r>
        <w:t xml:space="preserve"> </w:t>
      </w:r>
      <w:r>
        <w:rPr>
          <w:i/>
          <w:iCs/>
        </w:rPr>
        <w:t xml:space="preserve">s</w:t>
      </w:r>
      <w:r>
        <w:t xml:space="preserve"> </w:t>
      </w:r>
      <w:r>
        <w:t xml:space="preserve">is a parameter. For each</w:t>
      </w:r>
      <w:r>
        <w:t xml:space="preserve"> </w:t>
      </w:r>
      <w:r>
        <w:rPr>
          <w:i/>
          <w:iCs/>
        </w:rPr>
        <w:t xml:space="preserve">s</w:t>
      </w:r>
      <w:r>
        <w:t xml:space="preserve">, our simulations give the distribution of the trajectory statistic it produces, and the observed statistic yields a posterior over</w:t>
      </w:r>
      <w:r>
        <w:t xml:space="preserve"> </w:t>
      </w:r>
      <w:r>
        <w:rPr>
          <w:i/>
          <w:iCs/>
        </w:rPr>
        <w:t xml:space="preserve">s</w:t>
      </w:r>
      <w:r>
        <w:t xml:space="preserve"> </w:t>
      </w:r>
      <w:r>
        <w:t xml:space="preserve">under a uniform prior over the imposed range. No threshold or error rate is involved in our evaluation. The posterior refers to closure expressed as this imposed trajectory of increasing divergence. A stable boundary present from the start of the sequence would not produce a rising trend. Instead, the drift comparison addresses that case.</w:t>
      </w:r>
    </w:p>
    <w:bookmarkEnd w:id="131"/>
    <w:bookmarkStart w:id="132"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Our neutral spatial-drift model follows the finite-population network model of Lipo, DiNapoli, Madsen, and Hunt</w:t>
      </w:r>
      <w:r>
        <w:t xml:space="preserve"> </w:t>
      </w:r>
      <w:r>
        <w:t xml:space="preserve">(2021)</w:t>
      </w:r>
      <w:r>
        <w:t xml:space="preserve">. Each assemblage is a node that holds a finite population of learners. Learners copy decorated-class variants from within their node and, at a low rate, from other nodes, with a probability that decays with along-river distance. Innovation enters at a constant per-learner rate within the fixed set of measured classes, and deposition is pooled over a trailing window to reproduce the record’s time-averaging. The bounded-groups model is identical except that every copying weight crossing a specified boundary is multiplied by a number between 1 (no boundary, weights unchanged) and 0.03 (a strong boundary, weights cut to three percent). Both models use the observed coordinate layout, are sampled at each assemblage’s seriation position, and are subsampled to the observed per-assemblage sherd totals. We score each simulation on spatial-cluster and community cultural</w:t>
      </w:r>
      <w:r>
        <w:t xml:space="preserve"> </w:t>
      </w:r>
      <m:oMath>
        <m:sSub>
          <m:e>
            <m:r>
              <m:t>F</m:t>
            </m:r>
          </m:e>
          <m:sub>
            <m:r>
              <m:t>S</m:t>
            </m:r>
            <m:r>
              <m:t>T</m:t>
            </m:r>
          </m:sub>
        </m:sSub>
      </m:oMath>
      <w:r>
        <w:t xml:space="preserve">, network modularity (the degree to which a similarity network divides into densely connected groups), distance-decay similarity, and distance-controlled boundary excess.</w:t>
      </w:r>
    </w:p>
    <w:p>
      <w:pPr>
        <w:pStyle w:val="BodyText"/>
      </w:pPr>
      <w:r>
        <w:t xml:space="preserve">Two design decisions separate this comparison from the one we first ran and from most published neutral-model comparisons. The first concerns what a class is. Under the standard K-allele assumption, an innovating learner adopts any measured class with equal probability, which treats the ten culture-history types as exchangeable variants. We also run a version in which innovation lands in each class in proportion to that class’s share of the region’s pooled counts, which reflects the unequal numbers of decorative variants the types aggregate.</w:t>
      </w:r>
    </w:p>
    <w:p>
      <w:pPr>
        <w:pStyle w:val="BodyText"/>
      </w:pPr>
      <w:r>
        <w:t xml:space="preserve">The second decision is calibration. This step involves tuning a model’s parameters so it reproduces the data features that do not involve the question being tested. A drift model’s between-group predictions depend jointly on population size, mixing, and innovation. Before comparing any between-group statistic, we calibrate each model to three within-assemblage summaries that do not involve the tested partition. These are mean within-assemblage diversity, mean class richness at the observed sherd totals, and pooled diversity. We simulate a grid of population size, innovation, and mixing and call a combination diversity-matched when all three summaries fall within 10 percent of the observed values. As a baseline, we use whichever diversity-matched parameter combination produces the highest</w:t>
      </w:r>
      <w:r>
        <w:t xml:space="preserve"> </w:t>
      </w:r>
      <m:oMath>
        <m:sSub>
          <m:e>
            <m:r>
              <m:t>F</m:t>
            </m:r>
          </m:e>
          <m:sub>
            <m:r>
              <m:t>S</m:t>
            </m:r>
            <m:r>
              <m:t>T</m:t>
            </m:r>
          </m:sub>
        </m:sSub>
      </m:oMath>
      <w:r>
        <w:t xml:space="preserve"> </w:t>
      </w:r>
      <w:r>
        <w:t xml:space="preserve">across the partition being tested, so the comparison favors drift. The baseline runs 500 realizations, and around it we run the boundary strengths, two interaction lengths, and seven sensitivity cases (Supplemental Text). For each comparison, we report where the observed value falls in the calibrated model’s predictive distribution, as the fraction of simulated datasets that reach it, under the seriation order, its reverse, and a contemporaneous sampling scheme.</w:t>
      </w:r>
    </w:p>
    <w:bookmarkEnd w:id="132"/>
    <w:bookmarkStart w:id="133" w:name="external-cross-check"/>
    <w:p>
      <w:pPr>
        <w:pStyle w:val="Heading3"/>
      </w:pPr>
      <w:r>
        <w:t xml:space="preserve">External cross-check</w:t>
      </w:r>
    </w:p>
    <w:p>
      <w:pPr>
        <w:pStyle w:val="FirstParagraph"/>
      </w:pPr>
      <w:r>
        <w:t xml:space="preserve">The transmission test stands on its own, but a polity should also leave non-ceramic traces. We assembled two further lines of evidence, one genuinely independent of the ceramic data (the lithic exchange economy) and one that shares its collection substrate (settlement organization). We assessed settlement organization from the within-basin distribution of maximum mound height, the one attribute recorded the same way at every site. Mound area is recorded as zero for Parkin and is therefore not usable. The question is whether a single center dominates as a redistributive apex, the classic archaeological correlate of a ranked society, or whether size is graded</w:t>
      </w:r>
      <w:r>
        <w:t xml:space="preserve"> </w:t>
      </w:r>
      <w:r>
        <w:t xml:space="preserve">(Peebles and Kus 1977)</w:t>
      </w:r>
      <w:r>
        <w:t xml:space="preserve">. We did not measure the political economy of exchange ourselves. We drew instead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w:t>
      </w:r>
    </w:p>
    <w:bookmarkEnd w:id="133"/>
    <w:bookmarkEnd w:id="134"/>
    <w:bookmarkStart w:id="167" w:name="results"/>
    <w:p>
      <w:pPr>
        <w:pStyle w:val="Heading2"/>
      </w:pPr>
      <w:r>
        <w:t xml:space="preserve">Results</w:t>
      </w:r>
    </w:p>
    <w:p>
      <w:pPr>
        <w:pStyle w:val="FirstParagraph"/>
      </w:pPr>
      <w:r>
        <w:t xml:space="preserve">In principle, all four signatures separate bounded groups from drift. In practice, given how small and time-averaged the Lower Mississippi Valley record is, only one of them can. The idealized test behaves as designed. When we simulate interaction narrowing toward closed groups, all four signatures rise together, whereas drift and the two other resembling processes each move only some of them. Under closure, the four are tightly correlated (mean absolute pairwise correlation 0.88), and under those three they are nearly independent (0.18 to 0.28), so their joint movement carries information rather than repeating it (Figure 2).</w:t>
      </w:r>
    </w:p>
    <w:p>
      <w:pPr>
        <w:pStyle w:val="BodyText"/>
      </w:pPr>
      <w:r>
        <w:t xml:space="preserve">The more telling test matches the record itself (Figure 5). We built synthetic assemblages with the real sample sizes, spatial clusters, and ordinal bins, imposed a known group closure of strength</w:t>
      </w:r>
      <w:r>
        <w:t xml:space="preserve"> </w:t>
      </w:r>
      <w:r>
        <w:rPr>
          <w:i/>
          <w:iCs/>
        </w:rPr>
        <w:t xml:space="preserve">s</w:t>
      </w:r>
      <w:r>
        <w:t xml:space="preserve"> </w:t>
      </w:r>
      <w:r>
        <w:t xml:space="preserve">(0 for pure drift, 1 for sharply separated groups), subsampled every assemblage to a common count, and asked which signatures register it. Only cultural</w:t>
      </w:r>
      <w:r>
        <w:t xml:space="preserve"> </w:t>
      </w:r>
      <m:oMath>
        <m:sSub>
          <m:e>
            <m:r>
              <m:t>F</m:t>
            </m:r>
          </m:e>
          <m:sub>
            <m:r>
              <m:t>S</m:t>
            </m:r>
            <m:r>
              <m:t>T</m:t>
            </m:r>
          </m:sub>
        </m:sSub>
      </m:oMath>
      <w:r>
        <w:t xml:space="preserve">, the share of stylistic variation that lies between groups rather than within them, rises steadily with</w:t>
      </w:r>
      <w:r>
        <w:t xml:space="preserve"> </w:t>
      </w:r>
      <w:r>
        <w:rPr>
          <w:i/>
          <w:iCs/>
        </w:rPr>
        <w:t xml:space="preserve">s</w:t>
      </w:r>
      <w:r>
        <w:t xml:space="preserve">. None of the other three does. The departure from neutral transmission, which measures how far the type frequencies stray from what unbiased copying would produce, does not move in one direction as conformity increases. The spatial boundary statistic does not respond at all to the two spatial clusters the data can support, and the seriation group count, the number of separate orderings the assemblages break into, does not move in the direction closure predicts.</w:t>
      </w:r>
    </w:p>
    <w:p>
      <w:pPr>
        <w:pStyle w:val="BodyText"/>
      </w:pPr>
      <w:r>
        <w:t xml:space="preserve">Treating the simulation series as a likelihood turns the observed trajectory into a posterior for how much closure the basin could contain. That posterior has a median of 0.15 and a 95 percent credible interval of 0.00 to 0.36, with none of its mass at strengths of 0.5 or more. Mass here is probability. A posterior spreads a total of one across the possible values, and the share sitting in a range is how much of that total the data and the model place there.</w:t>
      </w:r>
    </w:p>
    <w:p>
      <w:pPr>
        <w:pStyle w:val="BodyText"/>
      </w:pPr>
      <w:r>
        <w:t xml:space="preserve">Time-averaging widens that posterior. Each assemblage pools sherds deposited over time, and when the simulation includes that pooling, the median rises to 0.31. The credible interval, the range that holds a stated share of the posterior probability, extends from 0.00 to 0.65, and the mass above 0.5 rises to 0.20. Time-averaging, not sample size alone, makes moderate closure hard to exclude. At this record size, and with its time-averaging, between-group variance is the one signature that can tell a bounded group from drift. The other three cannot separate closure from drift here at any strength. We report them here for completeness but can draw no inference from them.</w:t>
      </w:r>
    </w:p>
    <w:p>
      <w:pPr>
        <w:pStyle w:val="CaptionedFigure"/>
      </w:pPr>
      <w:r>
        <w:drawing>
          <wp:inline>
            <wp:extent cx="5334000" cy="2692949"/>
            <wp:effectExtent b="0" l="0" r="0" t="0"/>
            <wp:docPr descr="Figure 5. Record-matched, size-controlled recovery of the signatures. Left: each signature’s response (Spearman trend versus ordinal position) to a known degree of group closure imposed on the real configuration of 28 assemblages and subsampled to a common count. Only cultural F_{ST} 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 F_{ST} trend is a rank correlation of -0.048, averaged over 4,000 subsamples, against a draw-to-draw spread of -0.80 to +0.40." title="" id="136" name="Picture"/>
            <a:graphic>
              <a:graphicData uri="http://schemas.openxmlformats.org/drawingml/2006/picture">
                <pic:pic>
                  <pic:nvPicPr>
                    <pic:cNvPr descr="../../figures/fig5_recovery.png" id="137" name="Picture"/>
                    <pic:cNvPicPr>
                      <a:picLocks noChangeArrowheads="1" noChangeAspect="1"/>
                    </pic:cNvPicPr>
                  </pic:nvPicPr>
                  <pic:blipFill>
                    <a:blip r:embed="rId135"/>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Record-matched, size-controlled recovery of the signatures. Left: each signature’s response (Spearman trend versus ordinal position) to a known degree of group closure imposed on the real configuration of 28 assemblages and subsampled to a common count. Only cultural</w:t>
      </w:r>
      <w:r>
        <w:t xml:space="preserve"> </w:t>
      </w:r>
      <m:oMath>
        <m:sSub>
          <m:e>
            <m:r>
              <m:t>F</m:t>
            </m:r>
          </m:e>
          <m:sub>
            <m:r>
              <m:t>S</m:t>
            </m:r>
            <m:r>
              <m:t>T</m:t>
            </m:r>
          </m:sub>
        </m:sSub>
      </m:oMath>
      <w:r>
        <w:t xml:space="preserve"> </w:t>
      </w:r>
      <w:r>
        <w:t xml:space="preserve">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w:t>
      </w:r>
      <w:r>
        <w:t xml:space="preserve"> </w:t>
      </w:r>
      <m:oMath>
        <m:sSub>
          <m:e>
            <m:r>
              <m:t>F</m:t>
            </m:r>
          </m:e>
          <m:sub>
            <m:r>
              <m:t>S</m:t>
            </m:r>
            <m:r>
              <m:t>T</m:t>
            </m:r>
          </m:sub>
        </m:sSub>
      </m:oMath>
      <w:r>
        <w:t xml:space="preserve"> </w:t>
      </w:r>
      <w:r>
        <w:t xml:space="preserve">trend is a rank correlation of -0.048, averaged over 4,000 subsamples, against a draw-to-draw spread of -0.80 to +0.40.</w:t>
      </w:r>
    </w:p>
    <w:p>
      <w:pPr>
        <w:pStyle w:val="BodyText"/>
      </w:pPr>
      <w:r>
        <w:t xml:space="preserve">When the one reliable signature is applied to the St. Francis basin assemblages, it shows no closure beyond the distance-based expectation, and the apparent signatures in the other three are confounded with sample size (Figure 6). The raw trajectory along the seriation axis appears to dissociate, with the signatures becoming more disparate rather than moving together. Two of its trends, though, are sampling artifacts. Assemblage size itself trends with seriation position, so any estimator that is sensitive to sample size trends with it too.</w:t>
      </w:r>
    </w:p>
    <w:p>
      <w:pPr>
        <w:pStyle w:val="BodyText"/>
      </w:pPr>
      <w:r>
        <w:t xml:space="preserve">Size control removes the apparent trend in cultural</w:t>
      </w:r>
      <w:r>
        <w:t xml:space="preserve"> </w:t>
      </w:r>
      <m:oMath>
        <m:sSub>
          <m:e>
            <m:r>
              <m:t>F</m:t>
            </m:r>
          </m:e>
          <m:sub>
            <m:r>
              <m:t>S</m:t>
            </m:r>
            <m:r>
              <m:t>T</m:t>
            </m:r>
          </m:sub>
        </m:sSub>
      </m:oMath>
      <w:r>
        <w:t xml:space="preserve">. Once we subsample every assemblage to a common sherd count, the trend across the sequence moves from a raw rank correlation of -0.80 to -0.048, averaged over 4,000 subsamples, and a single subsample returns anything from -0.80 to +0.40. The record resolves no trend at all. What can be measured is measured on four of the six bins, because two bins hold assemblages of a single spatial cluster and so have no between-cluster variance; at this grain the ends of the chronology are places. Read against the recovery experiment, a trend of this size corresponds to a closure strength with a posterior median of 0.15 and a 95 percent credible interval of 0.00 to 0.36, which puts no mass above 0.5. The record is consistent with weak closure and with none. What falls is the rank correlation of the trajectory with seriation position, not the value of</w:t>
      </w:r>
      <w:r>
        <w:t xml:space="preserve"> </w:t>
      </w:r>
      <m:oMath>
        <m:sSub>
          <m:e>
            <m:r>
              <m:t>F</m:t>
            </m:r>
          </m:e>
          <m:sub>
            <m:r>
              <m:t>S</m:t>
            </m:r>
            <m:r>
              <m:t>T</m:t>
            </m:r>
          </m:sub>
        </m:sSub>
      </m:oMath>
      <w:r>
        <w:t xml:space="preserve"> </w:t>
      </w:r>
      <w:r>
        <w:t xml:space="preserve">itself. The closure strengths consistent with that trend are small (posterior median 0.15, interval 0.00 to 0.36; 0.22 and 0.00 to 0.56 once the record’s time-averaging is imposed), and no posterior mass sits above s = 0.5 without time-averaging and 8 percent with it.</w:t>
      </w:r>
    </w:p>
    <w:p>
      <w:pPr>
        <w:pStyle w:val="BodyText"/>
      </w:pPr>
      <w:r>
        <w:t xml:space="preserve">The departure from neutrality is also sensitive to sample size, but controlling for size only weakens the trend rather than removing it, from a raw -0.94 to -0.83.</w:t>
      </w:r>
    </w:p>
    <w:p>
      <w:pPr>
        <w:pStyle w:val="BodyText"/>
      </w:pPr>
      <w:r>
        <w:t xml:space="preserve">The record shows no detectable closure of moderate or greater strength expressed as increasing divergence along the sequence. The posterior over-closure strength places a mass of 0.03 on strengths of 0.5 or greater without time-averaging and 0.20 with it. This negative result cannot rule out weaker closure, which the record’s size and time-averaging leave unresolved. What the record shows instead is closure low enough to be indistinguishable from none, with the structure that is present, continuous, and graded with distance, the form that spatially structured interaction produces. The positive control that follows asks whether a calibrated drift model produces that structure at the strength the record shows.</w:t>
      </w:r>
    </w:p>
    <w:p>
      <w:pPr>
        <w:pStyle w:val="CaptionedFigure"/>
      </w:pPr>
      <w:r>
        <w:drawing>
          <wp:inline>
            <wp:extent cx="5334000" cy="3952347"/>
            <wp:effectExtent b="0" l="0" r="0" t="0"/>
            <wp:docPr descr="Figure 6. The empirical four-signature trajectory along the CA seriation axis for the St. Francis basin (28 assemblages, six bins, two of which hold assemblages of a single spatial cluster and so carry no between-cluster F_{ST}), size-controlled by subsampling every assemblage to a common count. The reliable signature, cultural F_{ST},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 F_{ST} trend over 4,000. Each panel is annotated with its rank correlation." title="" id="139" name="Picture"/>
            <a:graphic>
              <a:graphicData uri="http://schemas.openxmlformats.org/drawingml/2006/picture">
                <pic:pic>
                  <pic:nvPicPr>
                    <pic:cNvPr descr="../../figures/fig6_empirical_trajectory.png" id="140" name="Picture"/>
                    <pic:cNvPicPr>
                      <a:picLocks noChangeArrowheads="1" noChangeAspect="1"/>
                    </pic:cNvPicPr>
                  </pic:nvPicPr>
                  <pic:blipFill>
                    <a:blip r:embed="rId138"/>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empirical four-signature trajectory along the CA seriation axis for the St. Francis basin (28 assemblages, six bins, two of which hold assemblages of a single spatial cluster and so carry no between-cluster</w:t>
      </w:r>
      <w:r>
        <w:t xml:space="preserve"> </w:t>
      </w:r>
      <m:oMath>
        <m:sSub>
          <m:e>
            <m:r>
              <m:t>F</m:t>
            </m:r>
          </m:e>
          <m:sub>
            <m:r>
              <m:t>S</m:t>
            </m:r>
            <m:r>
              <m:t>T</m:t>
            </m:r>
          </m:sub>
        </m:sSub>
      </m:oMath>
      <w:r>
        <w:t xml:space="preserve">), size-controlled by subsampling every assemblage to a common count. The reliable signature, cultural</w:t>
      </w:r>
      <w:r>
        <w:t xml:space="preserve"> </w:t>
      </w:r>
      <m:oMath>
        <m:sSub>
          <m:e>
            <m:r>
              <m:t>F</m:t>
            </m:r>
          </m:e>
          <m:sub>
            <m:r>
              <m:t>S</m:t>
            </m:r>
            <m:r>
              <m:t>T</m:t>
            </m:r>
          </m:sub>
        </m:sSub>
      </m:oMath>
      <w:r>
        <w:t xml:space="preserve">,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w:t>
      </w:r>
      <w:r>
        <w:t xml:space="preserve"> </w:t>
      </w:r>
      <m:oMath>
        <m:sSub>
          <m:e>
            <m:r>
              <m:t>F</m:t>
            </m:r>
          </m:e>
          <m:sub>
            <m:r>
              <m:t>S</m:t>
            </m:r>
            <m:r>
              <m:t>T</m:t>
            </m:r>
          </m:sub>
        </m:sSub>
      </m:oMath>
      <w:r>
        <w:t xml:space="preserve"> </w:t>
      </w:r>
      <w:r>
        <w:t xml:space="preserve">trend over 4,000. Each panel is annotated with its rank correlation.</w:t>
      </w:r>
    </w:p>
    <w:p>
      <w:pPr>
        <w:pStyle w:val="BodyText"/>
      </w:pPr>
      <w:r>
        <w:t xml:space="preserve">Three further checks, detailed in the Supplemental Text, point the same way. A hierarchical model of the frequency changes of all ten testable classes finds no population-level departure from unbiased copying (posterior median +0.009, 95 percent credible interval -0.041 to +0.083, where drift implies zero)</w:t>
      </w:r>
      <w:r>
        <w:t xml:space="preserve"> </w:t>
      </w:r>
      <w:r>
        <w:t xml:space="preserve">(Feder et al. 2014)</w:t>
      </w:r>
      <w:r>
        <w:t xml:space="preserve">. A neutral model whose population size and innovation rate are drawn from the transmission posterior reproduces the observed diversity trajectory in all six bins (pooled Bayesian predictive p 0.71)</w:t>
      </w:r>
      <w:r>
        <w:t xml:space="preserve"> </w:t>
      </w:r>
      <w:r>
        <w:t xml:space="preserve">(Kandler and Shennan 2013)</w:t>
      </w:r>
      <w:r>
        <w:t xml:space="preserve">. Neiman’s interassemblage distance shows no resolved trend toward divergence along the sequence, and the most diverse assemblages are also the most central, the pattern a single shared community produces (Figure S1)</w:t>
      </w:r>
      <w:r>
        <w:t xml:space="preserve"> </w:t>
      </w:r>
      <w:r>
        <w:t xml:space="preserve">(Neiman 1995)</w:t>
      </w:r>
      <w:r>
        <w:t xml:space="preserve">.</w:t>
      </w:r>
    </w:p>
    <w:p>
      <w:pPr>
        <w:pStyle w:val="BodyText"/>
      </w:pPr>
      <w:r>
        <w:t xml:space="preserve">The verdict that no bounded-group closure is detectable also holds across analytical configurations. No closure appears in any of the twenty-seven combinations of the basin’s spatial cutoff, the number of ordinal bins, and the number of spatial clusters, and the result is the same under the watershed and corridor basin definitions. Consistent with the recovery experiment, none of these checks shows a resolvable departure from neutral transmission.</w:t>
      </w:r>
    </w:p>
    <w:p>
      <w:pPr>
        <w:pStyle w:val="BodyText"/>
      </w:pPr>
      <w:r>
        <w:t xml:space="preserve">Everything to this point has concerned the</w:t>
      </w:r>
      <w:r>
        <w:t xml:space="preserve"> </w:t>
      </w:r>
      <w:r>
        <w:rPr>
          <w:i/>
          <w:iCs/>
        </w:rPr>
        <w:t xml:space="preserve">trend</w:t>
      </w:r>
      <w:r>
        <w:t xml:space="preserve"> </w:t>
      </w:r>
      <w:r>
        <w:t xml:space="preserve">in cultural</w:t>
      </w:r>
      <w:r>
        <w:t xml:space="preserve"> </w:t>
      </w:r>
      <m:oMath>
        <m:sSub>
          <m:e>
            <m:r>
              <m:t>F</m:t>
            </m:r>
          </m:e>
          <m:sub>
            <m:r>
              <m:t>S</m:t>
            </m:r>
            <m:r>
              <m:t>T</m:t>
            </m:r>
          </m:sub>
        </m:sSub>
      </m:oMath>
      <w:r>
        <w:t xml:space="preserve"> </w:t>
      </w:r>
      <w:r>
        <w:t xml:space="preserve">along the sequence, which is a rank correlation and which shows no closure developing through time. The positive control asks a different question about the same signature. It does not ask whether differentiation grows along the sequence, but whether its</w:t>
      </w:r>
      <w:r>
        <w:t xml:space="preserve"> </w:t>
      </w:r>
      <w:r>
        <w:rPr>
          <w:i/>
          <w:iCs/>
        </w:rPr>
        <w:t xml:space="preserve">level</w:t>
      </w:r>
      <w:r>
        <w:t xml:space="preserve"> </w:t>
      </w:r>
      <w:r>
        <w:t xml:space="preserve">is what a no-groups process would produce at all. The two can disagree, and here they do. The answer to that second question depends on a calibration step, without which a between-group comparison measures the model’s parameter choices as much as the record. Following the finite-population network-drift model of Lipo, DiNapoli, Madsen, and Hunt</w:t>
      </w:r>
      <w:r>
        <w:t xml:space="preserve"> </w:t>
      </w:r>
      <w:r>
        <w:t xml:space="preserve">(2021)</w:t>
      </w:r>
      <w:r>
        <w:t xml:space="preserve">, we simulated neutral copying on the river-network geography of the basin assemblages and compared it with a bounded-groups process on the same geography. We calibrated both, tuning their parameters until they reproduced the assemblages’ within-assemblage diversity, before evaluating any between-group statistic (Materials and Methods).</w:t>
      </w:r>
    </w:p>
    <w:p>
      <w:pPr>
        <w:pStyle w:val="BodyText"/>
      </w:pPr>
      <w:r>
        <w:t xml:space="preserve">The calibration is itself a result. A drift model that treats the ten decorated classes as interchangeable cannot reproduce the record’s diversity under any combination of population size, innovation rate, and mixing. The obstacle is the record’s shape. Two classes hold nine tenths of all sherds, yet rare classes appear in most assemblages, and drift strong enough to produce that skew also strips the rare ones out. Letting innovation fall in each class in proportion to its regional share, which is what the uneven lumping of variants into culture-history types amounts to, resolves the conflict. Sixty-one of the 297 parameter combinations then match the record’s diversity, where none did before (Supplemental Text, Figure S4).</w:t>
      </w:r>
    </w:p>
    <w:p>
      <w:pPr>
        <w:pStyle w:val="BodyText"/>
      </w:pPr>
      <w:r>
        <w:t xml:space="preserve">The calibrated drift model, in its simplest form, stands in for the no-groups case. Measured against it, the basin’s between-cluster differentiation is higher than drift produces (Figure S2). In the diversity-matched parameter combination most favorable to drift, the observed between-cluster cultural</w:t>
      </w:r>
      <w:r>
        <w:t xml:space="preserve"> </w:t>
      </w:r>
      <m:oMath>
        <m:sSub>
          <m:e>
            <m:r>
              <m:t>F</m:t>
            </m:r>
          </m:e>
          <m:sub>
            <m:r>
              <m:t>S</m:t>
            </m:r>
            <m:r>
              <m:t>T</m:t>
            </m:r>
          </m:sub>
        </m:sSub>
      </m:oMath>
      <w:r>
        <w:t xml:space="preserve"> </w:t>
      </w:r>
      <w:r>
        <w:t xml:space="preserve">of 0.006 at the two clusters the silhouette selects lies inside the drift 95 percent interval of 0.0002 to 0.010 (median 0.002). Eight percent of simulated datasets reach the observed value under the seriation order, 7 percent under the reversed order, and 17 percent when the assemblages are treated as contemporaneous, and no diversity-matched parameter combination in the calibration series reaches it at the median; the highest median among the 51 that match is 0.005 (Figure S4). At the grain the data select, then, drift accounts for the differentiation, and the excess appears only when the basin is divided more finely, as reported below. Calibrated drift also returns a single ceramic community in 236 of 500 runs, whereas the data give two communities with a between-community</w:t>
      </w:r>
      <w:r>
        <w:t xml:space="preserve"> </w:t>
      </w:r>
      <m:oMath>
        <m:sSub>
          <m:e>
            <m:r>
              <m:t>F</m:t>
            </m:r>
          </m:e>
          <m:sub>
            <m:r>
              <m:t>S</m:t>
            </m:r>
            <m:r>
              <m:t>T</m:t>
            </m:r>
          </m:sub>
        </m:sSub>
      </m:oMath>
      <w:r>
        <w:t xml:space="preserve"> </w:t>
      </w:r>
      <w:r>
        <w:t xml:space="preserve">of 0.039. In the 264 runs that do return two or more, the between-community</w:t>
      </w:r>
      <w:r>
        <w:t xml:space="preserve"> </w:t>
      </w:r>
      <m:oMath>
        <m:sSub>
          <m:e>
            <m:r>
              <m:t>F</m:t>
            </m:r>
          </m:e>
          <m:sub>
            <m:r>
              <m:t>S</m:t>
            </m:r>
            <m:r>
              <m:t>T</m:t>
            </m:r>
          </m:sub>
        </m:sSub>
      </m:oMath>
      <w:r>
        <w:t xml:space="preserve"> </w:t>
      </w:r>
      <w:r>
        <w:t xml:space="preserve">runs from 0.005 to 0.051, and 2 percent of runs reach the observed value. That drift produces multiple communities in half its runs is worth stating plainly: the number of communities is a weak discriminator here, and only their differentiation separates the record from the null. It would be natural to interpret an excess over drift as the mark of a boundary. Whether it is depends on what a model with boundaries predicts, which is the next comparison.</w:t>
      </w:r>
    </w:p>
    <w:p>
      <w:pPr>
        <w:pStyle w:val="BodyText"/>
      </w:pPr>
      <w:r>
        <w:t xml:space="preserve">Drift does reproduce the distance decay of similarity, the tendency for assemblages farther apart to share less (observed r = -0.32 against a drift interval of -0.62 to -0.02). Similarity across the cluster boundaries, however, is</w:t>
      </w:r>
      <w:r>
        <w:t xml:space="preserve"> </w:t>
      </w:r>
      <w:r>
        <w:rPr>
          <w:i/>
          <w:iCs/>
        </w:rPr>
        <w:t xml:space="preserve">higher</w:t>
      </w:r>
      <w:r>
        <w:t xml:space="preserve"> </w:t>
      </w:r>
      <w:r>
        <w:t xml:space="preserve">in the data than distance alone predicts, not lower. The boundary excess is -11.9 and falls outside both the drift and the bounded-groups intervals.</w:t>
      </w:r>
    </w:p>
    <w:p>
      <w:pPr>
        <w:pStyle w:val="BodyText"/>
      </w:pPr>
      <w:r>
        <w:t xml:space="preserve">The bounded-groups process at the same calibration does little better. Reducing copying across the spatial clusters to a multiplier of 0.5, 0.1, or 0.03 raises the median</w:t>
      </w:r>
      <w:r>
        <w:t xml:space="preserve"> </w:t>
      </w:r>
      <m:oMath>
        <m:sSub>
          <m:e>
            <m:r>
              <m:t>F</m:t>
            </m:r>
          </m:e>
          <m:sub>
            <m:r>
              <m:t>S</m:t>
            </m:r>
            <m:r>
              <m:t>T</m:t>
            </m:r>
          </m:sub>
        </m:sSub>
      </m:oMath>
      <w:r>
        <w:t xml:space="preserve"> </w:t>
      </w:r>
      <w:r>
        <w:t xml:space="preserve">only to between 0.003 and 0.006. The observation does fall inside the bounded-groups interval, but only through the wide upper tail of an interval estimated from 30 runs, between 7 and 23 percent of which reach the observed value. Part of the reason the boundary raises</w:t>
      </w:r>
      <w:r>
        <w:t xml:space="preserve"> </w:t>
      </w:r>
      <m:oMath>
        <m:sSub>
          <m:e>
            <m:r>
              <m:t>F</m:t>
            </m:r>
          </m:e>
          <m:sub>
            <m:r>
              <m:t>S</m:t>
            </m:r>
            <m:r>
              <m:t>T</m:t>
            </m:r>
          </m:sub>
        </m:sSub>
      </m:oMath>
      <w:r>
        <w:t xml:space="preserve"> </w:t>
      </w:r>
      <w:r>
        <w:t xml:space="preserve">so little is a feature of the model itself. Innovation drawn from the regional pooled profile is itself region-wide, so no boundary interrupts it and this model family understates what a boundary would do.</w:t>
      </w:r>
    </w:p>
    <w:p>
      <w:pPr>
        <w:pStyle w:val="BodyText"/>
      </w:pPr>
      <w:r>
        <w:t xml:space="preserve">So the excess over drift is not evidence for bounded groups, because the model built to represent bounded groups does not produce it either. A drift model fitted to the assemblages’ own diversity leaves their between-cluster differentiation unexplained by about a factor of three at the coarsest grain and five at finer ones, and restricted copying, as we model it, accounts for only a small part of that difference. Together, the two comparisons do not select between the processes. They identify something in the record that neither model reproduces. The positive control therefore certifies neither side. An earlier, uncalibrated version of this comparison reached the opposite conclusion because it ran at nearly twice the observed diversity, which made its drift distributions too wide. The sensitivity checks around the calibrated parameter combination are in the Supplemental Text.</w:t>
      </w:r>
    </w:p>
    <w:p>
      <w:pPr>
        <w:pStyle w:val="BodyText"/>
      </w:pPr>
      <w:r>
        <w:t xml:space="preserve">A partition-free model gives the same verdict from a different direction (Supplemental Text). Treating decorated-class composition as a continuous spatial field over the assemblage coordinates, with a separate term for whatever is specific to each site, the model attributes 99.6 percent of assemblage-level compositional variance to the spatial field (95 percent credible interval 0.973 to 1.000). Almost nothing remains of the site-specific character that bounded interaction groups would produce. Without containing any groups, the field reproduces the observed between-cluster</w:t>
      </w:r>
      <w:r>
        <w:t xml:space="preserve"> </w:t>
      </w:r>
      <m:oMath>
        <m:sSub>
          <m:e>
            <m:r>
              <m:t>F</m:t>
            </m:r>
          </m:e>
          <m:sub>
            <m:r>
              <m:t>S</m:t>
            </m:r>
            <m:r>
              <m:t>T</m:t>
            </m:r>
          </m:sub>
        </m:sSub>
      </m:oMath>
      <w:r>
        <w:t xml:space="preserve">, the distance decay of similarity, and the spread of within-assemblage diversity, but it describes the pattern rather than the process that made it. Field model and drift model therefore answer different questions. The field says the record is spatially continuous with no group residual, and the drift comparison says that the simplest neutral mechanism does not produce that continuity at the observed strength. The between-cluster</w:t>
      </w:r>
      <w:r>
        <w:t xml:space="preserve"> </w:t>
      </w:r>
      <m:oMath>
        <m:sSub>
          <m:e>
            <m:r>
              <m:t>F</m:t>
            </m:r>
          </m:e>
          <m:sub>
            <m:r>
              <m:t>S</m:t>
            </m:r>
            <m:r>
              <m:t>T</m:t>
            </m:r>
          </m:sub>
        </m:sSub>
      </m:oMath>
      <w:r>
        <w:t xml:space="preserve"> </w:t>
      </w:r>
      <w:r>
        <w:t xml:space="preserve">itself depends on how finely the basin is divided, rising from 0.0075 at two clusters to 0.0415 at six, though not on which particular division is drawn at a given grain (Supplemental Text).</w:t>
      </w:r>
    </w:p>
    <w:bookmarkStart w:id="162" w:name="X38a0c6a9c650c3c6e71b804c682fc2a3dc35e63"/>
    <w:p>
      <w:pPr>
        <w:pStyle w:val="Heading3"/>
      </w:pPr>
      <w:r>
        <w:t xml:space="preserve">Relaxing four assumptions of the drift model</w:t>
      </w:r>
    </w:p>
    <w:p>
      <w:pPr>
        <w:pStyle w:val="FirstParagraph"/>
      </w:pPr>
      <w:r>
        <w:t xml:space="preserve">The differentiation that neither of our models reproduces is a target for testing, not just a caveat. The drift model rests on four simplifying assumptions. It gives every site the same number of learners, lets copying fall off exponentially with river distance, accumulates every deposit over the same span, and draws innovation from one region-wide pool. Each can be relaxed with the methods already in place. In every case we ask not merely whether relaxing the assumption raises differentiation, but whether it raises it while the assemblages’ diversity stays matched. A model that reaches the observed</w:t>
      </w:r>
      <w:r>
        <w:t xml:space="preserve"> </w:t>
      </w:r>
      <m:oMath>
        <m:sSub>
          <m:e>
            <m:r>
              <m:t>F</m:t>
            </m:r>
          </m:e>
          <m:sub>
            <m:r>
              <m:t>S</m:t>
            </m:r>
            <m:r>
              <m:t>T</m:t>
            </m:r>
          </m:sub>
        </m:sSub>
      </m:oMath>
      <w:r>
        <w:t xml:space="preserve"> </w:t>
      </w:r>
      <w:r>
        <w:t xml:space="preserve">only by giving up that match fits one quantity at the expense of the other, rather than accounting for both. We call the size of the miss the</w:t>
      </w:r>
      <w:r>
        <w:t xml:space="preserve"> </w:t>
      </w:r>
      <w:r>
        <w:rPr>
          <w:i/>
          <w:iCs/>
        </w:rPr>
        <w:t xml:space="preserve">shortfall</w:t>
      </w:r>
      <w:r>
        <w:t xml:space="preserve">, the observed</w:t>
      </w:r>
      <w:r>
        <w:t xml:space="preserve"> </w:t>
      </w:r>
      <m:oMath>
        <m:sSub>
          <m:e>
            <m:r>
              <m:t>F</m:t>
            </m:r>
          </m:e>
          <m:sub>
            <m:r>
              <m:t>S</m:t>
            </m:r>
            <m:r>
              <m:t>T</m:t>
            </m:r>
          </m:sub>
        </m:sSub>
      </m:oMath>
      <w:r>
        <w:t xml:space="preserve"> </w:t>
      </w:r>
      <w:r>
        <w:t xml:space="preserve">divided by the model’s median. Calibrated drift, at 0.0015 against the observed 0.0062, falls short by about fourfold at the median. Table 2 collects every account this paper tests, the two interpretations of the phase, the bounded-groups model, and the four relaxed assumptions. The grids and their diagnostics are in the Supplemental Text.</w:t>
      </w:r>
    </w:p>
    <w:p>
      <w:pPr>
        <w:pStyle w:val="BodyText"/>
      </w:pPr>
      <w:r>
        <w:t xml:space="preserve">Three of the four fail, and they fail in the same way. Each raises differentiation only at the cost of the fit to the assemblages’ diversity. Unequal site populations were the obvious candidate, because small settlements drift faster toward idiosyncratic repertoires. Inequality does raise differentiation about threefold across the range swept. But it also lowers the average population that governs drift, so drift runs faster everywhere and within-assemblage diversity falls below what the record shows at any inequality at all; the match is gone by a coefficient of variation of 0.5. At the inequality the settlement record itself suggests, the model still falls short by a factor of two to two and a half, with the match already lost. Transport geography comes closer but still falls short. We varied the distance metric, the interaction length, and the shape of the decay itself, since an exponential fall-off is an assumption rather than a measurement. On this set neither metric, at any length from 6 to 96 kilometers, moves the median by more than a few ten-thousandths. The river metric is the null most favorable to drift, which is why we use it, not because the pottery follows it: between assemblages in different phases, ceramic distance tracks straight-line separation and not river distance (Supplemental Text). The best case that keeps the diversity fit, a power-law decay at 12 kilometers, narrows the shortfall only from fourfold to 3.1; a Gaussian decay at 6 kilometers reaches 3.2 and loses the fit. That is not a free parameter being tuned but a claim about how far potters copied, and one the settlement pattern makes hard to credit. No diversity-matched combination of metric, length, or decay shape reaches the observed differentiation, and accumulation spans that differ among deposits barely move the statistic.</w:t>
      </w:r>
    </w:p>
    <w:p>
      <w:pPr>
        <w:pStyle w:val="BodyText"/>
      </w:pPr>
      <w:r>
        <w:t xml:space="preserve">The fourth assumption matters most. When innovation respects group boundaries, so that each spatial cluster draws new variants from its own profile rather than from a region-wide pool, a weak boundary moves the statistic further than any other relaxation we tried. At a permuted fraction of 0.2, meaning that a fifth of the classes are reassigned within each cluster’s innovation profile, the model gives a median</w:t>
      </w:r>
      <w:r>
        <w:t xml:space="preserve"> </w:t>
      </w:r>
      <m:oMath>
        <m:sSub>
          <m:e>
            <m:r>
              <m:t>F</m:t>
            </m:r>
          </m:e>
          <m:sub>
            <m:r>
              <m:t>S</m:t>
            </m:r>
            <m:r>
              <m:t>T</m:t>
            </m:r>
          </m:sub>
        </m:sSub>
      </m:oMath>
      <w:r>
        <w:t xml:space="preserve"> </w:t>
      </w:r>
      <w:r>
        <w:t xml:space="preserve">of 0.0054 against the observed 0.0062, and at 0.22 a median of 0.0071, with within-assemblage diversity, class richness and pooled diversity inside the calibration’s tolerance at both; the match holds through 0.35 and breaks at 0.4. It is the only one of the four that changes what innovation does rather than how fast drift runs, so it raises differentiation without disturbing diversity. We report the values at 1,200 realizations per cell. The individual realizations are very widely spread, from 0.0004 to 0.21 at those settings, so the agreement is between the model’s central tendency and the observation rather than between tight distributions. This model is still a drift model. Nothing in it restricts who copies whom, and no boundary interrupts copying anywhere. The single change is that new styles arise locally rather than at the same rates across the whole basin. It is also the assumption our own comparison was least equipped to question, since drawing innovation from the regional profile gives both the drift and the bounded-groups model a source of new variants that no boundary interrupts.</w:t>
      </w:r>
    </w:p>
    <w:p>
      <w:pPr>
        <w:pStyle w:val="BodyText"/>
      </w:pPr>
      <w:r>
        <w:t xml:space="preserve">The difference that remains is not spread evenly across the basin, and it is not centered on Parkin. We decomposed the between-cluster term of</w:t>
      </w:r>
      <w:r>
        <w:t xml:space="preserve"> </w:t>
      </w:r>
      <m:oMath>
        <m:sSub>
          <m:e>
            <m:r>
              <m:t>F</m:t>
            </m:r>
          </m:e>
          <m:sub>
            <m:r>
              <m:t>S</m:t>
            </m:r>
            <m:r>
              <m:t>T</m:t>
            </m:r>
          </m:sub>
        </m:sSub>
      </m:oMath>
      <w:r>
        <w:t xml:space="preserve"> </w:t>
      </w:r>
      <w:r>
        <w:t xml:space="preserve">by cluster at five groups and compared each cluster’s term with its counterpart in 200 calibrated drift realizations. The two thinnest clusters, five Kent-phase assemblages around Kent Place holding 765 sherds and five around Walls holding 918, exceed their drift medians 35-fold and 9-fold, and together they supply 63 percent of the observed statistic. The cluster containing Parkin and nine neighboring assemblages, the best sampled in the basin at 6,555 sherds, exceeds drift 5.7-fold. The two clusters of four along the Mississippi, from Beck to Hollywood and from Castile Landing to Nickel, sit at 1.7- and 2.3-fold. The simulated records are drawn at the observed sherd totals, so sampling error alone does not produce this pattern. Nor is it the tally the counts came from: where a cluster holds assemblages carrying the survey’s counts alone and assemblages carrying Lipo’s compilation, the two kinds of row differ no more than a random split of the cluster into groups of the same sizes (Supplemental Text). But an excess that follows the thinnest samples rather than the putative center is not what closure around Parkin would leave.</w:t>
      </w:r>
    </w:p>
    <w:p>
      <w:pPr>
        <w:pStyle w:val="BodyText"/>
      </w:pPr>
      <w:r>
        <w:rPr>
          <w:b/>
          <w:bCs/>
        </w:rPr>
        <w:t xml:space="preserve">Table 2.</w:t>
      </w:r>
      <w:r>
        <w:t xml:space="preserve"> </w:t>
      </w:r>
      <w:r>
        <w:t xml:space="preserve">Every account of the St. Francis basin pattern that this paper tests, what each predicts, and how it fared. The first two rows are the competing interpretations of the phase itself. The remaining five are candidate explanations for what the calibrated drift model leaves over. The standard for the last four rows is the same throughout, and is stated in the text above. Relaxing an assumption closes the shortfall only if it reaches the observed between-cluster</w:t>
      </w:r>
      <w:r>
        <w:t xml:space="preserve"> </w:t>
      </w:r>
      <m:oMath>
        <m:sSub>
          <m:e>
            <m:r>
              <m:t>F</m:t>
            </m:r>
          </m:e>
          <m:sub>
            <m:r>
              <m:t>S</m:t>
            </m:r>
            <m:r>
              <m:t>T</m:t>
            </m:r>
          </m:sub>
        </m:sSub>
      </m:oMath>
      <w:r>
        <w:t xml:space="preserve"> </w:t>
      </w:r>
      <w:r>
        <w:t xml:space="preserve">of 0.006</w:t>
      </w:r>
      <w:r>
        <w:t xml:space="preserve"> </w:t>
      </w:r>
      <w:r>
        <w:rPr>
          <w:i/>
          <w:iCs/>
        </w:rPr>
        <w:t xml:space="preserve">and</w:t>
      </w:r>
      <w:r>
        <w:t xml:space="preserve"> </w:t>
      </w:r>
      <w:r>
        <w:t xml:space="preserve">keeps all three within-assemblage diversity summaries inside the calibration’s 10 percent tolerance. Full grids, settings,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The phase is a bounded interaction group</w:t>
            </w:r>
          </w:p>
        </w:tc>
        <w:tc>
          <w:tcPr/>
          <w:p>
            <w:pPr>
              <w:pStyle w:val="Compact"/>
            </w:pPr>
            <w:r>
              <w:t xml:space="preserve">All four signatures move together; between-group divergence rises along the sequence</w:t>
            </w:r>
          </w:p>
        </w:tc>
        <w:tc>
          <w:tcPr/>
          <w:p>
            <w:pPr>
              <w:pStyle w:val="Compact"/>
            </w:pPr>
            <w:r>
              <w:t xml:space="preserve">Record-matched recovery experiment, then the empirical four-signature trajectory (Figures 5, 6)</w:t>
            </w:r>
          </w:p>
        </w:tc>
        <w:tc>
          <w:tcPr/>
          <w:p>
            <w:pPr>
              <w:pStyle w:val="Compact"/>
            </w:pPr>
            <w:r>
              <w:rPr>
                <w:b/>
                <w:bCs/>
              </w:rPr>
              <w:t xml:space="preserve">Not supported.</w:t>
            </w:r>
            <w:r>
              <w:t xml:space="preserve"> </w:t>
            </w:r>
            <w:r>
              <w:t xml:space="preserve">Only cultural</w:t>
            </w:r>
            <w:r>
              <w:t xml:space="preserve"> </w:t>
            </w:r>
            <m:oMath>
              <m:sSub>
                <m:e>
                  <m:r>
                    <m:t>F</m:t>
                  </m:r>
                </m:e>
                <m:sub>
                  <m:r>
                    <m:t>S</m:t>
                  </m:r>
                  <m:r>
                    <m:t>T</m:t>
                  </m:r>
                </m:sub>
              </m:sSub>
            </m:oMath>
            <w:r>
              <w:t xml:space="preserve"> </w:t>
            </w:r>
            <w:r>
              <w:t xml:space="preserve">is recoverable at this resolution; its size-controlled trend is -0.048 against a draw-to-draw spread of -0.80 to +0.40, which corresponds to a closure strength of 0.15 (0.00 to 0.36): none the record resolves</w:t>
            </w:r>
          </w:p>
        </w:tc>
      </w:tr>
      <w:tr>
        <w:tc>
          <w:tcPr/>
          <w:p>
            <w:pPr>
              <w:pStyle w:val="Compact"/>
            </w:pPr>
            <w:r>
              <w:t xml:space="preserve">Spatially structured drift, simplest form, with new styles arising at the same rates everywhere</w:t>
            </w:r>
          </w:p>
        </w:tc>
        <w:tc>
          <w:tcPr/>
          <w:p>
            <w:pPr>
              <w:pStyle w:val="Compact"/>
            </w:pPr>
            <w:r>
              <w:t xml:space="preserve">Observed clustering, distance decay, and within-assemblage diversity, with between-cluster</w:t>
            </w:r>
            <w:r>
              <w:t xml:space="preserve"> </w:t>
            </w:r>
            <m:oMath>
              <m:sSub>
                <m:e>
                  <m:r>
                    <m:t>F</m:t>
                  </m:r>
                </m:e>
                <m:sub>
                  <m:r>
                    <m:t>S</m:t>
                  </m:r>
                  <m:r>
                    <m:t>T</m:t>
                  </m:r>
                </m:sub>
              </m:sSub>
            </m:oMath>
            <w:r>
              <w:t xml:space="preserve"> </w:t>
            </w:r>
            <w:r>
              <w:t xml:space="preserve">inside the drift interval</w:t>
            </w:r>
          </w:p>
        </w:tc>
        <w:tc>
          <w:tcPr/>
          <w:p>
            <w:pPr>
              <w:pStyle w:val="Compact"/>
            </w:pPr>
            <w:r>
              <w:t xml:space="preserve">Finite-population network drift on the real geography, calibrated to the assemblages’ own diversity (Figure S2)</w:t>
            </w:r>
          </w:p>
        </w:tc>
        <w:tc>
          <w:tcPr/>
          <w:p>
            <w:pPr>
              <w:pStyle w:val="Compact"/>
            </w:pPr>
            <w:r>
              <w:rPr>
                <w:b/>
                <w:bCs/>
              </w:rPr>
              <w:t xml:space="preserve">Partly supported.</w:t>
            </w:r>
            <w:r>
              <w:t xml:space="preserve"> </w:t>
            </w:r>
            <w:r>
              <w:t xml:space="preserve">Reproduces diversity and distance decay; underpredicts between-cluster</w:t>
            </w:r>
            <w:r>
              <w:t xml:space="preserve"> </w:t>
            </w:r>
            <m:oMath>
              <m:sSub>
                <m:e>
                  <m:r>
                    <m:t>F</m:t>
                  </m:r>
                </m:e>
                <m:sub>
                  <m:r>
                    <m:t>S</m:t>
                  </m:r>
                  <m:r>
                    <m:t>T</m:t>
                  </m:r>
                </m:sub>
              </m:sSub>
            </m:oMath>
            <w:r>
              <w:t xml:space="preserve"> </w:t>
            </w:r>
            <w:r>
              <w:t xml:space="preserve">by about sixfold (0.004 against 0.021)</w:t>
            </w:r>
          </w:p>
        </w:tc>
      </w:tr>
      <w:tr>
        <w:tc>
          <w:tcPr/>
          <w:p>
            <w:pPr>
              <w:pStyle w:val="Compact"/>
            </w:pPr>
            <w:r>
              <w:t xml:space="preserve">Restricted copying across group boundaries</w:t>
            </w:r>
          </w:p>
        </w:tc>
        <w:tc>
          <w:tcPr/>
          <w:p>
            <w:pPr>
              <w:pStyle w:val="Compact"/>
            </w:pPr>
            <w:r>
              <w:t xml:space="preserve">Raised between-cluster</w:t>
            </w:r>
            <w:r>
              <w:t xml:space="preserve"> </w:t>
            </w:r>
            <m:oMath>
              <m:sSub>
                <m:e>
                  <m:r>
                    <m:t>F</m:t>
                  </m:r>
                </m:e>
                <m:sub>
                  <m:r>
                    <m:t>S</m:t>
                  </m:r>
                  <m:r>
                    <m:t>T</m:t>
                  </m:r>
                </m:sub>
              </m:sSub>
            </m:oMath>
            <w:r>
              <w:t xml:space="preserve"> </w:t>
            </w:r>
            <w:r>
              <w:t xml:space="preserve">at the calibrated rates</w:t>
            </w:r>
          </w:p>
        </w:tc>
        <w:tc>
          <w:tcPr/>
          <w:p>
            <w:pPr>
              <w:pStyle w:val="Compact"/>
            </w:pPr>
            <w:r>
              <w:t xml:space="preserve">Same model with cross-boundary copying multiplied by 0.5, 0.1, and 0.03 (Figure S2)</w:t>
            </w:r>
          </w:p>
        </w:tc>
        <w:tc>
          <w:tcPr/>
          <w:p>
            <w:pPr>
              <w:pStyle w:val="Compact"/>
            </w:pPr>
            <w:r>
              <w:rPr>
                <w:b/>
                <w:bCs/>
              </w:rPr>
              <w:t xml:space="preserve">Fails the standard.</w:t>
            </w:r>
            <w:r>
              <w:t xml:space="preserve"> </w:t>
            </w:r>
            <w:r>
              <w:t xml:space="preserve">Medians run 0.0013 to 0.0024 at both interaction lengths whatever the restriction, against the observed 0.0062; the observation is reached in 0 to 23 percent of realizations, through the upper tail</w:t>
            </w:r>
          </w:p>
        </w:tc>
      </w:tr>
      <w:tr>
        <w:tc>
          <w:tcPr/>
          <w:p>
            <w:pPr>
              <w:pStyle w:val="Compact"/>
            </w:pPr>
            <w:r>
              <w:t xml:space="preserve">Unequal site populations</w:t>
            </w:r>
          </w:p>
        </w:tc>
        <w:tc>
          <w:tcPr/>
          <w:p>
            <w:pPr>
              <w:pStyle w:val="Compact"/>
            </w:pPr>
            <w:r>
              <w:t xml:space="preserve">Small settlements drift faster toward idiosyncratic repertoires, raising differentiation with no boundary</w:t>
            </w:r>
          </w:p>
        </w:tc>
        <w:tc>
          <w:tcPr/>
          <w:p>
            <w:pPr>
              <w:pStyle w:val="Compact"/>
            </w:pPr>
            <w:r>
              <w:t xml:space="preserve">Per-site populations drawn lognormal, coefficient of variation 0 to 3, against the 0.9 to 1.8 bracket implied by mound height</w:t>
            </w:r>
          </w:p>
        </w:tc>
        <w:tc>
          <w:tcPr/>
          <w:p>
            <w:pPr>
              <w:pStyle w:val="Compact"/>
            </w:pPr>
            <w:r>
              <w:rPr>
                <w:b/>
                <w:bCs/>
              </w:rPr>
              <w:t xml:space="preserve">Fails the standard.</w:t>
            </w:r>
            <w:r>
              <w:t xml:space="preserve"> </w:t>
            </w:r>
            <m:oMath>
              <m:sSub>
                <m:e>
                  <m:r>
                    <m:t>F</m:t>
                  </m:r>
                </m:e>
                <m:sub>
                  <m:r>
                    <m:t>S</m:t>
                  </m:r>
                  <m:r>
                    <m:t>T</m:t>
                  </m:r>
                </m:sub>
              </m:sSub>
            </m:oMath>
            <w:r>
              <w:t xml:space="preserve"> </w:t>
            </w:r>
            <w:r>
              <w:t xml:space="preserve">rises from 0.0017 to 0.0052, but the average population that governs drift falls with it, and the diversity match is gone by a coefficient of variation of 0.5; shortfall 2.5-fold at 1.0 and 1.8-fold at 2.0</w:t>
            </w:r>
          </w:p>
        </w:tc>
      </w:tr>
      <w:tr>
        <w:tc>
          <w:tcPr/>
          <w:p>
            <w:pPr>
              <w:pStyle w:val="Compact"/>
            </w:pPr>
            <w:r>
              <w:t xml:space="preserve">A different transport geography</w:t>
            </w:r>
          </w:p>
        </w:tc>
        <w:tc>
          <w:tcPr/>
          <w:p>
            <w:pPr>
              <w:pStyle w:val="Compact"/>
            </w:pPr>
            <w:r>
              <w:t xml:space="preserve">A copying kernel that isolates distant sites more would raise differentiation</w:t>
            </w:r>
          </w:p>
        </w:tc>
        <w:tc>
          <w:tcPr/>
          <w:p>
            <w:pPr>
              <w:pStyle w:val="Compact"/>
            </w:pPr>
            <w:r>
              <w:t xml:space="preserve">Distance metric (river, straight-line), interaction length (6 to 96 km), and decay form (exponential, Gaussian, power law) all swept</w:t>
            </w:r>
          </w:p>
        </w:tc>
        <w:tc>
          <w:tcPr/>
          <w:p>
            <w:pPr>
              <w:pStyle w:val="Compact"/>
            </w:pPr>
            <w:r>
              <w:rPr>
                <w:b/>
                <w:bCs/>
              </w:rPr>
              <w:t xml:space="preserve">Fails the standard.</w:t>
            </w:r>
            <w:r>
              <w:t xml:space="preserve"> </w:t>
            </w:r>
            <w:r>
              <w:t xml:space="preserve">The best cell that keeps the diversity match, a power-law decay at 12 km, narrows the shortfall only to 3.1-fold; a Gaussian at 6 km reaches 3.2-fold and breaks the match</w:t>
            </w:r>
          </w:p>
        </w:tc>
      </w:tr>
      <w:tr>
        <w:tc>
          <w:tcPr/>
          <w:p>
            <w:pPr>
              <w:pStyle w:val="Compact"/>
            </w:pPr>
            <w:r>
              <w:t xml:space="preserve">Unequal accumulation spans</w:t>
            </w:r>
          </w:p>
        </w:tc>
        <w:tc>
          <w:tcPr/>
          <w:p>
            <w:pPr>
              <w:pStyle w:val="Compact"/>
            </w:pPr>
            <w:r>
              <w:t xml:space="preserve">Deposits sampling narrow slices of the sequence look more distinct</w:t>
            </w:r>
          </w:p>
        </w:tc>
        <w:tc>
          <w:tcPr/>
          <w:p>
            <w:pPr>
              <w:pStyle w:val="Compact"/>
            </w:pPr>
            <w:r>
              <w:t xml:space="preserve">Per-site accumulation windows drawn around a mean of eight slices, half-range 0 to 6</w:t>
            </w:r>
          </w:p>
        </w:tc>
        <w:tc>
          <w:tcPr/>
          <w:p>
            <w:pPr>
              <w:pStyle w:val="Compact"/>
            </w:pPr>
            <w:r>
              <w:rPr>
                <w:b/>
                <w:bCs/>
              </w:rPr>
              <w:t xml:space="preserve">Fails the standard.</w:t>
            </w:r>
            <w:r>
              <w:t xml:space="preserve"> </w:t>
            </w:r>
            <w:r>
              <w:t xml:space="preserve">The median stays at 0.0015 to 0.0017 at every half-range and the shortfall at 3.7 to 4.0-fold; the statistic is unaffected</w:t>
            </w:r>
          </w:p>
        </w:tc>
      </w:tr>
      <w:tr>
        <w:tc>
          <w:tcPr/>
          <w:p>
            <w:pPr>
              <w:pStyle w:val="Compact"/>
            </w:pPr>
            <w:r>
              <w:t xml:space="preserve">A boundary in where new styles originated, still drift in every other respect</w:t>
            </w:r>
          </w:p>
        </w:tc>
        <w:tc>
          <w:tcPr/>
          <w:p>
            <w:pPr>
              <w:pStyle w:val="Compact"/>
            </w:pPr>
            <w:r>
              <w:t xml:space="preserve">Raised differentiation with no change in the drift rate, so diversity is undisturbed</w:t>
            </w:r>
          </w:p>
        </w:tc>
        <w:tc>
          <w:tcPr/>
          <w:p>
            <w:pPr>
              <w:pStyle w:val="Compact"/>
            </w:pPr>
            <w:r>
              <w:t xml:space="preserve">Each spatial cluster innovates from a random partial permutation of the regional class profile, permuted fraction 0 to 1, at 1,200 realizations per cell</w:t>
            </w:r>
          </w:p>
        </w:tc>
        <w:tc>
          <w:tcPr/>
          <w:p>
            <w:pPr>
              <w:pStyle w:val="Compact"/>
            </w:pPr>
            <w:r>
              <w:rPr>
                <w:b/>
                <w:bCs/>
              </w:rPr>
              <w:t xml:space="preserve">Meets the standard.</w:t>
            </w:r>
            <w:r>
              <w:t xml:space="preserve"> </w:t>
            </w:r>
            <w:r>
              <w:t xml:space="preserve">At a permuted fraction of 0.2 the median is 0.0054 and at 0.22 it is 0.0071, against the observed 0.0062, with all three diversity summaries matched; the match holds through 0.35 and breaks at 0.4. Individual realizations are very widely spread, so this is agreement of a central tendency with the observation</w:t>
            </w:r>
          </w:p>
        </w:tc>
      </w:tr>
    </w:tbl>
    <w:p>
      <w:pPr>
        <w:pStyle w:val="BodyText"/>
      </w:pPr>
      <w:r>
        <w:t xml:space="preserve">The seriation signature does not register closure as a trend at this record’s resolution (Figure 5), but the structure it returns still characterizes Parkin’s position directly. As described above, the deterministic method accepts an ordering only when every decorated class is at once unimodal and continuous. A set of assemblages drawn from one shared, drifting pool resolves under a single ordering, whereas learning partitioned among groups breaks into several mutually incompatible orderings</w:t>
      </w:r>
      <w:r>
        <w:t xml:space="preserve"> </w:t>
      </w:r>
      <w:r>
        <w:t xml:space="preserve">(Dunnell 1970; Lipo et al. 2015)</w:t>
      </w:r>
      <w:r>
        <w:t xml:space="preserve">. The number of maximal co-seriable groups, the largest sets of assemblages that can share one valid ordering, together with the number of groups any one assemblage joins, measures fragmentation directly</w:t>
      </w:r>
      <w:r>
        <w:t xml:space="preserve"> </w:t>
      </w:r>
      <w:r>
        <w:t xml:space="preserve">(Lipo et al. 1997)</w:t>
      </w:r>
      <w:r>
        <w:t xml:space="preserve">.</w:t>
      </w:r>
    </w:p>
    <w:p>
      <w:pPr>
        <w:pStyle w:val="BodyText"/>
      </w:pPr>
      <w:r>
        <w:t xml:space="preserve">On these analyses, Parkin joins several seriation orderings rather than belonging to one bounded community. Deterministic seriation of the basin assemblages returns a deeply fragmented structure dominated by bridging assemblages, not a single coherent ordering. At a continuity threshold of 0.1, it yields 34 maximal co-seriable groups with a maximum size of four, and 18 of the 28 assemblages belong to more than one group (Figure 7). The counts scale with the threshold. The fragmented, overlapping topology does not. That overlap is what distinguishes this from partitioned learning. Groups that had actually closed would give orderings that are incompatible</w:t>
      </w:r>
      <w:r>
        <w:t xml:space="preserve"> </w:t>
      </w:r>
      <w:r>
        <w:rPr>
          <w:i/>
          <w:iCs/>
        </w:rPr>
        <w:t xml:space="preserve">and</w:t>
      </w:r>
      <w:r>
        <w:t xml:space="preserve"> </w:t>
      </w:r>
      <w:r>
        <w:t xml:space="preserve">disjoint, whereas here most assemblages belong to several at once. The field is too continuous to resolve into one ordering, not a set of bounded traditions. Parkin is one of the bridge assemblages, a member of three groups and ranked tenth of 28 by membership, sitting across orderings rather than at the center of one. Lipo, Madsen, and Dunnell</w:t>
      </w:r>
      <w:r>
        <w:t xml:space="preserve"> </w:t>
      </w:r>
      <w:r>
        <w:t xml:space="preserve">(2015)</w:t>
      </w:r>
      <w:r>
        <w:t xml:space="preserve"> </w:t>
      </w:r>
      <w:r>
        <w:t xml:space="preserve">found the same position and interpreted it as a possible sign of incipient hierarchy. We interpret it as a place where interaction concentrated rather than the seat of a bounded group.</w:t>
      </w:r>
    </w:p>
    <w:p>
      <w:pPr>
        <w:pStyle w:val="CaptionedFigure"/>
      </w:pPr>
      <w:r>
        <w:drawing>
          <wp:inline>
            <wp:extent cx="5334000" cy="3719607"/>
            <wp:effectExtent b="0" l="0" r="0" t="0"/>
            <wp:docPr descr="Figure 7. 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 title="" id="142" name="Picture"/>
            <a:graphic>
              <a:graphicData uri="http://schemas.openxmlformats.org/drawingml/2006/picture">
                <pic:pic>
                  <pic:nvPicPr>
                    <pic:cNvPr descr="../../figures/fig7_idss_structure.png" id="143" name="Picture"/>
                    <pic:cNvPicPr>
                      <a:picLocks noChangeArrowheads="1" noChangeAspect="1"/>
                    </pic:cNvPicPr>
                  </pic:nvPicPr>
                  <pic:blipFill>
                    <a:blip r:embed="rId141"/>
                    <a:stretch>
                      <a:fillRect/>
                    </a:stretch>
                  </pic:blipFill>
                  <pic:spPr bwMode="auto">
                    <a:xfrm>
                      <a:off x="0" y="0"/>
                      <a:ext cx="5334000" cy="3719607"/>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w:t>
      </w:r>
    </w:p>
    <w:p>
      <w:pPr>
        <w:pStyle w:val="BodyText"/>
      </w:pPr>
      <w:r>
        <w:t xml:space="preserve">Parkin’s features set it apart, but its prominence sits within a graded distribution rather than standing above it as a redistributive apex. Its principal mound is a flat-topped temple mound 6.5 m (21.3 ft) high on the western edge of the site, overlooking the St. Francis River, with an extension 1.5 m high at its southern end; six smaller mounds near it, mapped in 1940, range from 0.5 to 1 m. The site itself measures 17 acres (6.9 ha), is bordered by a wide ditch on its northern, eastern, and southern edges, and its occupational deposits rise 3 m above the surrounding floodplain</w:t>
      </w:r>
      <w:r>
        <w:t xml:space="preserve"> </w:t>
      </w:r>
      <w:r>
        <w:t xml:space="preserve">(Morse 1981, 1990)</w:t>
      </w:r>
      <w:r>
        <w:t xml:space="preserve">. At 21.3 ft the temple mound is the second tallest among the 55 basin sites with a recorded height, behind one site at 23 feet, and the ratio of the tallest to the second tallest is 1.08 (Figure 8). The comparison is uneven in one respect we cannot correct: Parkin’s height comes from excavation reporting, while the other 54 come from a regional compilation that records no per-site provenance. The settlement record thus shows a prominent center within a graded size distribution, not an administrative tier set above the rest</w:t>
      </w:r>
      <w:r>
        <w:t xml:space="preserve"> </w:t>
      </w:r>
      <w:r>
        <w:t xml:space="preserve">(Hally 1993, 1996)</w:t>
      </w:r>
      <w:r>
        <w:t xml:space="preserve">, which is the same picture the transmission test returns (Figure 8).</w:t>
      </w:r>
    </w:p>
    <w:p>
      <w:pPr>
        <w:pStyle w:val="CaptionedFigure"/>
      </w:pPr>
      <w:r>
        <w:drawing>
          <wp:inline>
            <wp:extent cx="5334000" cy="3332419"/>
            <wp:effectExtent b="0" l="0" r="0" t="0"/>
            <wp:docPr descr="Figure 8. 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 title="" id="145" name="Picture"/>
            <a:graphic>
              <a:graphicData uri="http://schemas.openxmlformats.org/drawingml/2006/picture">
                <pic:pic>
                  <pic:nvPicPr>
                    <pic:cNvPr descr="../../figures/fig8_ranksize.png" id="146" name="Picture"/>
                    <pic:cNvPicPr>
                      <a:picLocks noChangeArrowheads="1" noChangeAspect="1"/>
                    </pic:cNvPicPr>
                  </pic:nvPicPr>
                  <pic:blipFill>
                    <a:blip r:embed="rId144"/>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w:t>
      </w:r>
    </w:p>
    <w:p>
      <w:pPr>
        <w:pStyle w:val="BodyText"/>
      </w:pPr>
      <w:r>
        <w:t xml:space="preserve">Everything above measures differentiation across a partition the analysis draws, which answers whether structure exists at a given grain. It does not answer the question the phases themselves pose, which is whether the boundaries culture history drew are where that structure lies. The phases are not arbitrary lines. They are where generations of workers thought they saw structure, so the question is what that perception was tracking.</w:t>
      </w:r>
    </w:p>
    <w:p>
      <w:pPr>
        <w:pStyle w:val="BodyText"/>
      </w:pPr>
      <w:r>
        <w:t xml:space="preserve">The answer depends first on grain, and that dependence is itself a result (Figure 12A). Calibrated drift produces much the same modest differentiation however finely the assemblages are grouped, its median between-cluster</w:t>
      </w:r>
      <w:r>
        <w:t xml:space="preserve"> </w:t>
      </w:r>
      <m:oMath>
        <m:sSub>
          <m:e>
            <m:r>
              <m:t>F</m:t>
            </m:r>
          </m:e>
          <m:sub>
            <m:r>
              <m:t>S</m:t>
            </m:r>
            <m:r>
              <m:t>T</m:t>
            </m:r>
          </m:sub>
        </m:sSub>
      </m:oMath>
      <w:r>
        <w:t xml:space="preserve"> </w:t>
      </w:r>
      <w:r>
        <w:t xml:space="preserve">rising only from 0.002 at two groups to 0.007 at six. The observed values do not behave that way. At two groups, the grain the silhouette selects, the record falls inside what drift produces; from three groups upward it exceeds the 95 percent interval, by about 3.6-fold at three groups and about fivefold at five. Drift on the real geography accounts for the broad regional pattern and fails locally, and the finer the cut the worse it fails. No single</w:t>
      </w:r>
      <w:r>
        <w:t xml:space="preserve"> </w:t>
      </w:r>
      <m:oMath>
        <m:sSub>
          <m:e>
            <m:r>
              <m:t>F</m:t>
            </m:r>
          </m:e>
          <m:sub>
            <m:r>
              <m:t>S</m:t>
            </m:r>
            <m:r>
              <m:t>T</m:t>
            </m:r>
          </m:sub>
        </m:sSub>
      </m:oMath>
      <w:r>
        <w:t xml:space="preserve"> </w:t>
      </w:r>
      <w:r>
        <w:t xml:space="preserve">is therefore</w:t>
      </w:r>
      <w:r>
        <w:t xml:space="preserve"> </w:t>
      </w:r>
      <w:r>
        <w:rPr>
          <w:i/>
          <w:iCs/>
        </w:rPr>
        <w:t xml:space="preserve">the</w:t>
      </w:r>
      <w:r>
        <w:t xml:space="preserve"> </w:t>
      </w:r>
      <w:r>
        <w:t xml:space="preserve">value for this basin; the level is a property of the scale, and only the comparison against drift is stable across scales.</w:t>
      </w:r>
    </w:p>
    <w:p>
      <w:pPr>
        <w:pStyle w:val="BodyText"/>
      </w:pPr>
      <w:r>
        <w:t xml:space="preserve">We then computed the between-group</w:t>
      </w:r>
      <w:r>
        <w:t xml:space="preserve"> </w:t>
      </w:r>
      <m:oMath>
        <m:sSub>
          <m:e>
            <m:r>
              <m:t>F</m:t>
            </m:r>
          </m:e>
          <m:sub>
            <m:r>
              <m:t>S</m:t>
            </m:r>
            <m:r>
              <m:t>T</m:t>
            </m:r>
          </m:sub>
        </m:sSub>
      </m:oMath>
      <w:r>
        <w:t xml:space="preserve"> </w:t>
      </w:r>
      <w:r>
        <w:t xml:space="preserve">under the phase assignments themselves, 0.0110, and placed it against partitions that carry the phases’ own group sizes (8, 11, and 9 assemblages) but draw their boundaries elsewhere (Figure 12B, 12C). Against labels shuffled at random, which destroys geography, the phase partition exceeds 1,832 of 2,000 draws: assemblages near one another do resemble one another, as isolation by distance produces on its own. Against 1,000 partitions whose seed points fall at random, each assemblage assigned by exact minimum-cost matching under the phase group sizes, it sits at the 18th percentile against a median of 0.0154. Against 1,000 partitions drawn instead to minimize within-group dispersion, it sits at the 5th percentile against a median of 0.0171. Those percentiles are one-sided empirical percentiles; resampling the ensembles at the same draw count puts them at the 15th to 20th and the 4th to 6th.</w:t>
      </w:r>
    </w:p>
    <w:p>
      <w:pPr>
        <w:pStyle w:val="BodyText"/>
      </w:pPr>
      <w:r>
        <w:t xml:space="preserve">The phase boundaries therefore carry less information about where ceramic differences lie than an uninformed division of the same ground into groups of the same sizes, and far less than a division drawn to be spatially tight. A partition marking real interaction communities should behave otherwise: it should stand well above both, because its boundaries would be where the differences are. What the boundaries do track is spatial compactness, and closely. Their within-group dispersion, 189.9 km² per assemblage, is the tightest three-way division of these assemblages at these group sizes that our search found, and a local search minimizing dispersion, which never sees a potsherd, returned the phase partition exactly in 153 of 1,000 random restarts and nothing tighter in any of them. What the phase scheme appears to record is the gradient itself, real spatial structure read as edges.</w:t>
      </w:r>
    </w:p>
    <w:p>
      <w:pPr>
        <w:pStyle w:val="BodyText"/>
      </w:pPr>
      <w:r>
        <w:t xml:space="preserve">This comparison is internal to the partition and does not depend on the drift model, so the residual that model leaves does not bear on it. It does share the record’s central limitation. With an ordinal chronology derived from the same frequencies, a partition that is chronologically coherent will differentiate for reasons that are not spatial, and that applies to the phase partition and to every alternative it is judged against alike.</w:t>
      </w:r>
    </w:p>
    <w:p>
      <w:pPr>
        <w:pStyle w:val="CaptionedFigure"/>
      </w:pPr>
      <w:r>
        <w:drawing>
          <wp:inline>
            <wp:extent cx="5334000" cy="2584123"/>
            <wp:effectExtent b="0" l="0" r="0" t="0"/>
            <wp:docPr descr="Figure 12. Scale and boundaries. (A) Observed between-cluster cultural F_{ST} against the calibrated spatial-drift null as the basin is partitioned into two through six groups. The drift band is nearly flat; the observed values leave it from three groups upward and the gap widens with grain. (B) Within-group dispersion against cultural F_{ST} 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6), and no draw in either ensemble is tighter than the phases. (C) The phase partition’s F_{ST} (solid line) against the dispersion-minimizing ensemble, in which it sits at the 5th percentile." title="" id="148" name="Picture"/>
            <a:graphic>
              <a:graphicData uri="http://schemas.openxmlformats.org/drawingml/2006/picture">
                <pic:pic>
                  <pic:nvPicPr>
                    <pic:cNvPr descr="../../figures/fig12_phase_partition.png" id="149" name="Picture"/>
                    <pic:cNvPicPr>
                      <a:picLocks noChangeArrowheads="1" noChangeAspect="1"/>
                    </pic:cNvPicPr>
                  </pic:nvPicPr>
                  <pic:blipFill>
                    <a:blip r:embed="rId147"/>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calibrated spatial-drift null as the basin is partitioned into two through six groups. The drift band is nearly flat; the observed values leave it from three groups upward and the gap widens with grain. (B) Within-group dispersion against cultural</w:t>
      </w:r>
      <w:r>
        <w:t xml:space="preserve"> </w:t>
      </w:r>
      <m:oMath>
        <m:sSub>
          <m:e>
            <m:r>
              <m:t>F</m:t>
            </m:r>
          </m:e>
          <m:sub>
            <m:r>
              <m:t>S</m:t>
            </m:r>
            <m:r>
              <m:t>T</m:t>
            </m:r>
          </m:sub>
        </m:sSub>
      </m:oMath>
      <w:r>
        <w:t xml:space="preserve"> </w:t>
      </w:r>
      <w:r>
        <w:t xml:space="preserve">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(+0.46), and no draw in either ensemble is tighter than the phases. (C) The phase partition’s</w:t>
      </w:r>
      <w:r>
        <w:t xml:space="preserve"> </w:t>
      </w:r>
      <m:oMath>
        <m:sSub>
          <m:e>
            <m:r>
              <m:t>F</m:t>
            </m:r>
          </m:e>
          <m:sub>
            <m:r>
              <m:t>S</m:t>
            </m:r>
            <m:r>
              <m:t>T</m:t>
            </m:r>
          </m:sub>
        </m:sSub>
      </m:oMath>
      <w:r>
        <w:t xml:space="preserve"> </w:t>
      </w:r>
      <w:r>
        <w:t xml:space="preserve">(solid line) against the dispersion-minimizing ensemble, in which it sits at the 5th percentile.</w:t>
      </w:r>
    </w:p>
    <w:p>
      <w:pPr>
        <w:pStyle w:val="BodyText"/>
      </w:pPr>
      <w:r>
        <w:t xml:space="preserve">If the boundaries are not where the differences are, what does the scheme record? We clustered the assemblages in a joint space of site coordinates and decorated-class composition, varying how much weight composition carries, and scored each result against the published phase assignments with the adjusted Rand index, which is zero in expectation for unrelated partitions (Figure 14). The three assemblages this study places by territory are excluded from that score, because a geographic fill rule measured against geography would manufacture the agreement it is meant to test; the remaining 25 are Mainfort’s own assignments. Partitions carrying the phases’ group sizes with their boundaries placed at random agree at 0.566, which is what three groups of these sizes produce on their own. The site coordinates alone reproduce Mainfort’s assignments exactly, an index of 1.000 as the median over 40 k-means initializations, though a minority of initializations settle at 0.607. Adding composition lowers the agreement at every weight: from a tenth of the coordinates’ weight through equal weight the median is 0.607, and composition alone reaches 0.215. The phase scheme is therefore recoverable from the site map with no pottery at all, and the pottery, when it enters, moves the answer away from the published phases rather than toward them.</w:t>
      </w:r>
    </w:p>
    <w:p>
      <w:pPr>
        <w:pStyle w:val="BodyText"/>
      </w:pPr>
      <w:r>
        <w:t xml:space="preserve">That figure is reported under the chi-square transform because it is the only one of the three we ran that has no free parameter. Thirty-eight percent of the cells in this matrix are zero, so a log-ratio transform cannot be computed without deciding what a zero is worth, and that decision moves the agreement at half weight from 0.53 to 0.77 as absence is amplified harder. The sensitivity is reported in full in the Supplemental Text rather than resolved by a choice.</w:t>
      </w:r>
    </w:p>
    <w:p>
      <w:pPr>
        <w:pStyle w:val="BodyText"/>
      </w:pPr>
      <w:r>
        <w:t xml:space="preserve">The boundaries themselves give the same answer from a different direction. Treating decorated-class composition as a continuous field and taking its local gradient yields a rate of compositional turnover at every point in the basin, in proportion units per kilometer (Figure 13A). An edge between interaction communities would appear as a ridge in that field. The published boundaries do not lie on ridges. Median turnover along them is 0.0104 per kilometer against 0.0124 for boundaries built the same way from 200 partitions carrying the phases’ group sizes with their seeds placed at random, and none of the 200 runs through slower-changing country than the phase boundaries do (Figure 13B). They fall where composition changes unusually slowly, not unusually fast. We report that matched comparison rather than the more obvious one against the mapped area as a whole, which gives the 24th percentile and is an artifact: turnover falls where local support rises, and boundaries of this construction necessarily lie in the interior of the site distribution, where support is highest.</w:t>
      </w:r>
    </w:p>
    <w:p>
      <w:pPr>
        <w:pStyle w:val="CaptionedFigure"/>
      </w:pPr>
      <w:r>
        <w:drawing>
          <wp:inline>
            <wp:extent cx="5299850" cy="2911400"/>
            <wp:effectExtent b="0" l="0" r="0" t="0"/>
            <wp:docPr descr="Figure 13. 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 F_{ST} against group radius in kilometers, with the calibrated drift band behind it; the axis runs from coarse to fine. The observed value rises from 0.0062 at an 18 km radius, inside the band, to 0.048 at 5 km, while the band’s upper edge rises from 0.010 to 0.028. Past a radius of about 10 km the partition begins isolating single assemblages, so finer grains are shown but should not be read as structure." title="" id="151" name="Picture"/>
            <a:graphic>
              <a:graphicData uri="http://schemas.openxmlformats.org/drawingml/2006/picture">
                <pic:pic>
                  <pic:nvPicPr>
                    <pic:cNvPr descr="../../figures/fig13_groupness_surface.png" id="152" name="Picture"/>
                    <pic:cNvPicPr>
                      <a:picLocks noChangeArrowheads="1" noChangeAspect="1"/>
                    </pic:cNvPicPr>
                  </pic:nvPicPr>
                  <pic:blipFill>
                    <a:blip r:embed="rId150"/>
                    <a:stretch>
                      <a:fillRect/>
                    </a:stretch>
                  </pic:blipFill>
                  <pic:spPr bwMode="auto">
                    <a:xfrm>
                      <a:off x="0" y="0"/>
                      <a:ext cx="5299850" cy="2911400"/>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w:t>
      </w:r>
      <w:r>
        <w:t xml:space="preserve"> </w:t>
      </w:r>
      <m:oMath>
        <m:sSub>
          <m:e>
            <m:r>
              <m:t>F</m:t>
            </m:r>
          </m:e>
          <m:sub>
            <m:r>
              <m:t>S</m:t>
            </m:r>
            <m:r>
              <m:t>T</m:t>
            </m:r>
          </m:sub>
        </m:sSub>
      </m:oMath>
      <w:r>
        <w:t xml:space="preserve"> </w:t>
      </w:r>
      <w:r>
        <w:t xml:space="preserve">against group radius in kilometers, with the calibrated drift band behind it; the axis runs from coarse to fine. The observed value rises from 0.0062 at an 18 km radius, inside the band, to 0.048 at 5 km, while the band’s upper edge rises from 0.010 to 0.028. Past a radius of about 10 km the partition begins isolating single assemblages, so finer grains are shown but should not be read as structure.</w:t>
      </w:r>
    </w:p>
    <w:p>
      <w:pPr>
        <w:pStyle w:val="CaptionedFigure"/>
      </w:pPr>
      <w:r>
        <w:drawing>
          <wp:inline>
            <wp:extent cx="3269209" cy="2666745"/>
            <wp:effectExtent b="0" l="0" r="0" t="0"/>
            <wp:docPr descr="Figure 14. 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 title="" id="154" name="Picture"/>
            <a:graphic>
              <a:graphicData uri="http://schemas.openxmlformats.org/drawingml/2006/picture">
                <pic:pic>
                  <pic:nvPicPr>
                    <pic:cNvPr descr="../../figures/fig14_phase_recovery.png" id="155" name="Picture"/>
                    <pic:cNvPicPr>
                      <a:picLocks noChangeArrowheads="1" noChangeAspect="1"/>
                    </pic:cNvPicPr>
                  </pic:nvPicPr>
                  <pic:blipFill>
                    <a:blip r:embed="rId153"/>
                    <a:stretch>
                      <a:fillRect/>
                    </a:stretch>
                  </pic:blipFill>
                  <pic:spPr bwMode="auto">
                    <a:xfrm>
                      <a:off x="0" y="0"/>
                      <a:ext cx="3269209" cy="2666745"/>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w:t>
      </w:r>
    </w:p>
    <w:p>
      <w:pPr>
        <w:pStyle w:val="BodyText"/>
      </w:pPr>
      <w:r>
        <w:t xml:space="preserve">The account this suggests is that the phases were seen because settlement is clumped and similarity decays with distance, so that a smooth gradient sampled at clumped points looks like discrete groups to a procedure that sorts by resemblance and proximity. Two further tests bear on it. The first asks whether pottery generated by drift alone, with no groups in it, would have been sorted into the published phases. We ran the calibrated drift model on the real site geography, sampled its pottery at the observed sherd totals, and clustered each of 300 simulated records exactly as the real one is clustered above, scoring agreement with Mainfort’s assignments over the 25 assemblages he placed (Figure 15). Wherever the coordinates enter the representation, drift’s pottery is sorted into the phases as readily as the real pottery, and usually better: at a quarter weight on composition the real record’s agreement of 0.607 sits below 99 percent of drift’s, and at equal weight at the 79th percentile. With pottery alone, where geography cannot help, the real record agrees with the phases more than drift’s does, 0.237 against a median of -0.003, with no drift record at or above it. That is the same residual seen from another side: there is ceramic structure aligned with the phases that drift on this geography does not produce, and it is small.</w:t>
      </w:r>
    </w:p>
    <w:p>
      <w:pPr>
        <w:pStyle w:val="BodyText"/>
      </w:pPr>
      <w:r>
        <w:t xml:space="preserve">The second asks whether the phase boundaries run through the gaps in late-period settlement, measured on evidence the ceramic analysis never touches. The settlement compilation records 83 sites with a late pre-contact component in the mapped area; dropping the 27 within a kilometer of an analyzed assemblage leaves 56 whose positions are independent of the assemblages. The density of those sites along the internal phase boundaries is compared with the density along boundaries of the same construction induced by 300 partitions carrying the phases’ group sizes (Figure 16). At an 8 km bandwidth, 77 percent of random-seed partitions and 61 percent of spatially compact ones have boundaries running through denser settlement than the phase boundaries do; at 5 km the figures are 39 and 14 percent, and at 3 km 22 and 15. The two boundaries that remain, Parkin against Kent and Kent against Walls, therefore run through country no emptier than a boundary drawn elsewhere would, except at the coarsest bandwidth. Empty country is what separated the untested phases, Nodena and Parchman, from these three, and with those phases out of the analysis the gap test has less to find; the record in any case cannot resolve structure below the median spacing of its own assemblages, 4.6 km. Late-period sites lie a median 1.9 km from a major river against 3.6 km for random points in the same area, so the rivers set the band in which settlement happens, but points that hug the rivers exactly as closely as the sites do come out randomly spaced (Clark-Evans ratio 0.98 against the sites’ 0.64); the clumps are on particular reaches, for reasons river proximity alone does not supply.</w:t>
      </w:r>
    </w:p>
    <w:p>
      <w:pPr>
        <w:pStyle w:val="CaptionedFigure"/>
      </w:pPr>
      <w:r>
        <w:drawing>
          <wp:inline>
            <wp:extent cx="3272267" cy="2715676"/>
            <wp:effectExtent b="0" l="0" r="0" t="0"/>
            <wp:docPr descr="Figure 15. 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 title="" id="157" name="Picture"/>
            <a:graphic>
              <a:graphicData uri="http://schemas.openxmlformats.org/drawingml/2006/picture">
                <pic:pic>
                  <pic:nvPicPr>
                    <pic:cNvPr descr="../../figures/fig15_phases_under_drift.png" id="158" name="Picture"/>
                    <pic:cNvPicPr>
                      <a:picLocks noChangeArrowheads="1" noChangeAspect="1"/>
                    </pic:cNvPicPr>
                  </pic:nvPicPr>
                  <pic:blipFill>
                    <a:blip r:embed="rId156"/>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15.</w:t>
      </w:r>
      <w:r>
        <w:t xml:space="preserve"> </w:t>
      </w:r>
      <w:r>
        <w:t xml:space="preserve">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w:t>
      </w:r>
    </w:p>
    <w:p>
      <w:pPr>
        <w:pStyle w:val="CaptionedFigure"/>
      </w:pPr>
      <w:r>
        <w:drawing>
          <wp:inline>
            <wp:extent cx="5241744" cy="3223336"/>
            <wp:effectExtent b="0" l="0" r="0" t="0"/>
            <wp:docPr descr="Figure 16. 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 title="" id="160" name="Picture"/>
            <a:graphic>
              <a:graphicData uri="http://schemas.openxmlformats.org/drawingml/2006/picture">
                <pic:pic>
                  <pic:nvPicPr>
                    <pic:cNvPr descr="../../figures/fig16_settlement_gaps.png" id="161" name="Picture"/>
                    <pic:cNvPicPr>
                      <a:picLocks noChangeArrowheads="1" noChangeAspect="1"/>
                    </pic:cNvPicPr>
                  </pic:nvPicPr>
                  <pic:blipFill>
                    <a:blip r:embed="rId159"/>
                    <a:stretch>
                      <a:fillRect/>
                    </a:stretch>
                  </pic:blipFill>
                  <pic:spPr bwMode="auto">
                    <a:xfrm>
                      <a:off x="0" y="0"/>
                      <a:ext cx="5241744" cy="3223336"/>
                    </a:xfrm>
                    <a:prstGeom prst="rect">
                      <a:avLst/>
                    </a:prstGeom>
                    <a:noFill/>
                    <a:ln w="9525">
                      <a:noFill/>
                      <a:headEnd/>
                      <a:tailEnd/>
                    </a:ln>
                  </pic:spPr>
                </pic:pic>
              </a:graphicData>
            </a:graphic>
          </wp:inline>
        </w:drawing>
      </w:r>
    </w:p>
    <w:p>
      <w:pPr>
        <w:pStyle w:val="ImageCaption"/>
      </w:pPr>
      <w:r>
        <w:rPr>
          <w:b/>
          <w:bCs/>
        </w:rPr>
        <w:t xml:space="preserve">Figure 16.</w:t>
      </w:r>
      <w:r>
        <w:t xml:space="preserve"> </w:t>
      </w:r>
      <w:r>
        <w:t xml:space="preserve">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w:t>
      </w:r>
    </w:p>
    <w:bookmarkEnd w:id="162"/>
    <w:bookmarkStart w:id="166" w:name="X16f2e7d0d8ab72d6765fdee67f19566985d7254"/>
    <w:p>
      <w:pPr>
        <w:pStyle w:val="Heading3"/>
      </w:pPr>
      <w:r>
        <w:t xml:space="preserve">The same tests on Mainfort’s table, under his phases</w:t>
      </w:r>
    </w:p>
    <w:p>
      <w:pPr>
        <w:pStyle w:val="FirstParagraph"/>
      </w:pPr>
      <w:r>
        <w:t xml:space="preserve">Mainfort’s</w:t>
      </w:r>
      <w:r>
        <w:t xml:space="preserve"> </w:t>
      </w:r>
      <w:r>
        <w:t xml:space="preserve">(2003)</w:t>
      </w:r>
      <w:r>
        <w:t xml:space="preserve"> </w:t>
      </w:r>
      <w:r>
        <w:t xml:space="preserve">table is a second tally of much the same region, and his phase assignments are a second configuration. Beyond adopting Smith’s</w:t>
      </w:r>
      <w:r>
        <w:t xml:space="preserve"> </w:t>
      </w:r>
      <w:r>
        <w:t xml:space="preserve">(1990)</w:t>
      </w:r>
      <w:r>
        <w:t xml:space="preserve"> </w:t>
      </w:r>
      <w:r>
        <w:t xml:space="preserve">Horseshoe Lake phase, which takes Beck, Belle Meade, Mound Place, and Young out of Walls, he moved Hollywood and Commerce from Walls to Kent, Castile Landing from Kent to Parkin, and Carson Lake from Nodena to Walls; nine of the 36 sites the two schemes share carry different assignments. We ran the tests above on his counts, decorated types only, at a minimum of 100 decorated sherds, under his labels: 29 sites and 13,296 decorated sherds in five phases, Kent with 9, Parkin with 7, Walls with 6, Horseshoe Lake with 4, and Jones Bayou with 3 (Figure 17). Tipton keeps one site at that minimum and is not carried. His counts are not independent of the survey’s for the 21 sites the two tables share, so this is a second sampling of the same collections together with western Tennessee material the survey never had, not an independent record, and the drift comparison is not repeated because the model is calibrated to the primary matrix.</w:t>
      </w:r>
    </w:p>
    <w:p>
      <w:pPr>
        <w:pStyle w:val="BodyText"/>
      </w:pPr>
      <w:r>
        <w:t xml:space="preserve">The geographic core of the result repeats. The site map alone recovers his scheme at 0.51, the pottery alone at 0.25, and partitions with his group sizes placed at random at 0.29: geography carries most of his configuration, as it carries all of Phillips’s. But his boundaries behave differently from Phillips’s. Under his phases the between-group</w:t>
      </w:r>
      <w:r>
        <w:t xml:space="preserve"> </w:t>
      </w:r>
      <m:oMath>
        <m:sSub>
          <m:e>
            <m:r>
              <m:t>F</m:t>
            </m:r>
          </m:e>
          <m:sub>
            <m:r>
              <m:t>S</m:t>
            </m:r>
            <m:r>
              <m:t>T</m:t>
            </m:r>
          </m:sub>
        </m:sSub>
      </m:oMath>
      <w:r>
        <w:t xml:space="preserve"> </w:t>
      </w:r>
      <w:r>
        <w:t xml:space="preserve">is 0.047, at the 100th percentile of 1,000 size-matched partitions with seeds placed at random and the 99th percentile of partitions drawn to be spatially compact, and the compactness search never returns his partition. Where Phillips’s lines sit in the tightest division of the map and at the 5th percentile of compact alternatives, Mainfort’s sit where the pottery differs and are not the tightest division of anything. Adding composition to the coordinates raises the recovery of his scheme, to 0.61 at half weight, where for Phillips’s it only lowers it.</w:t>
      </w:r>
    </w:p>
    <w:p>
      <w:pPr>
        <w:pStyle w:val="BodyText"/>
      </w:pPr>
      <w:r>
        <w:t xml:space="preserve">The contested sites show why. For each of the nine, we measured the chi-square distance from the site’s profile to the pooled profile of each candidate phase with the site itself left out. Beck is 0.33 from Horseshoe Lake and 0.71 from Walls; Belle Meade 0.26 and 0.68; Hollywood 0.33 from Kent and 0.91 from Walls; Commerce 0.61 and 1.10. Young and Castile Landing are indifferent between their two candidates (0.47 against 0.44; 0.56 against 0.57), and Mound Place leans the same way as its neighbors (0.65 against 0.78). Where the two schemes disagree, the pottery sides with Mainfort’s, usually by a wide margin.</w:t>
      </w:r>
    </w:p>
    <w:p>
      <w:pPr>
        <w:pStyle w:val="BodyText"/>
      </w:pPr>
      <w:r>
        <w:t xml:space="preserve">That is what the two schemes’ origins predict. Phillips drew phases by inspection and proximity, and his lines are a partition of the map. Mainfort redrew them after ordinating the pottery, adopting Smith’s split and moving the sites his ordination placed as outliers, and a scheme drawn from the pottery will sit where the pottery differs. The comparison does not show that his phases are bounded groups; it shows that a scheme can be made to track the gradient’s steepest parts by letting the gradient draw it, and that the inherited scheme was not made that way.</w:t>
      </w:r>
    </w:p>
    <w:p>
      <w:pPr>
        <w:pStyle w:val="CaptionedFigure"/>
      </w:pPr>
      <w:r>
        <w:drawing>
          <wp:inline>
            <wp:extent cx="5334000" cy="2684917"/>
            <wp:effectExtent b="0" l="0" r="0" t="0"/>
            <wp:docPr descr="Figure 17. 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 title="" id="164" name="Picture"/>
            <a:graphic>
              <a:graphicData uri="http://schemas.openxmlformats.org/drawingml/2006/picture">
                <pic:pic>
                  <pic:nvPicPr>
                    <pic:cNvPr descr="../../figures/fig17_mainfort_replication.png" id="165" name="Picture"/>
                    <pic:cNvPicPr>
                      <a:picLocks noChangeArrowheads="1" noChangeAspect="1"/>
                    </pic:cNvPicPr>
                  </pic:nvPicPr>
                  <pic:blipFill>
                    <a:blip r:embed="rId163"/>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17.</w:t>
      </w:r>
      <w:r>
        <w:t xml:space="preserve"> </w:t>
      </w:r>
      <w:r>
        <w:t xml:space="preserve">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w:t>
      </w:r>
    </w:p>
    <w:bookmarkEnd w:id="166"/>
    <w:bookmarkEnd w:id="167"/>
    <w:bookmarkStart w:id="168" w:name="discussion"/>
    <w:p>
      <w:pPr>
        <w:pStyle w:val="Heading2"/>
      </w:pPr>
      <w:r>
        <w:t xml:space="preserve">Discussion</w:t>
      </w:r>
    </w:p>
    <w:p>
      <w:pPr>
        <w:pStyle w:val="FirstParagraph"/>
      </w:pPr>
      <w:r>
        <w:t xml:space="preserve">The lines of evidence agree on what the Parkin record does not show and disagree on what explains what it does show. Within the St. Francis basin, Parkin is the largest center and has the most elaborate mound construction. Its decorated-ceramic record shows no closure of interaction that the resolution our recovery experiment establishes can resolve, with a posterior that reaches from none to moderate. The settlement and exchange records likewise show a graded organization rather than one with a single apex</w:t>
      </w:r>
      <w:r>
        <w:t xml:space="preserve"> </w:t>
      </w:r>
      <w:r>
        <w:t xml:space="preserve">(Cobb 2000)</w:t>
      </w:r>
      <w:r>
        <w:t xml:space="preserve">. Because the exchange evidence comes from the region as a whole rather than from within the basin, we treat it as consistent with decentralization at Parkin rather than as proof of it.</w:t>
      </w:r>
    </w:p>
    <w:p>
      <w:pPr>
        <w:pStyle w:val="BodyText"/>
      </w:pPr>
      <w:r>
        <w:t xml:space="preserve">What the record does show, once the drift model is required to match the diversity within the assemblages themselves, is more differentiation between spatial clusters than the simplest form of spatially structured drift produces at any grain finer than the two clusters the data select, and restricted copying, as we have modeled it, does not explain the difference either. Of the four assumptions we were able to relax, one accounts for it, and it is not an assumption about who copied whom.</w:t>
      </w:r>
    </w:p>
    <w:p>
      <w:pPr>
        <w:pStyle w:val="BodyText"/>
      </w:pPr>
      <w:r>
        <w:t xml:space="preserve">It is worth being clear about what that result does and does not claim about geography’s role. The innovation boundary is itself geographic. The profiles follow the same spatial clusters everything else in this comparison is measured on, and nothing in it requires a social frontier. The four tests separate not geography from some other kind of explanation, but the process geography acts on. Acting on copying, through the distance over which potters learned from one another, geography does not reproduce the record. No metric, length, or decay shape does so while the assemblages’ diversity is held. Acting on innovation, through where new variants first appeared, a weak spatial structure reproduces both the differentiation and the diversity at once, where no change to copying moves the statistic far without breaking the match. The record is spatially organized either way. What it appears not to be is spatially organized in the channel archaeology usually assumes.</w:t>
      </w:r>
    </w:p>
    <w:p>
      <w:pPr>
        <w:pStyle w:val="BodyText"/>
      </w:pPr>
      <w:r>
        <w:t xml:space="preserve">This identifies a mechanism the record is consistent with, not one it demonstrates. The group profiles in the test are random permutations of the regional profile, not the profiles the groups actually have. Using the latter would guarantee the result by construction. The individual realizations are also very widely spread, so the agreement is between the model’s central tendency and the observation. What can be said is narrower and still useful. Of the four assumptions we could relax, only a boundary in where new styles</w:t>
      </w:r>
      <w:r>
        <w:t xml:space="preserve"> </w:t>
      </w:r>
      <w:r>
        <w:rPr>
          <w:i/>
          <w:iCs/>
        </w:rPr>
        <w:t xml:space="preserve">originate</w:t>
      </w:r>
      <w:r>
        <w:t xml:space="preserve"> </w:t>
      </w:r>
      <w:r>
        <w:t xml:space="preserve">reproduces the record’s differentiation while its diversity stays matched. That points attention away from restricted copying, which the paper has already found little sign of, and toward the possibility that innovation itself was locally patterned.</w:t>
      </w:r>
    </w:p>
    <w:p>
      <w:pPr>
        <w:pStyle w:val="BodyText"/>
      </w:pPr>
      <w:r>
        <w:t xml:space="preserve">What, then, is a phase? The workers who defined these units were responding to something real, since decorated-class composition does change with distance across the basin. But a gradient does not supply lines, and the comparisons in Figures 12 through 16 show where the lines came from. The published scheme is recovered from where the sites are: site coordinates alone reproduce Mainfort’s assignments exactly, and adding the pottery at any weight moves the answer away from them. The boundaries fall where composition changes unusually slowly rather than where it changes fast, and partitions of the same shape drawn elsewhere differentiate the assemblages as well or better. On a gradient with no edges, how alike two assemblages look is largely a function of how near they are, so sorting assemblages by resemblance in good faith recovers clusters of sites. That is also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Proximity in ordination space is proximity on the ground, seen through the pottery. His own reconfigured phases make the point from the other side: drawn after the ordination, they sit where the pottery differs and are no longer the tightest division of the map, so the two schemes together show a gradient read two ways, once by proximity and once by the pottery, with no boundary in either. We therefore read a phase as a length scale on a continuous gradient, made visible by where settlement happens to cluster, rather than as a bounded unit. These data cannot say what that length is. The spatial model’s length scale is not identified, and sherd counts that differ 96-fold, unequal accumulation spans, and an ordinal chronology derived from the same frequencies together set the limit on what any spatial statistic can resolve here.</w:t>
      </w:r>
    </w:p>
    <w:p>
      <w:pPr>
        <w:pStyle w:val="BodyText"/>
      </w:pPr>
      <w:r>
        <w:t xml:space="preserve">A drift model alone reproduces the phase pattern at the grain the data select and falls short of it at finer grains, and the transmission record does not identify bounded groups as the cause of that shortfall. A partition-free field model finds almost none of the site-specific residual that bounded groups would leave, so the differentiation that calibrated drift underpredicts at fine grain is spatially continuous rather than clustered into groups. That does not support interpreting the Parkin phase as a polity.</w:t>
      </w:r>
    </w:p>
    <w:p>
      <w:pPr>
        <w:pStyle w:val="BodyText"/>
      </w:pPr>
      <w:r>
        <w:t xml:space="preserve">The ceramic claim has a narrow scope. Our transmission analysis asks whether interaction closed into bounded, like-with-like groups. It does not ask about group-level fitness differences or a new unit of selection</w:t>
      </w:r>
      <w:r>
        <w:t xml:space="preserve"> </w:t>
      </w:r>
      <w:r>
        <w:t xml:space="preserve">(Richerson et al. 2016)</w:t>
      </w:r>
      <w:r>
        <w:t xml:space="preserve">, because assemblage data cannot address those questions. Nor does it isolate demographic structure, which can shape assemblage diversity independently of any closure of interaction</w:t>
      </w:r>
      <w:r>
        <w:t xml:space="preserve"> </w:t>
      </w:r>
      <w:r>
        <w:t xml:space="preserve">(Henrich 2004; Powell et al. 2009)</w:t>
      </w:r>
      <w:r>
        <w:t xml:space="preserve">.</w:t>
      </w:r>
    </w:p>
    <w:p>
      <w:pPr>
        <w:pStyle w:val="BodyText"/>
      </w:pPr>
      <w:r>
        <w:t xml:space="preserve">The phase rests on the single observation that assemblages resemble their near neighbors more than their distant ones. Spatially structured drift produces a pattern of that shape on its own, with no bounded group anywhere, and the drift model we calibrated matches how strong the pattern is at the grain the data select while falling short of it at finer ones. At the scale at which the phase is drawn, it marks continuous interaction shaped by geography rather than a bounded society. Parkin’s ceremonial and demographic prominence was real. The polity that prominence is taken to imply is not in the transmission record.</w:t>
      </w:r>
    </w:p>
    <w:p>
      <w:pPr>
        <w:pStyle w:val="BodyText"/>
      </w:pPr>
      <w:r>
        <w:t xml:space="preserve">The region’s own ethnohistory offers an independent precedent for separating polity from ceramic phase. Coosa, the best-documented Mississippian paramountcy, spanned two ceramic traditions and site clusters that were separable at the phase level. Political affiliation, rather than shared decorated style, bound them together</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regional literature. In the standard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tested directly, and the calibrated comparison reported above does so. Run forward on the real configuration of the basin assemblages, with copying that decays with distance along the waterways and with no boundary imposed</w:t>
      </w:r>
      <w:r>
        <w:t xml:space="preserve"> </w:t>
      </w:r>
      <w:r>
        <w:t xml:space="preserve">(Lipo et al. 2021)</w:t>
      </w:r>
      <w:r>
        <w:t xml:space="preserve">, and the drift model reproduces the diversity within the assemblages and their differentiation at two spatial clusters, while underpredicting it at three or more. Local elaboration on a shared complex is most of what the record looks like, and at fine grain it is not all of it.</w:t>
      </w:r>
    </w:p>
    <w:p>
      <w:pPr>
        <w:pStyle w:val="BodyText"/>
      </w:pPr>
      <w:r>
        <w:t xml:space="preserve">The uncalibrated version of this experiment had placed the observed differentiation at the upper edge of the drift distribution. That version ran at a within-assemblage diversity far above the record’s, and its result was an artifact of the misfit. In finite populations, structure rather than population size governs how drift partitions diversity, and a localized neutral process is easily mistaken for biased transmission when diversity is taken at face value</w:t>
      </w:r>
      <w:r>
        <w:t xml:space="preserve"> </w:t>
      </w:r>
      <w:r>
        <w:t xml:space="preserve">(Barton 1996; Premo 2016; Premo and Scholnick 2011; Schneider et al. 2016)</w:t>
      </w:r>
      <w:r>
        <w:t xml:space="preserve">. The converse also holds. A drift model taken at face value, without calibration, is easily credited with structure it cannot produce.</w:t>
      </w:r>
    </w:p>
    <w:p>
      <w:pPr>
        <w:pStyle w:val="BodyText"/>
      </w:pPr>
      <w:r>
        <w:t xml:space="preserve">The remaining excess is measured on the basin’s spatial clusters at grains finer than two, not on the phase labels. Nothing in the comparison singles Parkin out. Its assemblages sit inside the same continuous field as the rest, and time-averaging is built into the null through the eight-slice accumulation window, so it cannot be invoked to discount the excess either.</w:t>
      </w:r>
    </w:p>
    <w:p>
      <w:pPr>
        <w:pStyle w:val="BodyText"/>
      </w:pPr>
      <w:r>
        <w:t xml:space="preserve">If any part of this evidence favored the emerging-chiefdom interpretation, it would be this excess, though the model built to represent boundaries does not reproduce it either. Two further arguments have been offered for that interpretation. The most direct holds that Parkin sits on agriculturally poor soil and so must have drawn tribute from the productive villages around it</w:t>
      </w:r>
      <w:r>
        <w:t xml:space="preserve"> </w:t>
      </w:r>
      <w:r>
        <w:t xml:space="preserve">(Phyllis A. Morse 1990)</w:t>
      </w:r>
      <w:r>
        <w:t xml:space="preserve">. That inference is specific and deserves credit, but it is circular. The tribute it concludes is the tribute it assumes, and Parkin’s position at the confluence of the St. Francis and Tyronza is explained as well by control of movement and communication as by extraction. The second points to skeletal evidence from the lower Mississippi (Yazoo) Delta rather than from the St. Francis basin, where people at a mound center had a better diet than people at a nearby satellite village</w:t>
      </w:r>
      <w:r>
        <w:t xml:space="preserve"> </w:t>
      </w:r>
      <w:r>
        <w:t xml:space="preserve">(Ross-Stallings 2017)</w:t>
      </w:r>
      <w:r>
        <w:t xml:space="preserve">. That contrast is real but weak. The satellite sample numbers fourteen individuals, and health differences between two sites need not arise from an extractive hierarchy. Neither argument supplies the regional, structural signature that the drift-versus-groups comparison seeks and fails to find.</w:t>
      </w:r>
    </w:p>
    <w:p>
      <w:pPr>
        <w:pStyle w:val="BodyText"/>
      </w:pPr>
      <w:r>
        <w:t xml:space="preserve">Before the limits, it is worth setting out plainly what the result is, because it has three parts and they do not carry equal weight.</w:t>
      </w:r>
    </w:p>
    <w:p>
      <w:pPr>
        <w:numPr>
          <w:ilvl w:val="0"/>
          <w:numId w:val="1001"/>
        </w:numPr>
      </w:pPr>
      <w:r>
        <w:rPr>
          <w:i/>
          <w:iCs/>
        </w:rPr>
        <w:t xml:space="preserve">Interaction in the basin narrowed no further than distance alone accounts for, as far as this record can show.</w:t>
      </w:r>
      <w:r>
        <w:t xml:space="preserve"> </w:t>
      </w:r>
      <w:r>
        <w:t xml:space="preserve">The recovery experiment fixes what</w:t>
      </w:r>
      <w:r>
        <w:t xml:space="preserve"> </w:t>
      </w:r>
      <w:r>
        <w:t xml:space="preserve">“as far as this record can show”</w:t>
      </w:r>
      <w:r>
        <w:t xml:space="preserve"> </w:t>
      </w:r>
      <w:r>
        <w:t xml:space="preserve">means. A closure of moderate or greater strength, expressed as divergence between spatial clusters, would have registered, and none did.</w:t>
      </w:r>
    </w:p>
    <w:p>
      <w:pPr>
        <w:numPr>
          <w:ilvl w:val="0"/>
          <w:numId w:val="1001"/>
        </w:numPr>
      </w:pPr>
      <w:r>
        <w:rPr>
          <w:i/>
          <w:iCs/>
        </w:rPr>
        <w:t xml:space="preserve">The basin assemblages are more differentiated than either generative model produces.</w:t>
      </w:r>
      <w:r>
        <w:t xml:space="preserve"> </w:t>
      </w:r>
      <w:r>
        <w:t xml:space="preserve">At the two clusters the data select, between-cluster cultural</w:t>
      </w:r>
      <w:r>
        <w:t xml:space="preserve"> </w:t>
      </w:r>
      <m:oMath>
        <m:sSub>
          <m:e>
            <m:r>
              <m:t>F</m:t>
            </m:r>
          </m:e>
          <m:sub>
            <m:r>
              <m:t>S</m:t>
            </m:r>
            <m:r>
              <m:t>T</m:t>
            </m:r>
          </m:sub>
        </m:sSub>
      </m:oMath>
      <w:r>
        <w:t xml:space="preserve"> </w:t>
      </w:r>
      <w:r>
        <w:t xml:space="preserve">is 0.006, inside the 0.0002 to 0.010 that the simplest drift model calibrated to the assemblages’ own diversity produces; at three it is 0.016 against an upper edge of 0.013, and at five 0.031 against 0.019, and imposing bounded groups on the copying network does not make up the difference.</w:t>
      </w:r>
    </w:p>
    <w:p>
      <w:pPr>
        <w:numPr>
          <w:ilvl w:val="0"/>
          <w:numId w:val="1001"/>
        </w:numPr>
      </w:pPr>
      <w:r>
        <w:rPr>
          <w:i/>
          <w:iCs/>
        </w:rPr>
        <w:t xml:space="preserve">A boundary in where new styles originated is the only tested account of that difference.</w:t>
      </w:r>
      <w:r>
        <w:t xml:space="preserve"> </w:t>
      </w:r>
      <w:r>
        <w:t xml:space="preserve">Of the four assumptions relaxed, it alone reproduces the basin’s differentiation and its within-assemblage diversity at the same time. It is drift with one added ingredient, not an alternative to drift.</w:t>
      </w:r>
    </w:p>
    <w:p>
      <w:pPr>
        <w:pStyle w:val="FirstParagraph"/>
      </w:pPr>
      <w:r>
        <w:t xml:space="preserve">The first is a finding about Parkin, the second is a finding about our models, and the third is a hypothesis the record is consistent with rather than one it demonstrates. Table 2 sets them against the accounts they displace. Each of the four limits below applies to one of them.</w:t>
      </w:r>
    </w:p>
    <w:p>
      <w:pPr>
        <w:pStyle w:val="BodyText"/>
      </w:pPr>
      <w:r>
        <w:t xml:space="preserve">The first limit is resolution, and it applies to the finding about Parkin.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(Figure 5). Recovery also succeeds only when closure shows up as divergence between groups. So the finding states that this record cannot register closure of the kind and strength it detects. Three kinds are not ruled out. A closure weaker than the detection threshold would be missed, and two others would lie below detection at any strength at all. One is a closure carried purely by conformity within groups, the other a closure following social divisions that do not align with the spatial clusters (Supplemental Text). Naming those, rather than claiming that no closure existed, is what the recovery experiment buys.</w:t>
      </w:r>
    </w:p>
    <w:p>
      <w:pPr>
        <w:pStyle w:val="BodyText"/>
      </w:pPr>
      <w:r>
        <w:t xml:space="preserve">The second limit is the ordinal chronology, and it applies to any interpretation of these findings as change over time. Radiocarbon dates from the basin pool to five dated proveniences across a calibration plateau, so the time axis is a relative order oriented toward later time rather than a calendar rate. This costs less than it might, because the size-controlled</w:t>
      </w:r>
      <w:r>
        <w:t xml:space="preserve"> </w:t>
      </w:r>
      <m:oMath>
        <m:sSub>
          <m:e>
            <m:r>
              <m:t>F</m:t>
            </m:r>
          </m:e>
          <m:sub>
            <m:r>
              <m:t>S</m:t>
            </m:r>
            <m:r>
              <m:t>T</m:t>
            </m:r>
          </m:sub>
        </m:sSub>
      </m:oMath>
      <w:r>
        <w:t xml:space="preserve"> </w:t>
      </w:r>
      <w:r>
        <w:t xml:space="preserve">trend is unresolved, a rank correlation of -0.048 against a draw-to-draw spread of -0.80 to +0.40, and reversing the axis reverses the sign of nothing the record can see. What the paper reports is therefore a level of differentiation, not a trajectory toward or away from one. We report the spatial comparisons under both orientations, and the settlement and exchange lines of evidence do not depend on the ceramic chronology.</w:t>
      </w:r>
    </w:p>
    <w:p>
      <w:pPr>
        <w:pStyle w:val="BodyText"/>
      </w:pPr>
      <w:r>
        <w:t xml:space="preserve">The third limit is time-averaging, which damps variation between assemblages and reduces apparent turnover</w:t>
      </w:r>
      <w:r>
        <w:t xml:space="preserve"> </w:t>
      </w:r>
      <w:r>
        <w:t xml:space="preserve">(Coco and Iovita 2020; Kidwell and Tomašových 2013; Perreault 2018; Tomašových and Kidwell 2009, 2010; Youngblood et al. 2023)</w:t>
      </w:r>
      <w:r>
        <w:t xml:space="preserve">. It also applies to the finding about Parkin, and it sets how strong a closure we could have detected rather than whether we could have detected one at all. We did not simply argue that this damping means our negative result understates whatever closure was really there. We built the damping into the recovery experiment, so its cost is already inside the detection threshold the first limit refers to. It widens the posterior over closure strength rather than shifting it. The comparison is reported on the full phase set of 28 assemblages; a stricter watershed subset of 17 is written by the membership script but the comparison was not rerun on it, since the phases are the unit under test.</w:t>
      </w:r>
    </w:p>
    <w:p>
      <w:pPr>
        <w:pStyle w:val="BodyText"/>
      </w:pPr>
      <w:r>
        <w:t xml:space="preserve">The fourth limit is how completely the drift model is specified, and it applies to the second and third findings, which are measured against a model rather than taken directly from the record. An excess over a model is only as meaningful as the model it is measured against. The version of the drift model most often used, with exchangeable classes and a fixed, uncalibrated population, does not fit the assemblages it is compared with, which is why we calibrated. The calibrated model fits their within-assemblage diversity but not their between-cluster differentiation. A more completely specified model could absorb that difference, and one of the four assumptions we relaxed does exactly that. Three do not, and a fifth assumption we did not think to question might do so as well. This is why the innovation boundary is reported as the best of four tested accounts rather than as the explanation, and why the second finding, unlike the first, is a statement about the distance between the record and our best current model of it.</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requirement by construction, since the transmission model entails each signature rather than borrowing it by analogy</w:t>
      </w:r>
      <w:r>
        <w:t xml:space="preserve"> </w:t>
      </w:r>
      <w:r>
        <w:t xml:space="preserve">(Lipo et al. 2015; Neiman 1995)</w:t>
      </w:r>
      <w:r>
        <w:t xml:space="preserve">. The third we test rather than assume, which is the point of the recovery experiment, and for the Parkin record only between-group variance qualifies</w:t>
      </w:r>
      <w:r>
        <w:t xml:space="preserve"> </w:t>
      </w:r>
      <w:r>
        <w:t xml:space="preserve">(Perreault 2019)</w:t>
      </w:r>
      <w:r>
        <w:t xml:space="preserve">. The second they meet only in part, because they measure states along the seriation sequence rather than the transformation between them.</w:t>
      </w:r>
    </w:p>
    <w:p>
      <w:pPr>
        <w:pStyle w:val="BodyText"/>
      </w:pPr>
      <w:r>
        <w:t xml:space="preserve">Two time-domain tests address that shortcoming. The first fits a frequency-dependent copying model to the whole sequence, with the record’s time-averaging built in, and recovers a transmission bias near neutral, a 95 percent interval of -0.035 to +0.039 that includes zero</w:t>
      </w:r>
      <w:r>
        <w:t xml:space="preserve"> </w:t>
      </w:r>
      <w:r>
        <w:t xml:space="preserve">(Crema et al. 2016)</w:t>
      </w:r>
      <w:r>
        <w:t xml:space="preserve">. Its calibration battery shows undercoverage at one tested value, so we treat that interval as consistent with weak or absent basin-wide conformity rather than as excluding strong conformity. Second,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finding about Parkin holds in the time domain as well as on the static states (Supplemental Text).</w:t>
      </w:r>
    </w:p>
    <w:p>
      <w:pPr>
        <w:pStyle w:val="BodyText"/>
      </w:pPr>
      <w:r>
        <w:t xml:space="preserve">This work makes both a methodological and a substantive contribution. The four signatures show that a bounded interaction group can in principle be distinguished from drift, and an idealized simulation confirms that closure moves all four together while the three resembling processes move only some (Figure 2). Before interpreting any similarity structure as social, the approach asks which signatures a given record can support and how strongly each could detect closure. Before any null is credited with reproducing a record, it asks whether that null fits the record’s own diversity. For the Parkin record, the first question has a single answer, since only cultural</w:t>
      </w:r>
      <w:r>
        <w:t xml:space="preserve"> </w:t>
      </w:r>
      <m:oMath>
        <m:sSub>
          <m:e>
            <m:r>
              <m:t>F</m:t>
            </m:r>
          </m:e>
          <m:sub>
            <m:r>
              <m:t>S</m:t>
            </m:r>
            <m:r>
              <m:t>T</m:t>
            </m:r>
          </m:sub>
        </m:sSub>
      </m:oMath>
      <w:r>
        <w:t xml:space="preserve"> </w:t>
      </w:r>
      <w:r>
        <w:t xml:space="preserve">is reliable here, and the second overturns a result we had reported. Even so, had</w:t>
      </w:r>
      <w:r>
        <w:t xml:space="preserve"> </w:t>
      </w:r>
      <m:oMath>
        <m:sSub>
          <m:e>
            <m:r>
              <m:t>F</m:t>
            </m:r>
          </m:e>
          <m:sub>
            <m:r>
              <m:t>S</m:t>
            </m:r>
            <m:r>
              <m:t>T</m:t>
            </m:r>
          </m:sub>
        </m:sSub>
      </m:oMath>
      <w:r>
        <w:t xml:space="preserve"> </w:t>
      </w:r>
      <w:r>
        <w:t xml:space="preserve">shown a positive trend it could not by itself have separated a real group from environmental patchiness, which also drives variance between groups (Table 1). What remains is small, measured on spatial clusters rather than phase labels, and does not identify a bounded group at Parkin. If the polity the De Soto expedition encountered was there, it is registered in ceremonial practice, fortification, and settlement size rather than in a boundary written into ceramic transmission.</w:t>
      </w:r>
    </w:p>
    <w:p>
      <w:pPr>
        <w:pStyle w:val="BodyText"/>
      </w:pPr>
      <w:r>
        <w:t xml:space="preserve">One question remains open and warrants direct investigation. At any grain finer than two clusters the basin’s between-cluster differentiation exceeds what calibrated drift produces, and that excess is small but consistent. A center just beginning to differentiate from its neighbors would leave an excess of this kind, and contact and the protohistoric depopulation would have cut any such sequence short before it could consolidate. A boundary in copying placed somewhere we did not model would leave an excess of this kind too, though the version we could test reproduces only a small part of it. Relaxing those assumptions narrows the question without settling it. They rule out the geographies and accumulation histories we could construct, but they leave two accounts standing side by side, a locally patterned innovation process and a genuine social boundary, which these data cannot tell apart.</w:t>
      </w:r>
    </w:p>
    <w:p>
      <w:pPr>
        <w:pStyle w:val="BodyText"/>
      </w:pPr>
      <w:r>
        <w:t xml:space="preserve">The time-averaged surface record of the eleven assemblages assigned to the Parkin phase proper is not the record on which to settle that question. Stratified, excavated assemblages with independent radiocarbon dates could test whether differentiation increases over time rather than staying flat. Compositional and petrographic sourcing could test whether production and exchange were localized at the center.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test whether economic and social differentiation track the ceramic excess or run independently of it. Whether Parkin was beginning to separate from its neighbors, or simply sits where the river network concentrates interaction, this analysis sharpens but cannot settle.</w:t>
      </w:r>
    </w:p>
    <w:bookmarkEnd w:id="168"/>
    <w:bookmarkStart w:id="169" w:name="conclusion"/>
    <w:p>
      <w:pPr>
        <w:pStyle w:val="Heading2"/>
      </w:pPr>
      <w:r>
        <w:t xml:space="preserve">Conclusion</w:t>
      </w:r>
    </w:p>
    <w:p>
      <w:pPr>
        <w:pStyle w:val="FirstParagraph"/>
      </w:pPr>
      <w:r>
        <w:t xml:space="preserve">The phase is the unit on which lower Mississippi Valley culture history is built. It carries a silent claim, that assemblages grouped by seriation and spatial proximity record a bounded social unit. For the Parkin phase, that claim does not survive measurement, but neither does the alternative we first offered in its place. Parkin is the basin’s largest center, although not the site with its tallest mound. No evidence from settlement, exchange, or the transmission of ceramic decoration indicates that it was the apex of a polity, and the record shows no narrowing of interaction along its sequence that its resolution can distinguish from none. Across seriation orderings, Parkin sits as a bridge in the transmission network rather than at the closed core of a group.</w:t>
      </w:r>
    </w:p>
    <w:p>
      <w:pPr>
        <w:pStyle w:val="BodyText"/>
      </w:pPr>
      <w:r>
        <w:t xml:space="preserve">The simplest form of neutral drift does not, however, account for the whole of the phase pattern. Once that model is required to fit the assemblages’ own diversity, it reproduces the tendency of nearby assemblages to resemble one another, and it reproduces their differentiation at the coarsest grain the data support, but it underpredicts how different the basin’s spatial clusters are once the basin is cut into three or more. No parameterization that reproduces the assemblages’ diversity reproduces that finer differentiation at the median. Restricted copying across spatial groups, as modeled here, accounts for only part of the difference. That difference is not group structure. The partition-free field model finds almost none of the site-specific variation that bounded groups would leave, so the differentiation calibrated drift underpredicts is spread continuously across space rather than gathered into units. The record is more spatially structured than distance-decay copying produces, not more clustered.</w:t>
      </w:r>
    </w:p>
    <w:p>
      <w:pPr>
        <w:pStyle w:val="BodyText"/>
      </w:pPr>
      <w:r>
        <w:t xml:space="preserve">That result carries a consequence researchers should consider. A similarity cluster is not, by itself, a society, and a neutral model is not, by itself, a demonstration that no society is there. Before a phase is interpreted as a social group, the record must be shown to distinguish an interaction boundary from geographic drift, and the drift model must be shown to fit the record it is tested against. Applied to the late pre-contact ceramics of the St. Francis basin, that standard shows continuous interaction with prominent nodes, more spatially structured at fine grain than calibrated drift predicts, and not resolvable into bounded polities. The open question is no longer whether the phases are societies. It is what makes the record more differentiated than a calibrated neutral model produces. Of the four assumptions we could relax, only a weak boundary in where new styles originate answers it, and what drift leaves without it sits in the basin’s smallest samples rather than around Parkin. That account is still neutral drift. What it adds is that the origination of new styles is itself spatially patterned. That is a mechanism the record is consistent with rather than one it demonstrates, and it moves the question from the boundaries culture history drew to the origin of the styles that cross them.</w:t>
      </w:r>
    </w:p>
    <w:bookmarkEnd w:id="169"/>
    <w:bookmarkStart w:id="170"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calibrated drift comparison is implemented in the finite-class simulator (</w:t>
      </w:r>
      <w:r>
        <w:rPr>
          <w:rStyle w:val="VerbatimChar"/>
        </w:rPr>
        <w:t xml:space="preserve">src/mls_emergence/transmission/spatial.py</w:t>
      </w:r>
      <w:r>
        <w:t xml:space="preserve">) and analyses 47 and 50, which write every replicate, the calibration series, and a configuration fingerprint. The code is released under the MIT License, and the data under a Creative Commons Attribution 4.0 International license.</w:t>
      </w:r>
    </w:p>
    <w:bookmarkEnd w:id="170"/>
    <w:bookmarkStart w:id="344" w:name="references"/>
    <w:p>
      <w:pPr>
        <w:pStyle w:val="Heading2"/>
      </w:pPr>
      <w:r>
        <w:t xml:space="preserve">References</w:t>
      </w:r>
    </w:p>
    <w:bookmarkStart w:id="343" w:name="refs"/>
    <w:bookmarkStart w:id="171"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71"/>
    <w:bookmarkStart w:id="173"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72">
        <w:r>
          <w:rPr>
            <w:rStyle w:val="Hyperlink"/>
          </w:rPr>
          <w:t xml:space="preserve">https://doi.org/10.1016/j.jaa.2006.08.002</w:t>
        </w:r>
      </w:hyperlink>
      <w:r>
        <w:t xml:space="preserve">.</w:t>
      </w:r>
    </w:p>
    <w:bookmarkEnd w:id="173"/>
    <w:bookmarkStart w:id="175"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74">
        <w:r>
          <w:rPr>
            <w:rStyle w:val="Hyperlink"/>
          </w:rPr>
          <w:t xml:space="preserve">https://doi.org/10.1016/j.beproc.2018.01.011</w:t>
        </w:r>
      </w:hyperlink>
      <w:r>
        <w:t xml:space="preserve">.</w:t>
      </w:r>
    </w:p>
    <w:bookmarkEnd w:id="175"/>
    <w:bookmarkStart w:id="177"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76">
        <w:r>
          <w:rPr>
            <w:rStyle w:val="Hyperlink"/>
          </w:rPr>
          <w:t xml:space="preserve">https://doi.org/10.1098/rstb.1996.0073</w:t>
        </w:r>
      </w:hyperlink>
      <w:r>
        <w:t xml:space="preserve">.</w:t>
      </w:r>
    </w:p>
    <w:bookmarkEnd w:id="177"/>
    <w:bookmarkStart w:id="17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78"/>
    <w:bookmarkStart w:id="18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79">
        <w:r>
          <w:rPr>
            <w:rStyle w:val="Hyperlink"/>
          </w:rPr>
          <w:t xml:space="preserve">https://doi.org/10.2307/3557066</w:t>
        </w:r>
      </w:hyperlink>
      <w:r>
        <w:t xml:space="preserve">.</w:t>
      </w:r>
    </w:p>
    <w:bookmarkEnd w:id="180"/>
    <w:bookmarkStart w:id="18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81">
        <w:r>
          <w:rPr>
            <w:rStyle w:val="Hyperlink"/>
          </w:rPr>
          <w:t xml:space="preserve">https://doi.org/10.1017/S0094837300026907</w:t>
        </w:r>
      </w:hyperlink>
      <w:r>
        <w:t xml:space="preserve">.</w:t>
      </w:r>
    </w:p>
    <w:bookmarkEnd w:id="182"/>
    <w:bookmarkStart w:id="18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3">
        <w:r>
          <w:rPr>
            <w:rStyle w:val="Hyperlink"/>
          </w:rPr>
          <w:t xml:space="preserve">https://doi.org/10.1073/pnas.0903232106</w:t>
        </w:r>
      </w:hyperlink>
      <w:r>
        <w:t xml:space="preserve">.</w:t>
      </w:r>
    </w:p>
    <w:bookmarkEnd w:id="184"/>
    <w:bookmarkStart w:id="18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85">
        <w:r>
          <w:rPr>
            <w:rStyle w:val="Hyperlink"/>
          </w:rPr>
          <w:t xml:space="preserve">https://doi.org/10.1371/journal.pone.0003057</w:t>
        </w:r>
      </w:hyperlink>
      <w:r>
        <w:t xml:space="preserve">.</w:t>
      </w:r>
    </w:p>
    <w:bookmarkEnd w:id="186"/>
    <w:bookmarkStart w:id="18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87">
        <w:r>
          <w:rPr>
            <w:rStyle w:val="Hyperlink"/>
          </w:rPr>
          <w:t xml:space="preserve">https://doi.org/10.1098/rspb.2004.2746</w:t>
        </w:r>
      </w:hyperlink>
      <w:r>
        <w:t xml:space="preserve">.</w:t>
      </w:r>
    </w:p>
    <w:bookmarkEnd w:id="188"/>
    <w:bookmarkStart w:id="18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89"/>
    <w:bookmarkStart w:id="19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0">
        <w:r>
          <w:rPr>
            <w:rStyle w:val="Hyperlink"/>
          </w:rPr>
          <w:t xml:space="preserve">https://doi.org/10.2307/2694206</w:t>
        </w:r>
      </w:hyperlink>
      <w:r>
        <w:t xml:space="preserve">.</w:t>
      </w:r>
    </w:p>
    <w:bookmarkEnd w:id="191"/>
    <w:bookmarkStart w:id="19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2"/>
    <w:bookmarkStart w:id="19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3">
        <w:r>
          <w:rPr>
            <w:rStyle w:val="Hyperlink"/>
          </w:rPr>
          <w:t xml:space="preserve">https://doi.org/10.1057/s41599-019-0295-9</w:t>
        </w:r>
      </w:hyperlink>
      <w:r>
        <w:t xml:space="preserve">.</w:t>
      </w:r>
    </w:p>
    <w:bookmarkEnd w:id="194"/>
    <w:bookmarkStart w:id="19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95"/>
    <w:bookmarkStart w:id="19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96">
        <w:r>
          <w:rPr>
            <w:rStyle w:val="Hyperlink"/>
          </w:rPr>
          <w:t xml:space="preserve">https://doi.org/10.1057/s41599-020-00635-3</w:t>
        </w:r>
      </w:hyperlink>
      <w:r>
        <w:t xml:space="preserve">.</w:t>
      </w:r>
    </w:p>
    <w:bookmarkEnd w:id="197"/>
    <w:bookmarkStart w:id="19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98">
        <w:r>
          <w:rPr>
            <w:rStyle w:val="Hyperlink"/>
          </w:rPr>
          <w:t xml:space="preserve">https://doi.org/10.1007/s10816-022-09599-x</w:t>
        </w:r>
      </w:hyperlink>
      <w:r>
        <w:t xml:space="preserve">.</w:t>
      </w:r>
    </w:p>
    <w:bookmarkEnd w:id="199"/>
    <w:bookmarkStart w:id="20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0">
        <w:r>
          <w:rPr>
            <w:rStyle w:val="Hyperlink"/>
          </w:rPr>
          <w:t xml:space="preserve">https://doi.org/10.1016/j.jas.2014.07.014</w:t>
        </w:r>
      </w:hyperlink>
      <w:r>
        <w:t xml:space="preserve">.</w:t>
      </w:r>
    </w:p>
    <w:bookmarkEnd w:id="201"/>
    <w:bookmarkStart w:id="20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2">
        <w:r>
          <w:rPr>
            <w:rStyle w:val="Hyperlink"/>
          </w:rPr>
          <w:t xml:space="preserve">https://doi.org/10.1038/srep39122</w:t>
        </w:r>
      </w:hyperlink>
      <w:r>
        <w:t xml:space="preserve">.</w:t>
      </w:r>
    </w:p>
    <w:bookmarkEnd w:id="203"/>
    <w:bookmarkStart w:id="20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4">
        <w:r>
          <w:rPr>
            <w:rStyle w:val="Hyperlink"/>
          </w:rPr>
          <w:t xml:space="preserve">https://doi.org/10.2307/278341</w:t>
        </w:r>
      </w:hyperlink>
      <w:r>
        <w:t xml:space="preserve">.</w:t>
      </w:r>
    </w:p>
    <w:bookmarkEnd w:id="205"/>
    <w:bookmarkStart w:id="206" w:name="ref-dunnell_1971"/>
    <w:p>
      <w:pPr>
        <w:pStyle w:val="Bibliography"/>
      </w:pPr>
      <w:r>
        <w:t xml:space="preserve">Dunnell, Robert C. 1971.</w:t>
      </w:r>
      <w:r>
        <w:t xml:space="preserve"> </w:t>
      </w:r>
      <w:r>
        <w:rPr>
          <w:i/>
          <w:iCs/>
        </w:rPr>
        <w:t xml:space="preserve">Systematics in Prehistory</w:t>
      </w:r>
      <w:r>
        <w:t xml:space="preserve">. Free Press, New York.</w:t>
      </w:r>
    </w:p>
    <w:bookmarkEnd w:id="206"/>
    <w:bookmarkStart w:id="20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07">
        <w:r>
          <w:rPr>
            <w:rStyle w:val="Hyperlink"/>
          </w:rPr>
          <w:t xml:space="preserve">https://doi.org/10.2307/279244</w:t>
        </w:r>
      </w:hyperlink>
      <w:r>
        <w:t xml:space="preserve">.</w:t>
      </w:r>
    </w:p>
    <w:bookmarkEnd w:id="208"/>
    <w:bookmarkStart w:id="20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09"/>
    <w:bookmarkStart w:id="210"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0"/>
    <w:bookmarkStart w:id="211" w:name="ref-dunnell_1995b"/>
    <w:p>
      <w:pPr>
        <w:pStyle w:val="Bibliography"/>
      </w:pPr>
      <w:r>
        <w:t xml:space="preserve">Dunnell, Robert C. 1995b. Style: Concepts and Practice.</w:t>
      </w:r>
    </w:p>
    <w:bookmarkEnd w:id="211"/>
    <w:bookmarkStart w:id="21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2"/>
    <w:bookmarkStart w:id="21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3">
        <w:r>
          <w:rPr>
            <w:rStyle w:val="Hyperlink"/>
          </w:rPr>
          <w:t xml:space="preserve">https://doi.org/10.1016/j.jaa.2005.08.001</w:t>
        </w:r>
      </w:hyperlink>
      <w:r>
        <w:t xml:space="preserve">.</w:t>
      </w:r>
    </w:p>
    <w:bookmarkEnd w:id="214"/>
    <w:bookmarkStart w:id="21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5">
        <w:r>
          <w:rPr>
            <w:rStyle w:val="Hyperlink"/>
          </w:rPr>
          <w:t xml:space="preserve">https://doi.org/10.1007/s10814-007-9013-z</w:t>
        </w:r>
      </w:hyperlink>
      <w:r>
        <w:t xml:space="preserve">.</w:t>
      </w:r>
    </w:p>
    <w:bookmarkEnd w:id="216"/>
    <w:bookmarkStart w:id="21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17"/>
    <w:bookmarkStart w:id="21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18">
        <w:r>
          <w:rPr>
            <w:rStyle w:val="Hyperlink"/>
          </w:rPr>
          <w:t xml:space="preserve">https://doi.org/10.1534/genetics.113.158220</w:t>
        </w:r>
      </w:hyperlink>
      <w:r>
        <w:t xml:space="preserve">.</w:t>
      </w:r>
    </w:p>
    <w:bookmarkEnd w:id="219"/>
    <w:bookmarkStart w:id="22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0">
        <w:r>
          <w:rPr>
            <w:rStyle w:val="Hyperlink"/>
          </w:rPr>
          <w:t xml:space="preserve">https://doi.org/10.1073/pnas.2418106121</w:t>
        </w:r>
      </w:hyperlink>
      <w:r>
        <w:t xml:space="preserve">.</w:t>
      </w:r>
    </w:p>
    <w:bookmarkEnd w:id="221"/>
    <w:bookmarkStart w:id="22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2"/>
    <w:bookmarkStart w:id="22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23"/>
    <w:bookmarkStart w:id="22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24"/>
    <w:bookmarkStart w:id="22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5">
        <w:r>
          <w:rPr>
            <w:rStyle w:val="Hyperlink"/>
          </w:rPr>
          <w:t xml:space="preserve">https://doi.org/10.1525/aa.2001.103.4.992</w:t>
        </w:r>
      </w:hyperlink>
      <w:r>
        <w:t xml:space="preserve">.</w:t>
      </w:r>
    </w:p>
    <w:bookmarkEnd w:id="226"/>
    <w:bookmarkStart w:id="22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27">
        <w:r>
          <w:rPr>
            <w:rStyle w:val="Hyperlink"/>
          </w:rPr>
          <w:t xml:space="preserve">https://doi.org/10.2307/4128416</w:t>
        </w:r>
      </w:hyperlink>
      <w:r>
        <w:t xml:space="preserve">.</w:t>
      </w:r>
    </w:p>
    <w:bookmarkEnd w:id="228"/>
    <w:bookmarkStart w:id="23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29">
        <w:r>
          <w:rPr>
            <w:rStyle w:val="Hyperlink"/>
          </w:rPr>
          <w:t xml:space="preserve">https://doi.org/10.1016/S1090-5138(98)00018-X</w:t>
        </w:r>
      </w:hyperlink>
      <w:r>
        <w:t xml:space="preserve">.</w:t>
      </w:r>
    </w:p>
    <w:bookmarkEnd w:id="230"/>
    <w:bookmarkStart w:id="23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1"/>
    <w:bookmarkStart w:id="23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2">
        <w:r>
          <w:rPr>
            <w:rStyle w:val="Hyperlink"/>
          </w:rPr>
          <w:t xml:space="preserve">https://doi.org/10.1017/aap.2021.10</w:t>
        </w:r>
      </w:hyperlink>
      <w:r>
        <w:t xml:space="preserve">.</w:t>
      </w:r>
    </w:p>
    <w:bookmarkEnd w:id="233"/>
    <w:bookmarkStart w:id="23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34"/>
    <w:bookmarkStart w:id="23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5"/>
    <w:bookmarkStart w:id="23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36"/>
    <w:bookmarkStart w:id="23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37">
        <w:r>
          <w:rPr>
            <w:rStyle w:val="Hyperlink"/>
          </w:rPr>
          <w:t xml:space="preserve">https://doi.org/10.1666/05070.1</w:t>
        </w:r>
      </w:hyperlink>
      <w:r>
        <w:t xml:space="preserve">.</w:t>
      </w:r>
    </w:p>
    <w:bookmarkEnd w:id="238"/>
    <w:bookmarkStart w:id="24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39">
        <w:r>
          <w:rPr>
            <w:rStyle w:val="Hyperlink"/>
          </w:rPr>
          <w:t xml:space="preserve">https://doi.org/10.1111/j.1558-5646.2007.00310.x</w:t>
        </w:r>
      </w:hyperlink>
      <w:r>
        <w:t xml:space="preserve">.</w:t>
      </w:r>
    </w:p>
    <w:bookmarkEnd w:id="240"/>
    <w:bookmarkStart w:id="24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1"/>
    <w:bookmarkStart w:id="24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2">
        <w:r>
          <w:rPr>
            <w:rStyle w:val="Hyperlink"/>
          </w:rPr>
          <w:t xml:space="preserve">https://doi.org/10.1016/j.jtbi.2013.03.006</w:t>
        </w:r>
      </w:hyperlink>
      <w:r>
        <w:t xml:space="preserve">.</w:t>
      </w:r>
    </w:p>
    <w:bookmarkEnd w:id="243"/>
    <w:bookmarkStart w:id="24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4">
        <w:r>
          <w:rPr>
            <w:rStyle w:val="Hyperlink"/>
          </w:rPr>
          <w:t xml:space="preserve">https://doi.org/10.1098/rsif.2015.0905</w:t>
        </w:r>
      </w:hyperlink>
      <w:r>
        <w:t xml:space="preserve">.</w:t>
      </w:r>
    </w:p>
    <w:bookmarkEnd w:id="245"/>
    <w:bookmarkStart w:id="24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46">
        <w:r>
          <w:rPr>
            <w:rStyle w:val="Hyperlink"/>
          </w:rPr>
          <w:t xml:space="preserve">https://doi.org/10.1098/rsos.170949</w:t>
        </w:r>
      </w:hyperlink>
      <w:r>
        <w:t xml:space="preserve">.</w:t>
      </w:r>
    </w:p>
    <w:bookmarkEnd w:id="247"/>
    <w:bookmarkStart w:id="24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48">
        <w:r>
          <w:rPr>
            <w:rStyle w:val="Hyperlink"/>
          </w:rPr>
          <w:t xml:space="preserve">https://doi.org/10.1146/annurev-ecolsys-110512-135838</w:t>
        </w:r>
      </w:hyperlink>
      <w:r>
        <w:t xml:space="preserve">.</w:t>
      </w:r>
    </w:p>
    <w:bookmarkEnd w:id="249"/>
    <w:bookmarkStart w:id="25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0"/>
    <w:bookmarkStart w:id="25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51">
        <w:r>
          <w:rPr>
            <w:rStyle w:val="Hyperlink"/>
          </w:rPr>
          <w:t xml:space="preserve">https://doi.org/10.2307/2694529</w:t>
        </w:r>
      </w:hyperlink>
      <w:r>
        <w:t xml:space="preserve">.</w:t>
      </w:r>
    </w:p>
    <w:bookmarkEnd w:id="252"/>
    <w:bookmarkStart w:id="25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3"/>
    <w:bookmarkStart w:id="25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54"/>
    <w:bookmarkStart w:id="25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5"/>
    <w:bookmarkStart w:id="25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6">
        <w:r>
          <w:rPr>
            <w:rStyle w:val="Hyperlink"/>
          </w:rPr>
          <w:t xml:space="preserve">https://doi.org/10.1371/journal.pone.0250690</w:t>
        </w:r>
      </w:hyperlink>
      <w:r>
        <w:t xml:space="preserve">.</w:t>
      </w:r>
    </w:p>
    <w:bookmarkEnd w:id="257"/>
    <w:bookmarkStart w:id="25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8"/>
    <w:bookmarkStart w:id="26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59">
        <w:r>
          <w:rPr>
            <w:rStyle w:val="Hyperlink"/>
          </w:rPr>
          <w:t xml:space="preserve">https://doi.org/10.1016/j.jas.2010.05.015</w:t>
        </w:r>
      </w:hyperlink>
      <w:r>
        <w:t xml:space="preserve">.</w:t>
      </w:r>
    </w:p>
    <w:bookmarkEnd w:id="260"/>
    <w:bookmarkStart w:id="261"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61"/>
    <w:bookmarkStart w:id="26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62">
        <w:r>
          <w:rPr>
            <w:rStyle w:val="Hyperlink"/>
          </w:rPr>
          <w:t xml:space="preserve">https://doi.org/10.1371/journal.pone.0124942</w:t>
        </w:r>
      </w:hyperlink>
      <w:r>
        <w:t xml:space="preserve">.</w:t>
      </w:r>
    </w:p>
    <w:bookmarkEnd w:id="263"/>
    <w:bookmarkStart w:id="26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4">
        <w:r>
          <w:rPr>
            <w:rStyle w:val="Hyperlink"/>
          </w:rPr>
          <w:t xml:space="preserve">https://doi.org/10.1006/jaar.1997.0314</w:t>
        </w:r>
      </w:hyperlink>
      <w:r>
        <w:t xml:space="preserve">.</w:t>
      </w:r>
    </w:p>
    <w:bookmarkEnd w:id="265"/>
    <w:bookmarkStart w:id="26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66">
        <w:r>
          <w:rPr>
            <w:rStyle w:val="Hyperlink"/>
          </w:rPr>
          <w:t xml:space="preserve">https://doi.org/10.1073/pnas.1818346116</w:t>
        </w:r>
      </w:hyperlink>
      <w:r>
        <w:t xml:space="preserve">.</w:t>
      </w:r>
    </w:p>
    <w:bookmarkEnd w:id="267"/>
    <w:bookmarkStart w:id="26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68">
        <w:r>
          <w:rPr>
            <w:rStyle w:val="Hyperlink"/>
          </w:rPr>
          <w:t xml:space="preserve">https://doi.org/10.1016/j.jas.2021.105412</w:t>
        </w:r>
      </w:hyperlink>
      <w:r>
        <w:t xml:space="preserve">.</w:t>
      </w:r>
    </w:p>
    <w:bookmarkEnd w:id="269"/>
    <w:bookmarkStart w:id="270" w:name="ref-madsen_2012"/>
    <w:p>
      <w:pPr>
        <w:pStyle w:val="Bibliography"/>
      </w:pPr>
      <w:r>
        <w:t xml:space="preserve">Madsen, Mark E. 2012. Neutral Cultural Transmission in Time-Averaged Archaeological Assemblages. arXiv preprint arXiv:1204.2043 [physics.soc-ph].</w:t>
      </w:r>
    </w:p>
    <w:bookmarkEnd w:id="270"/>
    <w:bookmarkStart w:id="271"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71"/>
    <w:bookmarkStart w:id="272"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72"/>
    <w:bookmarkStart w:id="27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73"/>
    <w:bookmarkStart w:id="27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74"/>
    <w:bookmarkStart w:id="27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75"/>
    <w:bookmarkStart w:id="27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76"/>
    <w:bookmarkStart w:id="27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77"/>
    <w:bookmarkStart w:id="27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8">
        <w:r>
          <w:rPr>
            <w:rStyle w:val="Hyperlink"/>
          </w:rPr>
          <w:t xml:space="preserve">https://doi.org/10.1080/20548923.2018.1504490</w:t>
        </w:r>
      </w:hyperlink>
      <w:r>
        <w:t xml:space="preserve">.</w:t>
      </w:r>
    </w:p>
    <w:bookmarkEnd w:id="279"/>
    <w:bookmarkStart w:id="28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80"/>
    <w:bookmarkStart w:id="28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81"/>
    <w:bookmarkStart w:id="28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82"/>
    <w:bookmarkStart w:id="28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83"/>
    <w:bookmarkStart w:id="28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84"/>
    <w:bookmarkStart w:id="285"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85"/>
    <w:bookmarkStart w:id="28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86"/>
    <w:bookmarkStart w:id="28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7"/>
    <w:bookmarkStart w:id="28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8"/>
    <w:bookmarkStart w:id="29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9">
        <w:r>
          <w:rPr>
            <w:rStyle w:val="Hyperlink"/>
          </w:rPr>
          <w:t xml:space="preserve">https://doi.org/10.1098/rstb.2016.0426</w:t>
        </w:r>
      </w:hyperlink>
      <w:r>
        <w:t xml:space="preserve">.</w:t>
      </w:r>
    </w:p>
    <w:bookmarkEnd w:id="290"/>
    <w:bookmarkStart w:id="29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91">
        <w:r>
          <w:rPr>
            <w:rStyle w:val="Hyperlink"/>
          </w:rPr>
          <w:t xml:space="preserve">https://doi.org/10.2307/279066</w:t>
        </w:r>
      </w:hyperlink>
      <w:r>
        <w:t xml:space="preserve">.</w:t>
      </w:r>
    </w:p>
    <w:bookmarkEnd w:id="292"/>
    <w:bookmarkStart w:id="29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93">
        <w:r>
          <w:rPr>
            <w:rStyle w:val="Hyperlink"/>
          </w:rPr>
          <w:t xml:space="preserve">https://doi.org/10.1016/j.jas.2012.04.040</w:t>
        </w:r>
      </w:hyperlink>
      <w:r>
        <w:t xml:space="preserve">.</w:t>
      </w:r>
    </w:p>
    <w:bookmarkEnd w:id="294"/>
    <w:bookmarkStart w:id="29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95">
        <w:r>
          <w:rPr>
            <w:rStyle w:val="Hyperlink"/>
          </w:rPr>
          <w:t xml:space="preserve">https://doi.org/10.1007/s10816-018-9364-4</w:t>
        </w:r>
      </w:hyperlink>
      <w:r>
        <w:t xml:space="preserve">.</w:t>
      </w:r>
    </w:p>
    <w:bookmarkEnd w:id="296"/>
    <w:bookmarkStart w:id="29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7"/>
    <w:bookmarkStart w:id="29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98"/>
    <w:bookmarkStart w:id="29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9"/>
    <w:bookmarkStart w:id="30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300">
        <w:r>
          <w:rPr>
            <w:rStyle w:val="Hyperlink"/>
          </w:rPr>
          <w:t xml:space="preserve">https://doi.org/10.1525/aa.1953.55.5.02a00030</w:t>
        </w:r>
      </w:hyperlink>
      <w:r>
        <w:t xml:space="preserve">.</w:t>
      </w:r>
    </w:p>
    <w:bookmarkEnd w:id="301"/>
    <w:bookmarkStart w:id="30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302">
        <w:r>
          <w:rPr>
            <w:rStyle w:val="Hyperlink"/>
          </w:rPr>
          <w:t xml:space="preserve">https://doi.org/10.1126/science.1170165</w:t>
        </w:r>
      </w:hyperlink>
      <w:r>
        <w:t xml:space="preserve">.</w:t>
      </w:r>
    </w:p>
    <w:bookmarkEnd w:id="303"/>
    <w:bookmarkStart w:id="30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304">
        <w:r>
          <w:rPr>
            <w:rStyle w:val="Hyperlink"/>
          </w:rPr>
          <w:t xml:space="preserve">https://doi.org/10.1086/674873</w:t>
        </w:r>
      </w:hyperlink>
      <w:r>
        <w:t xml:space="preserve">.</w:t>
      </w:r>
    </w:p>
    <w:bookmarkEnd w:id="305"/>
    <w:bookmarkStart w:id="30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306">
        <w:r>
          <w:rPr>
            <w:rStyle w:val="Hyperlink"/>
          </w:rPr>
          <w:t xml:space="preserve">https://doi.org/10.7183/0002-7316.81.4.605</w:t>
        </w:r>
      </w:hyperlink>
      <w:r>
        <w:t xml:space="preserve">.</w:t>
      </w:r>
    </w:p>
    <w:bookmarkEnd w:id="307"/>
    <w:bookmarkStart w:id="30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8">
        <w:r>
          <w:rPr>
            <w:rStyle w:val="Hyperlink"/>
          </w:rPr>
          <w:t xml:space="preserve">https://doi.org/10.7183/0002-7316.76.1.163</w:t>
        </w:r>
      </w:hyperlink>
      <w:r>
        <w:t xml:space="preserve">.</w:t>
      </w:r>
    </w:p>
    <w:bookmarkEnd w:id="309"/>
    <w:bookmarkStart w:id="31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10"/>
    <w:bookmarkStart w:id="31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11">
        <w:r>
          <w:rPr>
            <w:rStyle w:val="Hyperlink"/>
          </w:rPr>
          <w:t xml:space="preserve">https://doi.org/10.1017/RDC.2020.41</w:t>
        </w:r>
      </w:hyperlink>
      <w:r>
        <w:t xml:space="preserve">.</w:t>
      </w:r>
    </w:p>
    <w:bookmarkEnd w:id="312"/>
    <w:bookmarkStart w:id="31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13">
        <w:r>
          <w:rPr>
            <w:rStyle w:val="Hyperlink"/>
          </w:rPr>
          <w:t xml:space="preserve">https://doi.org/10.1017/S0140525X1400106X</w:t>
        </w:r>
      </w:hyperlink>
      <w:r>
        <w:t xml:space="preserve">.</w:t>
      </w:r>
    </w:p>
    <w:bookmarkEnd w:id="314"/>
    <w:bookmarkStart w:id="31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15">
        <w:r>
          <w:rPr>
            <w:rStyle w:val="Hyperlink"/>
          </w:rPr>
          <w:t xml:space="preserve">https://doi.org/10.1057/s41599-019-0260-7</w:t>
        </w:r>
      </w:hyperlink>
      <w:r>
        <w:t xml:space="preserve">.</w:t>
      </w:r>
    </w:p>
    <w:bookmarkEnd w:id="316"/>
    <w:bookmarkStart w:id="31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7"/>
    <w:bookmarkStart w:id="31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8"/>
    <w:bookmarkStart w:id="31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9"/>
    <w:bookmarkStart w:id="32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20">
        <w:r>
          <w:rPr>
            <w:rStyle w:val="Hyperlink"/>
          </w:rPr>
          <w:t xml:space="preserve">https://doi.org/10.1016/j.jtbi.2016.04.024</w:t>
        </w:r>
      </w:hyperlink>
      <w:r>
        <w:t xml:space="preserve">.</w:t>
      </w:r>
    </w:p>
    <w:bookmarkEnd w:id="321"/>
    <w:bookmarkStart w:id="32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22">
        <w:r>
          <w:rPr>
            <w:rStyle w:val="Hyperlink"/>
          </w:rPr>
          <w:t xml:space="preserve">https://doi.org/10.1016/j.evolhumbehav.2014.09.006</w:t>
        </w:r>
      </w:hyperlink>
      <w:r>
        <w:t xml:space="preserve">.</w:t>
      </w:r>
    </w:p>
    <w:bookmarkEnd w:id="323"/>
    <w:bookmarkStart w:id="32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24"/>
    <w:bookmarkStart w:id="32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25"/>
    <w:bookmarkStart w:id="32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26"/>
    <w:bookmarkStart w:id="32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7"/>
    <w:bookmarkStart w:id="32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28">
        <w:r>
          <w:rPr>
            <w:rStyle w:val="Hyperlink"/>
          </w:rPr>
          <w:t xml:space="preserve">https://doi.org/10.1006/jhev.1994.1037</w:t>
        </w:r>
      </w:hyperlink>
      <w:r>
        <w:t xml:space="preserve">.</w:t>
      </w:r>
    </w:p>
    <w:bookmarkEnd w:id="329"/>
    <w:bookmarkStart w:id="33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30">
        <w:r>
          <w:rPr>
            <w:rStyle w:val="Hyperlink"/>
          </w:rPr>
          <w:t xml:space="preserve">https://doi.org/10.1017/aaq.2024.1</w:t>
        </w:r>
      </w:hyperlink>
      <w:r>
        <w:t xml:space="preserve">.</w:t>
      </w:r>
    </w:p>
    <w:bookmarkEnd w:id="331"/>
    <w:bookmarkStart w:id="33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32"/>
    <w:bookmarkStart w:id="33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33">
        <w:r>
          <w:rPr>
            <w:rStyle w:val="Hyperlink"/>
          </w:rPr>
          <w:t xml:space="preserve">https://doi.org/10.1086/651661</w:t>
        </w:r>
      </w:hyperlink>
      <w:r>
        <w:t xml:space="preserve">.</w:t>
      </w:r>
    </w:p>
    <w:bookmarkEnd w:id="334"/>
    <w:bookmarkStart w:id="33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35"/>
    <w:bookmarkStart w:id="336" w:name="ref-williams_1954"/>
    <w:p>
      <w:pPr>
        <w:pStyle w:val="Bibliography"/>
      </w:pPr>
      <w:r>
        <w:t xml:space="preserve">Williams, Stephen. 1954. An Archeological Study of the Mississippian Culture in Southeast Missouri. PhD thesis, Yale University, New Haven.</w:t>
      </w:r>
    </w:p>
    <w:bookmarkEnd w:id="336"/>
    <w:bookmarkStart w:id="33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37">
        <w:r>
          <w:rPr>
            <w:rStyle w:val="Hyperlink"/>
          </w:rPr>
          <w:t xml:space="preserve">https://doi.org/10.1093/genetics/28.2.114</w:t>
        </w:r>
      </w:hyperlink>
      <w:r>
        <w:t xml:space="preserve">.</w:t>
      </w:r>
    </w:p>
    <w:bookmarkEnd w:id="338"/>
    <w:bookmarkStart w:id="34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39">
        <w:r>
          <w:rPr>
            <w:rStyle w:val="Hyperlink"/>
          </w:rPr>
          <w:t xml:space="preserve">https://doi.org/10.1111/j.1469-1809.1949.tb02451.x</w:t>
        </w:r>
      </w:hyperlink>
      <w:r>
        <w:t xml:space="preserve">.</w:t>
      </w:r>
    </w:p>
    <w:bookmarkEnd w:id="340"/>
    <w:bookmarkStart w:id="34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41">
        <w:r>
          <w:rPr>
            <w:rStyle w:val="Hyperlink"/>
          </w:rPr>
          <w:t xml:space="preserve">https://doi.org/10.1017/ehs.2023.5</w:t>
        </w:r>
      </w:hyperlink>
      <w:r>
        <w:t xml:space="preserve">.</w:t>
      </w:r>
    </w:p>
    <w:bookmarkEnd w:id="342"/>
    <w:bookmarkEnd w:id="343"/>
    <w:bookmarkEnd w:id="344"/>
    <w:bookmarkEnd w:id="34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2026-09-22T11:59:21Z</dcterms:created>
  <dcterms:modified xsi:type="dcterms:W3CDTF">2026-09-22T11:59:21Z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