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0.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two spatial clusters; six seriation bins). The plug-in value is the Gini-Simpson estimator of the main text. The first and fifth bins hold assemblages from a single cluster, so their</w:t>
      </w:r>
      <w:r>
        <w:t xml:space="preserve"> </w:t>
      </w:r>
      <m:oMath>
        <m:sSub>
          <m:e>
            <m:r>
              <m:t>F</m:t>
            </m:r>
          </m:e>
          <m:sub>
            <m:r>
              <m:t>S</m:t>
            </m:r>
            <m:r>
              <m:t>T</m:t>
            </m:r>
          </m:sub>
        </m:sSub>
      </m:oMath>
      <w:r>
        <w:t xml:space="preserve"> </w:t>
      </w:r>
      <w:r>
        <w:t xml:space="preserve">is undefined; the ends of this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over the four estimable bins, has a posterior median of +0.0009 with a 95 percent credible interval of -0.034 to +0.033, and P(slope &gt; 0) = 0.54 (R-hat 1.006, minimum bulk ESS 1,445, 2 divergent transitions of 6,000, which we report rather than suppress).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basin assemblages and ten decorated classes, the spatial share is 0.996 with a 95 percent credible interval of 0.973 to 1.000 under the marginalized nugget, and 0.997, 0.975 to 1.000,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0.0127 to 0.0190 (median 0.0157) against an observed 0.0156 (Bayesian predictive p = 0.53). For the distance decay of similarity it is -0.363 to -0.272 (median -0.322) against -0.341 (p = 0.78), for the mean within-assemblage Gini-Simpson diversity 0.551 to 0.577 against 0.563 (p = 0.57), and for its spread across assemblages 0.096 to 0.122 against 0.112 (p = 0.34). This check is run on the fit it checks; an earlier version of the pipeline ran it before the fit and so compared the previous data set’s replicates with the current observations.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monotonically from 0.0147 (95 percent credible interval 0.0128 to 0.0167) at two clusters, through 0.0178 (0.0157 to 0.0200) at the three the silhouette criterion selects, to 0.0347 (0.0319 to 0.0376) at six, and the intervals at the two ends do not overlap. It does not depend on which particular division is used at a given number of clusters. Twenty k-means seeds at three clusters return the same partition, and the division we use sits at the 51st percentile of 150 alternative contiguous divisions of the basin at the same grain, whose median of posterior medians is 0.0178.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cultural</w:t>
      </w:r>
      <w:r>
        <w:t xml:space="preserve"> </w:t>
      </w:r>
      <m:oMath>
        <m:sSub>
          <m:e>
            <m:r>
              <m:t>F</m:t>
            </m:r>
          </m:e>
          <m:sub>
            <m:r>
              <m:t>S</m:t>
            </m:r>
            <m:r>
              <m:t>T</m:t>
            </m:r>
          </m:sub>
        </m:sSub>
      </m:oMath>
      <w:r>
        <w:t xml:space="preserve"> </w:t>
      </w:r>
      <w:r>
        <w:t xml:space="preserve">used throughout is the Gini-Simpson plug-in, and it is biased upward by sampling. Two assemblages drawn from the same population of pots differ because each is a finite sample, and the spurious between-assemblage variance scales roughly as one over the sample size. To find the count at which that artifact stops being able to pass for the differentiation the basin shows,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observed between-cluster</w:t>
      </w:r>
      <w:r>
        <w:t xml:space="preserve"> </w:t>
      </w:r>
      <m:oMath>
        <m:sSub>
          <m:e>
            <m:r>
              <m:t>F</m:t>
            </m:r>
          </m:e>
          <m:sub>
            <m:r>
              <m:t>S</m:t>
            </m:r>
            <m:r>
              <m:t>T</m:t>
            </m:r>
          </m:sub>
        </m:sSub>
      </m:oMath>
      <w:r>
        <w:t xml:space="preserve"> </w:t>
      </w:r>
      <w:r>
        <w:t xml:space="preserve">at five spatial clusters is the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differentiation and its 95th percentile first falls below the observed value. Above 75 the bias shrinks slowly, by about three percentage points of the observed value between 75 and 100, while assemblages are lost quickly: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roughly 100 decorated sherds. The drift null is drawn at the observed sherd totals and carries the same bias, so the calibrated comparison is not distorted by it; the minimum protects the per-cluster decomposition of the residual and any reading of a single small cluster, where a term computed on a few dozen sherds is mostly the artifact.</w:t>
      </w:r>
    </w:p>
    <w:bookmarkEnd w:id="114"/>
    <w:bookmarkStart w:id="118"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28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18988"/>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8"/>
    <w:bookmarkStart w:id="119"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9"/>
    <w:bookmarkStart w:id="123"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28 assemblages, using the model and calibration described in the next section. The calibration is the first result. Under uniform innovation, in which the ten classes are exchangeable, one of the 297 parameter combinations (120 learners, innovation 0.0005, mixing 0.05) falls within the 10 percent tolerance on the six calibration draws, and on 500 baseline realizations it does not: its within-assemblage Gini-Simpson diversity is 0.68 and its pooled diversity 0.76, against 0.56 and 0.59 observed, so the uniform model runs too diverse. Under pooled-profile innovation, 51 combinations match, spanning population sizes of 120, 2,000 and 10,000 learners and low rates of innovation and mixing (Table S2). None of the 51 reaches the observed between-cluster</w:t>
      </w:r>
      <w:r>
        <w:t xml:space="preserve"> </w:t>
      </w:r>
      <m:oMath>
        <m:sSub>
          <m:e>
            <m:r>
              <m:t>F</m:t>
            </m:r>
          </m:e>
          <m:sub>
            <m:r>
              <m:t>S</m:t>
            </m:r>
            <m:r>
              <m:t>T</m:t>
            </m:r>
          </m:sub>
        </m:sSub>
      </m:oMath>
      <w:r>
        <w:t xml:space="preserve"> </w:t>
      </w:r>
      <w:r>
        <w:t xml:space="preserve">at the median. The highest median among them is 0.0045 against 0.0062 observed, a result we return to with the full grid below.</w:t>
      </w:r>
    </w:p>
    <w:p>
      <w:pPr>
        <w:pStyle w:val="BodyText"/>
      </w:pPr>
      <w:r>
        <w:t xml:space="preserve">At the diversity-matched parameter combination most favorable to drift (120 learners, innovation 0.024, mixing 0.01, interaction length 24 river-km), the observed between-cluster</w:t>
      </w:r>
      <w:r>
        <w:t xml:space="preserve"> </w:t>
      </w:r>
      <m:oMath>
        <m:sSub>
          <m:e>
            <m:r>
              <m:t>F</m:t>
            </m:r>
          </m:e>
          <m:sub>
            <m:r>
              <m:t>S</m:t>
            </m:r>
            <m:r>
              <m:t>T</m:t>
            </m:r>
          </m:sub>
        </m:sSub>
      </m:oMath>
      <w:r>
        <w:t xml:space="preserve"> </w:t>
      </w:r>
      <w:r>
        <w:t xml:space="preserve">of 0.0062 at the two spatial clusters the silhouette selects lies inside the drift interval of 0.0002 to 0.0099 (median 0.0018). Eight percent of simulated datasets reach it under the seriation order, 7 percent reversed, and 17 percent contemporaneous. Calibrated drift returns one ceramic community in 236 of 500 runs; where it returns two or more, the between-community</w:t>
      </w:r>
      <w:r>
        <w:t xml:space="preserve"> </w:t>
      </w:r>
      <m:oMath>
        <m:sSub>
          <m:e>
            <m:r>
              <m:t>F</m:t>
            </m:r>
          </m:e>
          <m:sub>
            <m:r>
              <m:t>S</m:t>
            </m:r>
            <m:r>
              <m:t>T</m:t>
            </m:r>
          </m:sub>
        </m:sSub>
      </m:oMath>
      <w:r>
        <w:t xml:space="preserve"> </w:t>
      </w:r>
      <w:r>
        <w:t xml:space="preserve">has a median of 0.019 (0.010 to 0.036) against an observed 0.039, which 2 percent of runs reach, and modularity a median of 0.001 against an observed 0.045. The distance decay of similarity is steeper in the data than drift produces (observed Mantel r = -0.21; drift interval -0.14 to +0.13). The distance-controlled boundary excess of the spatial clusters is positive in the data (+14.0, within-cluster pairs more similar than between-cluster pairs at matched distance), outside both the drift interval (-9.5 to +7.6) and the bounded-groups interval (-12.2 to +7.5). Reducing copying across the spatial clusters by factors of 0.5, 0.1, and 0.03 leaves the median</w:t>
      </w:r>
      <w:r>
        <w:t xml:space="preserve"> </w:t>
      </w:r>
      <m:oMath>
        <m:sSub>
          <m:e>
            <m:r>
              <m:t>F</m:t>
            </m:r>
          </m:e>
          <m:sub>
            <m:r>
              <m:t>S</m:t>
            </m:r>
            <m:r>
              <m:t>T</m:t>
            </m:r>
          </m:sub>
        </m:sSub>
      </m:oMath>
      <w:r>
        <w:t xml:space="preserve"> </w:t>
      </w:r>
      <w:r>
        <w:t xml:space="preserve">between 0.0013 and 0.0024 at both interaction lengths. The observation is reached only through the upper tails, in 0 to 23 percent of 30 realizations per cell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median partition</w:t>
      </w:r>
      <w:r>
        <w:t xml:space="preserve"> </w:t>
      </w:r>
      <m:oMath>
        <m:sSub>
          <m:e>
            <m:r>
              <m:t>F</m:t>
            </m:r>
          </m:e>
          <m:sub>
            <m:r>
              <m:t>S</m:t>
            </m:r>
            <m:r>
              <m:t>T</m:t>
            </m:r>
          </m:sub>
        </m:sSub>
      </m:oMath>
      <w:r>
        <w:t xml:space="preserve">. Where no combination matches, the minimum-misfit combination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51</w:t>
            </w:r>
          </w:p>
        </w:tc>
        <w:tc>
          <w:tcPr/>
          <w:p>
            <w:pPr>
              <w:pStyle w:val="Compact"/>
            </w:pPr>
            <w:r>
              <w:t xml:space="preserve">120, 0.024, 0.010</w:t>
            </w:r>
          </w:p>
        </w:tc>
        <w:tc>
          <w:tcPr/>
          <w:p>
            <w:pPr>
              <w:pStyle w:val="Compact"/>
            </w:pPr>
            <w:r>
              <w:t xml:space="preserve">0.563 / 6.25 / 0.592</w:t>
            </w:r>
          </w:p>
        </w:tc>
        <w:tc>
          <w:tcPr/>
          <w:p>
            <w:pPr>
              <w:pStyle w:val="Compact"/>
            </w:pPr>
            <w:r>
              <w:t xml:space="preserve">0.568 / 5.68 / 0.590</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(fails at 500 realizations)</w:t>
            </w:r>
          </w:p>
        </w:tc>
        <w:tc>
          <w:tcPr/>
          <w:p>
            <w:pPr>
              <w:pStyle w:val="Compact"/>
            </w:pPr>
            <w:r>
              <w:t xml:space="preserve">120, 0.0005, 0.05</w:t>
            </w:r>
          </w:p>
        </w:tc>
        <w:tc>
          <w:tcPr/>
          <w:p>
            <w:pPr>
              <w:pStyle w:val="Compact"/>
            </w:pPr>
            <w:r>
              <w:t xml:space="preserve">0.563 / 6.25 / 0.592</w:t>
            </w:r>
          </w:p>
        </w:tc>
        <w:tc>
          <w:tcPr/>
          <w:p>
            <w:pPr>
              <w:pStyle w:val="Compact"/>
            </w:pPr>
            <w:r>
              <w:t xml:space="preserve">0.678 / 7.11 / 0.759</w:t>
            </w:r>
          </w:p>
        </w:tc>
      </w:tr>
    </w:tbl>
    <w:bookmarkEnd w:id="123"/>
    <w:bookmarkStart w:id="127"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28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simulated at six seeds per combination with the same time-transgressive sampling applied to the data, and a combination is diversity-matched when all three simulated summaries fall within 10 percent of the observed values. The baseline combination for the drift comparison is the diversity-matched parameter combination with the highest median partition</w:t>
      </w:r>
      <w:r>
        <w:t xml:space="preserve"> </w:t>
      </w:r>
      <m:oMath>
        <m:sSub>
          <m:e>
            <m:r>
              <m:t>F</m:t>
            </m:r>
          </m:e>
          <m:sub>
            <m:r>
              <m:t>S</m:t>
            </m:r>
            <m:r>
              <m:t>T</m:t>
            </m:r>
          </m:sub>
        </m:sSub>
      </m:oMath>
      <w:r>
        <w:t xml:space="preserve">, so the comparison is the one most favorable to drift. When no combination is matched, we use the minimum-misfit combination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28 assemblages connect on the resulting network and the mean access distance from an assemblage to a mapped channel is 2.75 km. Detour is summarized two ways, because the summaries differ: the mean of the per-pair ratios of along-water to straight-line distance is 3.7 and the median is 2.9.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as the null most favorable to drift, not because the pottery follows it: decorated-class distance between assemblages tracks straight-line separation (rank correlation 0.36) better than along-water distance (0.24), and between assemblages in different phases the along-water metric carries nothing once straight-line distance is held fixed (-0.03). The network is modern hydrography, and the St. Francis, Tyronza and Mississippi have all moved since these sites were occupied; a phase on the St. Francis reaches a phase on the Mississippi only through their confluence far to the south, so along-water distances between phases describe the routing of today’s channels. Both metrics are carried through the relaxation sweep below.</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0.98 to 1.00 for every basin assemblage, because the model returns a single community in almost every run.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0.043 against the calibrated drift distributions under contemporaneous and time-transgressive sampling for both innovation models. Under pooled-profile innovation, the model returns a single community in 488 of 500 time-transgressive runs, where a between-community</w:t>
      </w:r>
      <w:r>
        <w:t xml:space="preserve"> </w:t>
      </w:r>
      <m:oMath>
        <m:sSub>
          <m:e>
            <m:r>
              <m:t>F</m:t>
            </m:r>
          </m:e>
          <m:sub>
            <m:r>
              <m:t>S</m:t>
            </m:r>
            <m:r>
              <m:t>T</m:t>
            </m:r>
          </m:sub>
        </m:sSub>
      </m:oMath>
      <w:r>
        <w:t xml:space="preserve"> </w:t>
      </w:r>
      <w:r>
        <w:t xml:space="preserve">is undefined. In the 12 runs that return two communities it runs from 0.009 to 0.026 (median 0.014), all below the observed 0.043.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 F_{ST} 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w:t>
      </w:r>
      <w:r>
        <w:t xml:space="preserve"> </w:t>
      </w:r>
      <m:oMath>
        <m:sSub>
          <m:e>
            <m:r>
              <m:t>F</m:t>
            </m:r>
          </m:e>
          <m:sub>
            <m:r>
              <m:t>S</m:t>
            </m:r>
            <m:r>
              <m:t>T</m:t>
            </m:r>
          </m:sub>
        </m:sSub>
      </m:oMath>
      <w:r>
        <w:t xml:space="preserve"> </w:t>
      </w:r>
      <w:r>
        <w:t xml:space="preserve">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w:t>
      </w:r>
    </w:p>
    <w:bookmarkEnd w:id="127"/>
    <w:bookmarkStart w:id="131"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the median partition</w:t>
      </w:r>
      <w:r>
        <w:t xml:space="preserve"> </w:t>
      </w:r>
      <m:oMath>
        <m:sSub>
          <m:e>
            <m:r>
              <m:t>F</m:t>
            </m:r>
          </m:e>
          <m:sub>
            <m:r>
              <m:t>S</m:t>
            </m:r>
            <m:r>
              <m:t>T</m:t>
            </m:r>
          </m:sub>
        </m:sSub>
      </m:oMath>
      <w:r>
        <w:t xml:space="preserve"> </w:t>
      </w:r>
      <w:r>
        <w:t xml:space="preserve">of its six calibration draws. Combinations to the left of the tolerance line match the assemblages’ diversity. In the basin, the matched combinations lie well below the observed</w:t>
      </w:r>
      <w:r>
        <w:t xml:space="preserve"> </w:t>
      </w:r>
      <m:oMath>
        <m:sSub>
          <m:e>
            <m:r>
              <m:t>F</m:t>
            </m:r>
          </m:e>
          <m:sub>
            <m:r>
              <m:t>S</m:t>
            </m:r>
            <m:r>
              <m:t>T</m:t>
            </m:r>
          </m:sub>
        </m:sSub>
      </m:oMath>
      <w:r>
        <w:t xml:space="preserve">, and the combinations that reach the observed</w:t>
      </w:r>
      <w:r>
        <w:t xml:space="preserve"> </w:t>
      </w:r>
      <m:oMath>
        <m:sSub>
          <m:e>
            <m:r>
              <m:t>F</m:t>
            </m:r>
          </m:e>
          <m:sub>
            <m:r>
              <m:t>S</m:t>
            </m:r>
            <m:r>
              <m:t>T</m:t>
            </m:r>
          </m:sub>
        </m:sSub>
      </m:oMath>
      <w:r>
        <w:t xml:space="preserve"> </w:t>
      </w:r>
      <w:r>
        <w:t xml:space="preserve">are those that misfit the diversity by a factor of two or more. Under uniform innovation, the whole grid misfits.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the median partition F_{ST} 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in either panel."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the median partition</w:t>
      </w:r>
      <w:r>
        <w:t xml:space="preserve"> </w:t>
      </w:r>
      <m:oMath>
        <m:sSub>
          <m:e>
            <m:r>
              <m:t>F</m:t>
            </m:r>
          </m:e>
          <m:sub>
            <m:r>
              <m:t>S</m:t>
            </m:r>
            <m:r>
              <m:t>T</m:t>
            </m:r>
          </m:sub>
        </m:sSub>
      </m:oMath>
      <w:r>
        <w:t xml:space="preserve"> </w:t>
      </w:r>
      <w:r>
        <w:t xml:space="preserve">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6.3)</w:t>
            </w:r>
          </w:p>
        </w:tc>
        <w:tc>
          <w:tcPr/>
          <w:p>
            <w:pPr>
              <w:pStyle w:val="Compact"/>
            </w:pPr>
            <w:r>
              <w:t xml:space="preserve">baseline</w:t>
            </w:r>
          </w:p>
        </w:tc>
        <w:tc>
          <w:tcPr/>
          <w:p>
            <w:pPr>
              <w:pStyle w:val="Compact"/>
            </w:pPr>
            <w:r>
              <w:t xml:space="preserve">0.0018 [0.0002, 0.0099]</w:t>
            </w:r>
          </w:p>
        </w:tc>
        <w:tc>
          <w:tcPr/>
          <w:p>
            <w:pPr>
              <w:pStyle w:val="Compact"/>
              <w:jc w:val="right"/>
            </w:pPr>
            <w:r>
              <w:t xml:space="preserve">0.082</w:t>
            </w:r>
          </w:p>
        </w:tc>
        <w:tc>
          <w:tcPr/>
          <w:p>
            <w:pPr>
              <w:pStyle w:val="Compact"/>
              <w:jc w:val="right"/>
            </w:pPr>
            <w:r>
              <w:t xml:space="preserve">0.57</w:t>
            </w:r>
          </w:p>
        </w:tc>
        <w:tc>
          <w:tcPr/>
          <w:p>
            <w:pPr>
              <w:pStyle w:val="Compact"/>
              <w:jc w:val="right"/>
            </w:pPr>
            <w:r>
              <w:t xml:space="preserve">5.7</w:t>
            </w:r>
          </w:p>
        </w:tc>
      </w:tr>
      <w:tr>
        <w:tc>
          <w:tcPr/>
          <w:p>
            <w:pPr>
              <w:pStyle w:val="Compact"/>
            </w:pPr>
          </w:p>
        </w:tc>
        <w:tc>
          <w:tcPr/>
          <w:p>
            <w:pPr>
              <w:pStyle w:val="Compact"/>
            </w:pPr>
            <w:r>
              <w:t xml:space="preserve">burn-in 2,400</w:t>
            </w:r>
          </w:p>
        </w:tc>
        <w:tc>
          <w:tcPr/>
          <w:p>
            <w:pPr>
              <w:pStyle w:val="Compact"/>
            </w:pPr>
            <w:r>
              <w:t xml:space="preserve">0.0016 [0.0003, 0.0140]</w:t>
            </w:r>
          </w:p>
        </w:tc>
        <w:tc>
          <w:tcPr/>
          <w:p>
            <w:pPr>
              <w:pStyle w:val="Compact"/>
              <w:jc w:val="right"/>
            </w:pPr>
            <w:r>
              <w:t xml:space="preserve">0.157</w:t>
            </w:r>
          </w:p>
        </w:tc>
        <w:tc>
          <w:tcPr/>
          <w:p>
            <w:pPr>
              <w:pStyle w:val="Compact"/>
              <w:jc w:val="right"/>
            </w:pPr>
            <w:r>
              <w:t xml:space="preserve">0.57</w:t>
            </w:r>
          </w:p>
        </w:tc>
        <w:tc>
          <w:tcPr/>
          <w:p>
            <w:pPr>
              <w:pStyle w:val="Compact"/>
              <w:jc w:val="right"/>
            </w:pPr>
            <w:r>
              <w:t xml:space="preserve">5.7</w:t>
            </w:r>
          </w:p>
        </w:tc>
      </w:tr>
      <w:tr>
        <w:tc>
          <w:tcPr/>
          <w:p>
            <w:pPr>
              <w:pStyle w:val="Compact"/>
            </w:pPr>
          </w:p>
        </w:tc>
        <w:tc>
          <w:tcPr/>
          <w:p>
            <w:pPr>
              <w:pStyle w:val="Compact"/>
            </w:pPr>
            <w:r>
              <w:t xml:space="preserve">monomorphic start, burn-in</w:t>
            </w:r>
          </w:p>
        </w:tc>
        <w:tc>
          <w:tcPr/>
          <w:p>
            <w:pPr>
              <w:pStyle w:val="Compact"/>
            </w:pPr>
            <w:r>
              <w:t xml:space="preserve">0.0020 [0.0003, 0.0091]</w:t>
            </w:r>
          </w:p>
        </w:tc>
        <w:tc>
          <w:tcPr/>
          <w:p>
            <w:pPr>
              <w:pStyle w:val="Compact"/>
              <w:jc w:val="right"/>
            </w:pPr>
            <w:r>
              <w:t xml:space="preserve">0.157</w:t>
            </w:r>
          </w:p>
        </w:tc>
        <w:tc>
          <w:tcPr/>
          <w:p>
            <w:pPr>
              <w:pStyle w:val="Compact"/>
              <w:jc w:val="right"/>
            </w:pPr>
            <w:r>
              <w:t xml:space="preserve">0.57</w:t>
            </w:r>
          </w:p>
        </w:tc>
        <w:tc>
          <w:tcPr/>
          <w:p>
            <w:pPr>
              <w:pStyle w:val="Compact"/>
              <w:jc w:val="right"/>
            </w:pPr>
            <w:r>
              <w:t xml:space="preserve">5.7</w:t>
            </w:r>
          </w:p>
        </w:tc>
      </w:tr>
      <w:tr>
        <w:tc>
          <w:tcPr/>
          <w:p>
            <w:pPr>
              <w:pStyle w:val="Compact"/>
            </w:pPr>
          </w:p>
        </w:tc>
        <w:tc>
          <w:tcPr/>
          <w:p>
            <w:pPr>
              <w:pStyle w:val="Compact"/>
            </w:pPr>
            <w:r>
              <w:t xml:space="preserve">monomorphic start, no burn-in</w:t>
            </w:r>
          </w:p>
        </w:tc>
        <w:tc>
          <w:tcPr/>
          <w:p>
            <w:pPr>
              <w:pStyle w:val="Compact"/>
            </w:pPr>
            <w:r>
              <w:t xml:space="preserve">0.0019 [0.0002, 0.0115]</w:t>
            </w:r>
          </w:p>
        </w:tc>
        <w:tc>
          <w:tcPr/>
          <w:p>
            <w:pPr>
              <w:pStyle w:val="Compact"/>
              <w:jc w:val="right"/>
            </w:pPr>
            <w:r>
              <w:t xml:space="preserve">0.118</w:t>
            </w:r>
          </w:p>
        </w:tc>
        <w:tc>
          <w:tcPr/>
          <w:p>
            <w:pPr>
              <w:pStyle w:val="Compact"/>
              <w:jc w:val="right"/>
            </w:pPr>
            <w:r>
              <w:t xml:space="preserve">0.56</w:t>
            </w:r>
          </w:p>
        </w:tc>
        <w:tc>
          <w:tcPr/>
          <w:p>
            <w:pPr>
              <w:pStyle w:val="Compact"/>
              <w:jc w:val="right"/>
            </w:pPr>
            <w:r>
              <w:t xml:space="preserve">5.7</w:t>
            </w:r>
          </w:p>
        </w:tc>
      </w:tr>
      <w:tr>
        <w:tc>
          <w:tcPr/>
          <w:p>
            <w:pPr>
              <w:pStyle w:val="Compact"/>
            </w:pPr>
          </w:p>
        </w:tc>
        <w:tc>
          <w:tcPr/>
          <w:p>
            <w:pPr>
              <w:pStyle w:val="Compact"/>
            </w:pPr>
            <w:r>
              <w:t xml:space="preserve">innovation halved</w:t>
            </w:r>
          </w:p>
        </w:tc>
        <w:tc>
          <w:tcPr/>
          <w:p>
            <w:pPr>
              <w:pStyle w:val="Compact"/>
            </w:pPr>
            <w:r>
              <w:t xml:space="preserve">0.0038 [0.0003, 0.0183]</w:t>
            </w:r>
          </w:p>
        </w:tc>
        <w:tc>
          <w:tcPr/>
          <w:p>
            <w:pPr>
              <w:pStyle w:val="Compact"/>
              <w:jc w:val="right"/>
            </w:pPr>
            <w:r>
              <w:t xml:space="preserve">0.314</w:t>
            </w:r>
          </w:p>
        </w:tc>
        <w:tc>
          <w:tcPr/>
          <w:p>
            <w:pPr>
              <w:pStyle w:val="Compact"/>
              <w:jc w:val="right"/>
            </w:pPr>
            <w:r>
              <w:t xml:space="preserve">0.55</w:t>
            </w:r>
          </w:p>
        </w:tc>
        <w:tc>
          <w:tcPr/>
          <w:p>
            <w:pPr>
              <w:pStyle w:val="Compact"/>
              <w:jc w:val="right"/>
            </w:pPr>
            <w:r>
              <w:t xml:space="preserve">5.0</w:t>
            </w:r>
          </w:p>
        </w:tc>
      </w:tr>
      <w:tr>
        <w:tc>
          <w:tcPr/>
          <w:p>
            <w:pPr>
              <w:pStyle w:val="Compact"/>
            </w:pPr>
          </w:p>
        </w:tc>
        <w:tc>
          <w:tcPr/>
          <w:p>
            <w:pPr>
              <w:pStyle w:val="Compact"/>
            </w:pPr>
            <w:r>
              <w:t xml:space="preserve">innovation doubled</w:t>
            </w:r>
          </w:p>
        </w:tc>
        <w:tc>
          <w:tcPr/>
          <w:p>
            <w:pPr>
              <w:pStyle w:val="Compact"/>
            </w:pPr>
            <w:r>
              <w:t xml:space="preserve">0.0007 [0.0001, 0.0043]</w:t>
            </w:r>
          </w:p>
        </w:tc>
        <w:tc>
          <w:tcPr/>
          <w:p>
            <w:pPr>
              <w:pStyle w:val="Compact"/>
              <w:jc w:val="right"/>
            </w:pPr>
            <w:r>
              <w:t xml:space="preserve">0.020</w:t>
            </w:r>
          </w:p>
        </w:tc>
        <w:tc>
          <w:tcPr/>
          <w:p>
            <w:pPr>
              <w:pStyle w:val="Compact"/>
              <w:jc w:val="right"/>
            </w:pPr>
            <w:r>
              <w:t xml:space="preserve">0.58</w:t>
            </w:r>
          </w:p>
        </w:tc>
        <w:tc>
          <w:tcPr/>
          <w:p>
            <w:pPr>
              <w:pStyle w:val="Compact"/>
              <w:jc w:val="right"/>
            </w:pPr>
            <w:r>
              <w:t xml:space="preserve">6.4</w:t>
            </w:r>
          </w:p>
        </w:tc>
      </w:tr>
      <w:tr>
        <w:tc>
          <w:tcPr/>
          <w:p>
            <w:pPr>
              <w:pStyle w:val="Compact"/>
            </w:pPr>
          </w:p>
        </w:tc>
        <w:tc>
          <w:tcPr/>
          <w:p>
            <w:pPr>
              <w:pStyle w:val="Compact"/>
            </w:pPr>
            <w:r>
              <w:t xml:space="preserve">mixing halved</w:t>
            </w:r>
          </w:p>
        </w:tc>
        <w:tc>
          <w:tcPr/>
          <w:p>
            <w:pPr>
              <w:pStyle w:val="Compact"/>
            </w:pPr>
            <w:r>
              <w:t xml:space="preserve">0.0019 [0.0003, 0.0084]</w:t>
            </w:r>
          </w:p>
        </w:tc>
        <w:tc>
          <w:tcPr/>
          <w:p>
            <w:pPr>
              <w:pStyle w:val="Compact"/>
              <w:jc w:val="right"/>
            </w:pPr>
            <w:r>
              <w:t xml:space="preserve">0.098</w:t>
            </w:r>
          </w:p>
        </w:tc>
        <w:tc>
          <w:tcPr/>
          <w:p>
            <w:pPr>
              <w:pStyle w:val="Compact"/>
              <w:jc w:val="right"/>
            </w:pPr>
            <w:r>
              <w:t xml:space="preserve">0.56</w:t>
            </w:r>
          </w:p>
        </w:tc>
        <w:tc>
          <w:tcPr/>
          <w:p>
            <w:pPr>
              <w:pStyle w:val="Compact"/>
              <w:jc w:val="right"/>
            </w:pPr>
            <w:r>
              <w:t xml:space="preserve">5.5</w:t>
            </w:r>
          </w:p>
        </w:tc>
      </w:tr>
      <w:tr>
        <w:tc>
          <w:tcPr/>
          <w:p>
            <w:pPr>
              <w:pStyle w:val="Compact"/>
            </w:pPr>
          </w:p>
        </w:tc>
        <w:tc>
          <w:tcPr/>
          <w:p>
            <w:pPr>
              <w:pStyle w:val="Compact"/>
            </w:pPr>
            <w:r>
              <w:t xml:space="preserve">mixing doubled</w:t>
            </w:r>
          </w:p>
        </w:tc>
        <w:tc>
          <w:tcPr/>
          <w:p>
            <w:pPr>
              <w:pStyle w:val="Compact"/>
            </w:pPr>
            <w:r>
              <w:t xml:space="preserve">0.0013 [0.0004, 0.0085]</w:t>
            </w:r>
          </w:p>
        </w:tc>
        <w:tc>
          <w:tcPr/>
          <w:p>
            <w:pPr>
              <w:pStyle w:val="Compact"/>
              <w:jc w:val="right"/>
            </w:pPr>
            <w:r>
              <w:t xml:space="preserve">0.118</w:t>
            </w:r>
          </w:p>
        </w:tc>
        <w:tc>
          <w:tcPr/>
          <w:p>
            <w:pPr>
              <w:pStyle w:val="Compact"/>
              <w:jc w:val="right"/>
            </w:pPr>
            <w:r>
              <w:t xml:space="preserve">0.57</w:t>
            </w:r>
          </w:p>
        </w:tc>
        <w:tc>
          <w:tcPr/>
          <w:p>
            <w:pPr>
              <w:pStyle w:val="Compact"/>
              <w:jc w:val="right"/>
            </w:pPr>
            <w:r>
              <w:t xml:space="preserve">5.9</w:t>
            </w:r>
          </w:p>
        </w:tc>
      </w:tr>
      <w:tr>
        <w:tc>
          <w:tcPr/>
          <w:p>
            <w:pPr>
              <w:pStyle w:val="Compact"/>
            </w:pPr>
          </w:p>
        </w:tc>
        <w:tc>
          <w:tcPr/>
          <w:p>
            <w:pPr>
              <w:pStyle w:val="Compact"/>
            </w:pPr>
            <w:r>
              <w:t xml:space="preserve">boundary, multiplier 0.5 (24 km)</w:t>
            </w:r>
          </w:p>
        </w:tc>
        <w:tc>
          <w:tcPr/>
          <w:p>
            <w:pPr>
              <w:pStyle w:val="Compact"/>
            </w:pPr>
            <w:r>
              <w:t xml:space="preserve">0.0016 [0.0003, 0.0076]</w:t>
            </w:r>
          </w:p>
        </w:tc>
        <w:tc>
          <w:tcPr/>
          <w:p>
            <w:pPr>
              <w:pStyle w:val="Compact"/>
              <w:jc w:val="right"/>
            </w:pPr>
            <w:r>
              <w:t xml:space="preserve">0.067</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0.0024 [0.0004, 0.0074]</w:t>
            </w:r>
          </w:p>
        </w:tc>
        <w:tc>
          <w:tcPr/>
          <w:p>
            <w:pPr>
              <w:pStyle w:val="Compact"/>
              <w:jc w:val="right"/>
            </w:pPr>
            <w:r>
              <w:t xml:space="preserve">0.067</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0.0013 [0.0001, 0.0075]</w:t>
            </w:r>
          </w:p>
        </w:tc>
        <w:tc>
          <w:tcPr/>
          <w:p>
            <w:pPr>
              <w:pStyle w:val="Compact"/>
              <w:jc w:val="right"/>
            </w:pPr>
            <w:r>
              <w:t xml:space="preserve">0.100</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0.02 and 0.06, so the underprediction is not a property of one startup or rate choice. The 30-realization boundary cases resolve tail probabilities only to about 0.03.</w:t>
      </w:r>
    </w:p>
    <w:bookmarkEnd w:id="131"/>
    <w:bookmarkStart w:id="132"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0.0062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120</w:t>
            </w:r>
          </w:p>
        </w:tc>
        <w:tc>
          <w:tcPr/>
          <w:p>
            <w:pPr>
              <w:pStyle w:val="Compact"/>
              <w:jc w:val="right"/>
            </w:pPr>
            <w:r>
              <w:t xml:space="preserve">0.0017</w:t>
            </w:r>
          </w:p>
        </w:tc>
        <w:tc>
          <w:tcPr/>
          <w:p>
            <w:pPr>
              <w:pStyle w:val="Compact"/>
            </w:pPr>
            <w:r>
              <w:t xml:space="preserve">[0.0002, 0.0091]</w:t>
            </w:r>
          </w:p>
        </w:tc>
        <w:tc>
          <w:tcPr/>
          <w:p>
            <w:pPr>
              <w:pStyle w:val="Compact"/>
              <w:jc w:val="right"/>
            </w:pPr>
            <w:r>
              <w:t xml:space="preserve">3.7x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94</w:t>
            </w:r>
          </w:p>
        </w:tc>
        <w:tc>
          <w:tcPr/>
          <w:p>
            <w:pPr>
              <w:pStyle w:val="Compact"/>
              <w:jc w:val="right"/>
            </w:pPr>
            <w:r>
              <w:t xml:space="preserve">0.0021</w:t>
            </w:r>
          </w:p>
        </w:tc>
        <w:tc>
          <w:tcPr/>
          <w:p>
            <w:pPr>
              <w:pStyle w:val="Compact"/>
            </w:pPr>
            <w:r>
              <w:t xml:space="preserve">[0.0003, 0.0121]</w:t>
            </w:r>
          </w:p>
        </w:tc>
        <w:tc>
          <w:tcPr/>
          <w:p>
            <w:pPr>
              <w:pStyle w:val="Compact"/>
              <w:jc w:val="right"/>
            </w:pPr>
            <w:r>
              <w:t xml:space="preserve">3.0x</w:t>
            </w:r>
          </w:p>
        </w:tc>
        <w:tc>
          <w:tcPr/>
          <w:p>
            <w:pPr>
              <w:pStyle w:val="Compact"/>
              <w:jc w:val="center"/>
            </w:pPr>
            <w:r>
              <w:t xml:space="preserve">broken</w:t>
            </w:r>
          </w:p>
        </w:tc>
      </w:tr>
      <w:tr>
        <w:tc>
          <w:tcPr/>
          <w:p>
            <w:pPr>
              <w:pStyle w:val="Compact"/>
              <w:jc w:val="right"/>
            </w:pPr>
            <w:r>
              <w:t xml:space="preserve">1.0</w:t>
            </w:r>
          </w:p>
        </w:tc>
        <w:tc>
          <w:tcPr/>
          <w:p>
            <w:pPr>
              <w:pStyle w:val="Compact"/>
              <w:jc w:val="right"/>
            </w:pPr>
            <w:r>
              <w:t xml:space="preserve">61</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40</w:t>
            </w:r>
          </w:p>
        </w:tc>
        <w:tc>
          <w:tcPr/>
          <w:p>
            <w:pPr>
              <w:pStyle w:val="Compact"/>
              <w:jc w:val="right"/>
            </w:pPr>
            <w:r>
              <w:t xml:space="preserve">0.0038</w:t>
            </w:r>
          </w:p>
        </w:tc>
        <w:tc>
          <w:tcPr/>
          <w:p>
            <w:pPr>
              <w:pStyle w:val="Compact"/>
            </w:pPr>
            <w:r>
              <w:t xml:space="preserve">[0.0003, 0.0216]</w:t>
            </w:r>
          </w:p>
        </w:tc>
        <w:tc>
          <w:tcPr/>
          <w:p>
            <w:pPr>
              <w:pStyle w:val="Compact"/>
              <w:jc w:val="right"/>
            </w:pPr>
            <w:r>
              <w:t xml:space="preserve">1.7x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28</w:t>
            </w:r>
          </w:p>
        </w:tc>
        <w:tc>
          <w:tcPr/>
          <w:p>
            <w:pPr>
              <w:pStyle w:val="Compact"/>
              <w:jc w:val="right"/>
            </w:pPr>
            <w:r>
              <w:t xml:space="preserve">0.0035</w:t>
            </w:r>
          </w:p>
        </w:tc>
        <w:tc>
          <w:tcPr/>
          <w:p>
            <w:pPr>
              <w:pStyle w:val="Compact"/>
            </w:pPr>
            <w:r>
              <w:t xml:space="preserve">[0.0002, 0.0244]</w:t>
            </w:r>
          </w:p>
        </w:tc>
        <w:tc>
          <w:tcPr/>
          <w:p>
            <w:pPr>
              <w:pStyle w:val="Compact"/>
              <w:jc w:val="right"/>
            </w:pPr>
            <w:r>
              <w:t xml:space="preserve">1.8x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16</w:t>
            </w:r>
          </w:p>
        </w:tc>
        <w:tc>
          <w:tcPr/>
          <w:p>
            <w:pPr>
              <w:pStyle w:val="Compact"/>
              <w:jc w:val="right"/>
            </w:pPr>
            <w:r>
              <w:t xml:space="preserve">0.0052</w:t>
            </w:r>
          </w:p>
        </w:tc>
        <w:tc>
          <w:tcPr/>
          <w:p>
            <w:pPr>
              <w:pStyle w:val="Compact"/>
            </w:pPr>
            <w:r>
              <w:t xml:space="preserve">[0.0004, 0.0262]</w:t>
            </w:r>
          </w:p>
        </w:tc>
        <w:tc>
          <w:tcPr/>
          <w:p>
            <w:pPr>
              <w:pStyle w:val="Compact"/>
              <w:jc w:val="right"/>
            </w:pPr>
            <w:r>
              <w:t xml:space="preserve">1.2x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basin assemblages and is the only size field there with usable coverage. Taking population to scale with height, with height squared, or with height cubed implies a coefficient of variation of 0.92, 1.37 and 1.78 respectively, with Morse’s corrected height for Parkin substituted as elsewhere. Across that bracket the shortfall runs from about 2.5-fold at a coefficient of variation of 1.0 to about 1.8-fold at 2.0, and the diversity match is already broken at 0.5.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0.0017</w:t>
            </w:r>
          </w:p>
        </w:tc>
        <w:tc>
          <w:tcPr/>
          <w:p>
            <w:pPr>
              <w:pStyle w:val="Compact"/>
            </w:pPr>
            <w:r>
              <w:t xml:space="preserve">[0.0002, 0.0101]</w:t>
            </w:r>
          </w:p>
        </w:tc>
        <w:tc>
          <w:tcPr/>
          <w:p>
            <w:pPr>
              <w:pStyle w:val="Compact"/>
              <w:jc w:val="right"/>
            </w:pPr>
            <w:r>
              <w:t xml:space="preserve">3.7x</w:t>
            </w:r>
          </w:p>
        </w:tc>
        <w:tc>
          <w:tcPr/>
          <w:p>
            <w:pPr>
              <w:pStyle w:val="Compact"/>
              <w:jc w:val="center"/>
            </w:pPr>
            <w:r>
              <w:t xml:space="preserve">matched</w:t>
            </w:r>
          </w:p>
        </w:tc>
      </w:tr>
      <w:tr>
        <w:tc>
          <w:tcPr/>
          <w:p>
            <w:pPr>
              <w:pStyle w:val="Compact"/>
            </w:pPr>
            <w:r>
              <w:t xml:space="preserve">river, exponential, 12 km</w:t>
            </w:r>
          </w:p>
        </w:tc>
        <w:tc>
          <w:tcPr/>
          <w:p>
            <w:pPr>
              <w:pStyle w:val="Compact"/>
              <w:jc w:val="right"/>
            </w:pPr>
            <w:r>
              <w:t xml:space="preserve">0.0018</w:t>
            </w:r>
          </w:p>
        </w:tc>
        <w:tc>
          <w:tcPr/>
          <w:p>
            <w:pPr>
              <w:pStyle w:val="Compact"/>
            </w:pPr>
            <w:r>
              <w:t xml:space="preserve">[0.0003, 0.0096]</w:t>
            </w:r>
          </w:p>
        </w:tc>
        <w:tc>
          <w:tcPr/>
          <w:p>
            <w:pPr>
              <w:pStyle w:val="Compact"/>
              <w:jc w:val="right"/>
            </w:pPr>
            <w:r>
              <w:t xml:space="preserve">3.4x</w:t>
            </w:r>
          </w:p>
        </w:tc>
        <w:tc>
          <w:tcPr/>
          <w:p>
            <w:pPr>
              <w:pStyle w:val="Compact"/>
              <w:jc w:val="center"/>
            </w:pPr>
            <w:r>
              <w:t xml:space="preserve">matched</w:t>
            </w:r>
          </w:p>
        </w:tc>
      </w:tr>
      <w:tr>
        <w:tc>
          <w:tcPr/>
          <w:p>
            <w:pPr>
              <w:pStyle w:val="Compact"/>
            </w:pPr>
            <w:r>
              <w:t xml:space="preserve">river, exponential, 24 km</w:t>
            </w:r>
          </w:p>
        </w:tc>
        <w:tc>
          <w:tcPr/>
          <w:p>
            <w:pPr>
              <w:pStyle w:val="Compact"/>
              <w:jc w:val="right"/>
            </w:pPr>
            <w:r>
              <w:t xml:space="preserve">0.0015</w:t>
            </w:r>
          </w:p>
        </w:tc>
        <w:tc>
          <w:tcPr/>
          <w:p>
            <w:pPr>
              <w:pStyle w:val="Compact"/>
            </w:pPr>
            <w:r>
              <w:t xml:space="preserve">[0.0002, 0.0116]</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0.0015</w:t>
            </w:r>
          </w:p>
        </w:tc>
        <w:tc>
          <w:tcPr/>
          <w:p>
            <w:pPr>
              <w:pStyle w:val="Compact"/>
            </w:pPr>
            <w:r>
              <w:t xml:space="preserve">[0.0002, 0.0108]</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0.0018</w:t>
            </w:r>
          </w:p>
        </w:tc>
        <w:tc>
          <w:tcPr/>
          <w:p>
            <w:pPr>
              <w:pStyle w:val="Compact"/>
            </w:pPr>
            <w:r>
              <w:t xml:space="preserve">[0.0002, 0.0095]</w:t>
            </w:r>
          </w:p>
        </w:tc>
        <w:tc>
          <w:tcPr/>
          <w:p>
            <w:pPr>
              <w:pStyle w:val="Compact"/>
              <w:jc w:val="right"/>
            </w:pPr>
            <w:r>
              <w:t xml:space="preserve">3.5x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0.0017</w:t>
            </w:r>
          </w:p>
        </w:tc>
        <w:tc>
          <w:tcPr/>
          <w:p>
            <w:pPr>
              <w:pStyle w:val="Compact"/>
            </w:pPr>
            <w:r>
              <w:t xml:space="preserve">[0.0002, 0.0093]</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0.0016</w:t>
            </w:r>
          </w:p>
        </w:tc>
        <w:tc>
          <w:tcPr/>
          <w:p>
            <w:pPr>
              <w:pStyle w:val="Compact"/>
            </w:pPr>
            <w:r>
              <w:t xml:space="preserve">[0.0001, 0.0089]</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0.0016</w:t>
            </w:r>
          </w:p>
        </w:tc>
        <w:tc>
          <w:tcPr/>
          <w:p>
            <w:pPr>
              <w:pStyle w:val="Compact"/>
            </w:pPr>
            <w:r>
              <w:t xml:space="preserve">[0.0002, 0.0103]</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0.0019</w:t>
            </w:r>
          </w:p>
        </w:tc>
        <w:tc>
          <w:tcPr/>
          <w:p>
            <w:pPr>
              <w:pStyle w:val="Compact"/>
            </w:pPr>
            <w:r>
              <w:t xml:space="preserve">[0.0001, 0.0101]</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0.0017</w:t>
            </w:r>
          </w:p>
        </w:tc>
        <w:tc>
          <w:tcPr/>
          <w:p>
            <w:pPr>
              <w:pStyle w:val="Compact"/>
            </w:pPr>
            <w:r>
              <w:t xml:space="preserve">[0.0002, 0.0078]</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0.0020</w:t>
            </w:r>
          </w:p>
        </w:tc>
        <w:tc>
          <w:tcPr/>
          <w:p>
            <w:pPr>
              <w:pStyle w:val="Compact"/>
            </w:pPr>
            <w:r>
              <w:t xml:space="preserve">[0.0003, 0.0106]</w:t>
            </w:r>
          </w:p>
        </w:tc>
        <w:tc>
          <w:tcPr/>
          <w:p>
            <w:pPr>
              <w:pStyle w:val="Compact"/>
              <w:jc w:val="right"/>
            </w:pPr>
            <w:r>
              <w:t xml:space="preserve">3.2x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0.0016</w:t>
            </w:r>
          </w:p>
        </w:tc>
        <w:tc>
          <w:tcPr/>
          <w:p>
            <w:pPr>
              <w:pStyle w:val="Compact"/>
            </w:pPr>
            <w:r>
              <w:t xml:space="preserve">[0.0002, 0.0103]</w:t>
            </w:r>
          </w:p>
        </w:tc>
        <w:tc>
          <w:tcPr/>
          <w:p>
            <w:pPr>
              <w:pStyle w:val="Compact"/>
              <w:jc w:val="right"/>
            </w:pPr>
            <w:r>
              <w:t xml:space="preserve">3.8x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0.0018</w:t>
            </w:r>
          </w:p>
        </w:tc>
        <w:tc>
          <w:tcPr/>
          <w:p>
            <w:pPr>
              <w:pStyle w:val="Compact"/>
            </w:pPr>
            <w:r>
              <w:t xml:space="preserve">[0.0002, 0.0107]</w:t>
            </w:r>
          </w:p>
        </w:tc>
        <w:tc>
          <w:tcPr/>
          <w:p>
            <w:pPr>
              <w:pStyle w:val="Compact"/>
              <w:jc w:val="right"/>
            </w:pPr>
            <w:r>
              <w:t xml:space="preserve">3.4x</w:t>
            </w:r>
          </w:p>
        </w:tc>
        <w:tc>
          <w:tcPr/>
          <w:p>
            <w:pPr>
              <w:pStyle w:val="Compact"/>
              <w:jc w:val="center"/>
            </w:pPr>
            <w:r>
              <w:t xml:space="preserve">matched</w:t>
            </w:r>
          </w:p>
        </w:tc>
      </w:tr>
      <w:tr>
        <w:tc>
          <w:tcPr/>
          <w:p>
            <w:pPr>
              <w:pStyle w:val="Compact"/>
            </w:pPr>
            <w:r>
              <w:t xml:space="preserve">river, gaussian, 48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0.0016</w:t>
            </w:r>
          </w:p>
        </w:tc>
        <w:tc>
          <w:tcPr/>
          <w:p>
            <w:pPr>
              <w:pStyle w:val="Compact"/>
            </w:pPr>
            <w:r>
              <w:t xml:space="preserve">[0.0002, 0.0081]</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0.0017</w:t>
            </w:r>
          </w:p>
        </w:tc>
        <w:tc>
          <w:tcPr/>
          <w:p>
            <w:pPr>
              <w:pStyle w:val="Compact"/>
            </w:pPr>
            <w:r>
              <w:t xml:space="preserve">[0.0002, 0.0112]</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0.0020</w:t>
            </w:r>
          </w:p>
        </w:tc>
        <w:tc>
          <w:tcPr/>
          <w:p>
            <w:pPr>
              <w:pStyle w:val="Compact"/>
            </w:pPr>
            <w:r>
              <w:t xml:space="preserve">[0.0003, 0.0097]</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0.0018</w:t>
            </w:r>
          </w:p>
        </w:tc>
        <w:tc>
          <w:tcPr/>
          <w:p>
            <w:pPr>
              <w:pStyle w:val="Compact"/>
            </w:pPr>
            <w:r>
              <w:t xml:space="preserve">[0.0002, 0.0102]</w:t>
            </w:r>
          </w:p>
        </w:tc>
        <w:tc>
          <w:tcPr/>
          <w:p>
            <w:pPr>
              <w:pStyle w:val="Compact"/>
              <w:jc w:val="right"/>
            </w:pPr>
            <w:r>
              <w:t xml:space="preserve">3.5x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0.0020</w:t>
            </w:r>
          </w:p>
        </w:tc>
        <w:tc>
          <w:tcPr/>
          <w:p>
            <w:pPr>
              <w:pStyle w:val="Compact"/>
            </w:pPr>
            <w:r>
              <w:t xml:space="preserve">[0.0003, 0.0097]</w:t>
            </w:r>
          </w:p>
        </w:tc>
        <w:tc>
          <w:tcPr/>
          <w:p>
            <w:pPr>
              <w:pStyle w:val="Compact"/>
              <w:jc w:val="right"/>
            </w:pPr>
            <w:r>
              <w:t xml:space="preserve">3.2x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0.0015</w:t>
            </w:r>
          </w:p>
        </w:tc>
        <w:tc>
          <w:tcPr/>
          <w:p>
            <w:pPr>
              <w:pStyle w:val="Compact"/>
            </w:pPr>
            <w:r>
              <w:t xml:space="preserve">[0.0002, 0.0087]</w:t>
            </w:r>
          </w:p>
        </w:tc>
        <w:tc>
          <w:tcPr/>
          <w:p>
            <w:pPr>
              <w:pStyle w:val="Compact"/>
              <w:jc w:val="right"/>
            </w:pPr>
            <w:r>
              <w:t xml:space="preserve">4.1x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0.0015</w:t>
            </w:r>
          </w:p>
        </w:tc>
        <w:tc>
          <w:tcPr/>
          <w:p>
            <w:pPr>
              <w:pStyle w:val="Compact"/>
            </w:pPr>
            <w:r>
              <w:t xml:space="preserve">[0.0002, 0.0116]</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0.0016</w:t>
            </w:r>
          </w:p>
        </w:tc>
        <w:tc>
          <w:tcPr/>
          <w:p>
            <w:pPr>
              <w:pStyle w:val="Compact"/>
            </w:pPr>
            <w:r>
              <w:t xml:space="preserve">[0.0002, 0.0090]</w:t>
            </w:r>
          </w:p>
        </w:tc>
        <w:tc>
          <w:tcPr/>
          <w:p>
            <w:pPr>
              <w:pStyle w:val="Compact"/>
              <w:jc w:val="right"/>
            </w:pPr>
            <w:r>
              <w:t xml:space="preserve">3.9x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0.0016</w:t>
            </w:r>
          </w:p>
        </w:tc>
        <w:tc>
          <w:tcPr/>
          <w:p>
            <w:pPr>
              <w:pStyle w:val="Compact"/>
            </w:pPr>
            <w:r>
              <w:t xml:space="preserve">[0.0002, 0.0095]</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0.0017</w:t>
            </w:r>
          </w:p>
        </w:tc>
        <w:tc>
          <w:tcPr/>
          <w:p>
            <w:pPr>
              <w:pStyle w:val="Compact"/>
            </w:pPr>
            <w:r>
              <w:t xml:space="preserve">[0.0003, 0.0098]</w:t>
            </w:r>
          </w:p>
        </w:tc>
        <w:tc>
          <w:tcPr/>
          <w:p>
            <w:pPr>
              <w:pStyle w:val="Compact"/>
              <w:jc w:val="right"/>
            </w:pPr>
            <w:r>
              <w:t xml:space="preserve">3.7x</w:t>
            </w:r>
          </w:p>
        </w:tc>
        <w:tc>
          <w:tcPr/>
          <w:p>
            <w:pPr>
              <w:pStyle w:val="Compact"/>
              <w:jc w:val="center"/>
            </w:pPr>
            <w:r>
              <w:t xml:space="preserve">broken</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0.0016</w:t>
            </w:r>
          </w:p>
        </w:tc>
        <w:tc>
          <w:tcPr/>
          <w:p>
            <w:pPr>
              <w:pStyle w:val="Compact"/>
            </w:pPr>
            <w:r>
              <w:t xml:space="preserve">[0.0002, 0.0096]</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0.0031</w:t>
            </w:r>
          </w:p>
        </w:tc>
        <w:tc>
          <w:tcPr/>
          <w:p>
            <w:pPr>
              <w:pStyle w:val="Compact"/>
            </w:pPr>
            <w:r>
              <w:t xml:space="preserve">[0.0003, 0.1924]</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0.18</w:t>
            </w:r>
          </w:p>
        </w:tc>
        <w:tc>
          <w:tcPr/>
          <w:p>
            <w:pPr>
              <w:pStyle w:val="Compact"/>
              <w:jc w:val="right"/>
            </w:pPr>
            <w:r>
              <w:t xml:space="preserve">0.0042</w:t>
            </w:r>
          </w:p>
        </w:tc>
        <w:tc>
          <w:tcPr/>
          <w:p>
            <w:pPr>
              <w:pStyle w:val="Compact"/>
            </w:pPr>
            <w:r>
              <w:t xml:space="preserve">[0.0003, 0.2022]</w:t>
            </w:r>
          </w:p>
        </w:tc>
        <w:tc>
          <w:tcPr/>
          <w:p>
            <w:pPr>
              <w:pStyle w:val="Compact"/>
              <w:jc w:val="right"/>
            </w:pPr>
            <w:r>
              <w:t xml:space="preserve">1.5x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0.0054</w:t>
            </w:r>
          </w:p>
        </w:tc>
        <w:tc>
          <w:tcPr/>
          <w:p>
            <w:pPr>
              <w:pStyle w:val="Compact"/>
            </w:pPr>
            <w:r>
              <w:t xml:space="preserve">[0.0003, 0.2068]</w:t>
            </w:r>
          </w:p>
        </w:tc>
        <w:tc>
          <w:tcPr/>
          <w:p>
            <w:pPr>
              <w:pStyle w:val="Compact"/>
              <w:jc w:val="right"/>
            </w:pPr>
            <w:r>
              <w:t xml:space="preserve">1.2x</w:t>
            </w:r>
          </w:p>
        </w:tc>
        <w:tc>
          <w:tcPr/>
          <w:p>
            <w:pPr>
              <w:pStyle w:val="Compact"/>
              <w:jc w:val="center"/>
            </w:pPr>
            <w:r>
              <w:t xml:space="preserve">matched</w:t>
            </w:r>
          </w:p>
        </w:tc>
      </w:tr>
      <w:tr>
        <w:tc>
          <w:tcPr/>
          <w:p>
            <w:pPr>
              <w:pStyle w:val="Compact"/>
            </w:pPr>
            <w:r>
              <w:t xml:space="preserve">boundary strength 0.22</w:t>
            </w:r>
          </w:p>
        </w:tc>
        <w:tc>
          <w:tcPr/>
          <w:p>
            <w:pPr>
              <w:pStyle w:val="Compact"/>
              <w:jc w:val="right"/>
            </w:pPr>
            <w:r>
              <w:t xml:space="preserve">0.0071</w:t>
            </w:r>
          </w:p>
        </w:tc>
        <w:tc>
          <w:tcPr/>
          <w:p>
            <w:pPr>
              <w:pStyle w:val="Compact"/>
            </w:pPr>
            <w:r>
              <w:t xml:space="preserve">[0.0004, 0.2085]</w:t>
            </w:r>
          </w:p>
        </w:tc>
        <w:tc>
          <w:tcPr/>
          <w:p>
            <w:pPr>
              <w:pStyle w:val="Compact"/>
              <w:jc w:val="right"/>
            </w:pPr>
            <w:r>
              <w:t xml:space="preserve">0.9x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0.0106</w:t>
            </w:r>
          </w:p>
        </w:tc>
        <w:tc>
          <w:tcPr/>
          <w:p>
            <w:pPr>
              <w:pStyle w:val="Compact"/>
            </w:pPr>
            <w:r>
              <w:t xml:space="preserve">[0.0004, 0.2245]</w:t>
            </w:r>
          </w:p>
        </w:tc>
        <w:tc>
          <w:tcPr/>
          <w:p>
            <w:pPr>
              <w:pStyle w:val="Compact"/>
              <w:jc w:val="right"/>
            </w:pPr>
            <w:r>
              <w:t xml:space="preserve">0.6x</w:t>
            </w:r>
          </w:p>
        </w:tc>
        <w:tc>
          <w:tcPr/>
          <w:p>
            <w:pPr>
              <w:pStyle w:val="Compact"/>
              <w:jc w:val="center"/>
            </w:pPr>
            <w:r>
              <w:t xml:space="preserve">matched</w:t>
            </w:r>
          </w:p>
        </w:tc>
      </w:tr>
      <w:tr>
        <w:tc>
          <w:tcPr/>
          <w:p>
            <w:pPr>
              <w:pStyle w:val="Compact"/>
            </w:pPr>
            <w:r>
              <w:t xml:space="preserve">boundary strength 0.28</w:t>
            </w:r>
          </w:p>
        </w:tc>
        <w:tc>
          <w:tcPr/>
          <w:p>
            <w:pPr>
              <w:pStyle w:val="Compact"/>
              <w:jc w:val="right"/>
            </w:pPr>
            <w:r>
              <w:t xml:space="preserve">0.0527</w:t>
            </w:r>
          </w:p>
        </w:tc>
        <w:tc>
          <w:tcPr/>
          <w:p>
            <w:pPr>
              <w:pStyle w:val="Compact"/>
            </w:pPr>
            <w:r>
              <w:t xml:space="preserve">[0.0004, 0.2322]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0.0608</w:t>
            </w:r>
          </w:p>
        </w:tc>
        <w:tc>
          <w:tcPr/>
          <w:p>
            <w:pPr>
              <w:pStyle w:val="Compact"/>
            </w:pPr>
            <w:r>
              <w:t xml:space="preserve">[0.0004, 0.2292]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0.35</w:t>
            </w:r>
          </w:p>
        </w:tc>
        <w:tc>
          <w:tcPr/>
          <w:p>
            <w:pPr>
              <w:pStyle w:val="Compact"/>
              <w:jc w:val="right"/>
            </w:pPr>
            <w:r>
              <w:t xml:space="preserve">0.0727</w:t>
            </w:r>
          </w:p>
        </w:tc>
        <w:tc>
          <w:tcPr/>
          <w:p>
            <w:pPr>
              <w:pStyle w:val="Compact"/>
            </w:pPr>
            <w:r>
              <w:t xml:space="preserve">[0.0006, 0.2330]</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0.0861</w:t>
            </w:r>
          </w:p>
        </w:tc>
        <w:tc>
          <w:tcPr/>
          <w:p>
            <w:pPr>
              <w:pStyle w:val="Compact"/>
            </w:pPr>
            <w:r>
              <w:t xml:space="preserve">[0.0007, 0.2333]</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 (250 realizations)</w:t>
            </w:r>
          </w:p>
        </w:tc>
        <w:tc>
          <w:tcPr/>
          <w:p>
            <w:pPr>
              <w:pStyle w:val="Compact"/>
              <w:jc w:val="right"/>
            </w:pPr>
            <w:r>
              <w:t xml:space="preserve">0.1669</w:t>
            </w:r>
          </w:p>
        </w:tc>
        <w:tc>
          <w:tcPr/>
          <w:p>
            <w:pPr>
              <w:pStyle w:val="Compact"/>
            </w:pPr>
            <w:r>
              <w:t xml:space="preserve">[0.0070, 0.2360]</w:t>
            </w:r>
          </w:p>
        </w:tc>
        <w:tc>
          <w:tcPr/>
          <w:p>
            <w:pPr>
              <w:pStyle w:val="Compact"/>
              <w:jc w:val="right"/>
            </w:pPr>
            <w:r>
              <w:t xml:space="preserve">0.0x</w:t>
            </w:r>
          </w:p>
        </w:tc>
        <w:tc>
          <w:tcPr/>
          <w:p>
            <w:pPr>
              <w:pStyle w:val="Compact"/>
              <w:jc w:val="center"/>
            </w:pPr>
            <w:r>
              <w:t xml:space="preserve">broken</w:t>
            </w:r>
          </w:p>
        </w:tc>
      </w:tr>
      <w:tr>
        <w:tc>
          <w:tcPr/>
          <w:p>
            <w:pPr>
              <w:pStyle w:val="Compact"/>
            </w:pPr>
            <w:r>
              <w:t xml:space="preserve">boundary strength 1.0 (250 realizations)</w:t>
            </w:r>
          </w:p>
        </w:tc>
        <w:tc>
          <w:tcPr/>
          <w:p>
            <w:pPr>
              <w:pStyle w:val="Compact"/>
              <w:jc w:val="right"/>
            </w:pPr>
            <w:r>
              <w:t xml:space="preserve">0.1984</w:t>
            </w:r>
          </w:p>
        </w:tc>
        <w:tc>
          <w:tcPr/>
          <w:p>
            <w:pPr>
              <w:pStyle w:val="Compact"/>
            </w:pPr>
            <w:r>
              <w:t xml:space="preserve">[0.0565, 0.2469]</w:t>
            </w:r>
          </w:p>
        </w:tc>
        <w:tc>
          <w:tcPr/>
          <w:p>
            <w:pPr>
              <w:pStyle w:val="Compact"/>
              <w:jc w:val="right"/>
            </w:pPr>
            <w:r>
              <w:t xml:space="preserve">0.0x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3.2 but breaks the diversity match; the best diversity-matched setting, a power-law decay at 12 km, reaches 3.1. No metric, length or decay shape moves the median by more than a few ten-thousandths on this set. A power-law decay, with its heavier tail, is worse everywhere.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strengths 0.2 to 0.22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2"/>
    <w:bookmarkStart w:id="137"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concentrated near neutral, with mean</w:t>
      </w:r>
      <w:r>
        <w:t xml:space="preserve"> </w:t>
      </w:r>
      <m:oMath>
        <m:r>
          <m:t>b</m:t>
        </m:r>
        <m:r>
          <m:rPr>
            <m:sty m:val="p"/>
          </m:rPr>
          <m:t>=</m:t>
        </m:r>
        <m:r>
          <m:rPr>
            <m:sty m:val="p"/>
          </m:rPr>
          <m:t>+</m:t>
        </m:r>
        <m:r>
          <m:t>0.003</m:t>
        </m:r>
      </m:oMath>
      <w:r>
        <w:t xml:space="preserve"> </w:t>
      </w:r>
      <w:r>
        <w:t xml:space="preserve">and a 95 percent interval of</w:t>
      </w:r>
      <w:r>
        <w:t xml:space="preserve"> </w:t>
      </w:r>
      <m:oMath>
        <m:r>
          <m:rPr>
            <m:sty m:val="p"/>
          </m:rPr>
          <m:t>−</m:t>
        </m:r>
        <m:r>
          <m:t>0.035</m:t>
        </m:r>
      </m:oMath>
      <w:r>
        <w:t xml:space="preserve"> </w:t>
      </w:r>
      <w:r>
        <w:t xml:space="preserve">to</w:t>
      </w:r>
      <w:r>
        <w:t xml:space="preserve"> </w:t>
      </w:r>
      <m:oMath>
        <m:r>
          <m:rPr>
            <m:sty m:val="p"/>
          </m:rPr>
          <m:t>+</m:t>
        </m:r>
        <m:r>
          <m:t>0.039</m:t>
        </m:r>
      </m:oMath>
      <w:r>
        <w:t xml:space="preserve"> </w:t>
      </w:r>
      <w:r>
        <w:t xml:space="preserve">that includes zero in the primary run, and means of</w:t>
      </w:r>
      <w:r>
        <w:t xml:space="preserve"> </w:t>
      </w:r>
      <m:oMath>
        <m:r>
          <m:rPr>
            <m:sty m:val="p"/>
          </m:rPr>
          <m:t>+</m:t>
        </m:r>
        <m:r>
          <m:t>0.001</m:t>
        </m:r>
      </m:oMath>
      <w:r>
        <w:t xml:space="preserve"> </w:t>
      </w:r>
      <w:r>
        <w:t xml:space="preserve">to</w:t>
      </w:r>
      <w:r>
        <w:t xml:space="preserve"> </w:t>
      </w:r>
      <m:oMath>
        <m:r>
          <m:rPr>
            <m:sty m:val="p"/>
          </m:rPr>
          <m:t>+</m:t>
        </m:r>
        <m:r>
          <m:t>0.004</m:t>
        </m:r>
      </m:oMath>
      <w:r>
        <w:t xml:space="preserve"> </w:t>
      </w:r>
      <w:r>
        <w:t xml:space="preserve">across five independent runs of the sampler (Figure S5A). The posterior standard deviation is 0.017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primary run, and across the five runs it ranges from 0.53 to 0.63,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0.088, p = 0.086,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0.019</m:t>
        </m:r>
      </m:oMath>
      <w:r>
        <w:t xml:space="preserve">, 95 percent interval</w:t>
      </w:r>
      <w:r>
        <w:t xml:space="preserve"> </w:t>
      </w:r>
      <m:oMath>
        <m:r>
          <m:rPr>
            <m:sty m:val="p"/>
          </m:rPr>
          <m:t>−</m:t>
        </m:r>
        <m:r>
          <m:t>0.062</m:t>
        </m:r>
      </m:oMath>
      <w:r>
        <w:t xml:space="preserve"> </w:t>
      </w:r>
      <w:r>
        <w:t xml:space="preserve">to</w:t>
      </w:r>
      <w:r>
        <w:t xml:space="preserve"> </w:t>
      </w:r>
      <m:oMath>
        <m:r>
          <m:rPr>
            <m:sty m:val="p"/>
          </m:rPr>
          <m:t>+</m:t>
        </m:r>
        <m:r>
          <m:t>0.054</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runs from 0.666 in the earliest bin through 0.734 to 0.460 in the latest, falling over the later half of the sequence. The mean-reversion rate has a posterior median of 0.78 with a 95 percent credible interval of 0.05 to 11.1, spanning the unbiased and stasis limits and so unresolved. The directional drift leans negative but is not resolved, with a median of -0.062 and an interval of -0.164 to +0.029, with P(drift &gt; 0) = 0.063. On the matrix used in an earlier draft, which counted one class twice, the drift was resolved and negative; on the corrected counts the interval reaches zero, and the decline is a tendency of the sequence rather than an established feature of it. Either way it is not a departure from neutrality. Drift in a finite population loses variants, and the posterior predictive check above, which draws its effective population size and innovation rate from the transmission posterior rather than fixing them, reproduces the observed trajectory in all six bins. What the two results say jointly is that diversity tends to decline, and that a neutral process of the estimated size and innovation rate is sufficient to produce that tendency.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4016"/>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8, interval 0.05 to 11.1, spanning the unbiased-walk and stasis limits). The directional drift leans negative but its interval reaches zero (median -0.062, interval -0.164 to +0.029)."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57401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0.78, interval 0.05 to 11.1, spanning the unbiased-walk and stasis limits). The directional drift leans negative but its interval reaches zero (median -0.062, interval -0.164 to +0.029).</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6"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6"/>
    <w:bookmarkEnd w:id="137"/>
    <w:bookmarkStart w:id="138"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Three of the 28 assemblages carry a phase this study derived by territory, which is a geographic rule. Scoring geography against those labels would be scoring geography against itself, so every value quoted in the main text is computed on the 25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280 cells in the basin matrix, 105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by a quarter of the index’s range.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8"/>
    <w:bookmarkStart w:id="139" w:name="the-replication-on-mainforts-2003-table"/>
    <w:p>
      <w:pPr>
        <w:pStyle w:val="Heading2"/>
      </w:pPr>
      <w:r>
        <w:t xml:space="preserve">The replication on Mainfort’s (2003) table</w:t>
      </w:r>
    </w:p>
    <w:p>
      <w:pPr>
        <w:pStyle w:val="FirstParagraph"/>
      </w:pPr>
      <w:r>
        <w:t xml:space="preserve">Mainfort’s Table 1 gives counts of ten decorated types for 39 sites of 800 or more sherds in all. His ten types map onto the analysis classes as follows: Barton Incised and Kent Incised pool into the class that also holds Mound Place Incised, and Old Town Red and Nodena Red and White into the painted class; he does not tally Wallace Incised or Hull Engraved, which are carried as zeros so the class vocabulary matches the primary analysis. Coordinates come from his own site list where it has them (34 sites), from this project’s assemblage file for four, and from the settlement compilation for Sweat; each row of</w:t>
      </w:r>
      <w:r>
        <w:t xml:space="preserve"> </w:t>
      </w:r>
      <w:r>
        <w:rPr>
          <w:rStyle w:val="VerbatimChar"/>
        </w:rPr>
        <w:t xml:space="preserve">data/processed/mainfort2003_sites.csv</w:t>
      </w:r>
      <w:r>
        <w:t xml:space="preserve"> </w:t>
      </w:r>
      <w:r>
        <w:t xml:space="preserve">names its source. The analysis uses decorated types only and sites with at least 100 decorated sherds, stricter than the primary analysis’s 75 because a replication should not be the looser test; nine of his 39 sites fall under it, and Tipton’s one survivor,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with his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(ARI, median over 40 initializations)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0.514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0.605</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partitions carrying his group sizes with seeds placed at random, median 0.0274, it sits at the 100th percentile; against 1,000 drawn to be spatially compact, median 0.0285, at the 99th. The compactness search returned his partition in none of 1,000 restarts.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centroid. Two caveats govern the reading. His counts equal the survey’s at 11 of the 21 shared sites and exceed them at ten, so for those sites this is a second sampling of the same collections; only the western Tennessee sites, from Tennessee Division of Archaeology collections, are material the survey never had. And the drift comparison is not repeated, because the model is calibrated to the primary matrix and recalibrating it to his would be a separate study.</w:t>
      </w:r>
    </w:p>
    <w:bookmarkEnd w:id="139"/>
    <w:bookmarkStart w:id="1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41" name="Picture"/>
            <a:graphic>
              <a:graphicData uri="http://schemas.openxmlformats.org/drawingml/2006/picture">
                <pic:pic>
                  <pic:nvPicPr>
                    <pic:cNvPr descr="../../figures/figS6_chronology.png" id="142" name="Picture"/>
                    <pic:cNvPicPr>
                      <a:picLocks noChangeArrowheads="1" noChangeAspect="1"/>
                    </pic:cNvPicPr>
                  </pic:nvPicPr>
                  <pic:blipFill>
                    <a:blip r:embed="rId140"/>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3"/>
    <w:bookmarkStart w:id="155"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4"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and at the matched combination most favorable to drift (120 learners, innovation 0.012, mixing 0.005, great-circle distance) the observed</w:t>
      </w:r>
      <w:r>
        <w:t xml:space="preserve"> </w:t>
      </w:r>
      <m:oMath>
        <m:sSub>
          <m:e>
            <m:r>
              <m:t>F</m:t>
            </m:r>
          </m:e>
          <m:sub>
            <m:r>
              <m:t>S</m:t>
            </m:r>
            <m:r>
              <m:t>T</m:t>
            </m:r>
          </m:sub>
        </m:sSub>
      </m:oMath>
      <w:r>
        <w:t xml:space="preserve"> </w:t>
      </w:r>
      <w:r>
        <w:t xml:space="preserve">lies above the drift interval of 0.004 to 0.032 (median 0.012), reached by 2.4 percent of simulated datasets, 2.2 percent reversed and 4.2 percent contemporaneous. Uniform innovation fits at no combination and overpredicts the differentiation several-fold at its nearest one (median 0.083). The bounded-groups process at multiplier 0.03 leaves the median at 0.013 and brackets the observation only through its upper tail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4"/>
    <w:bookmarkStart w:id="145"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5"/>
    <w:bookmarkStart w:id="146"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gradually and predictably. From a permuted fraction of 0 to 0.3 the median</w:t>
      </w:r>
      <w:r>
        <w:t xml:space="preserve"> </w:t>
      </w:r>
      <m:oMath>
        <m:sSub>
          <m:e>
            <m:r>
              <m:t>F</m:t>
            </m:r>
          </m:e>
          <m:sub>
            <m:r>
              <m:t>S</m:t>
            </m:r>
            <m:r>
              <m:t>T</m:t>
            </m:r>
          </m:sub>
        </m:sSub>
      </m:oMath>
      <w:r>
        <w:t xml:space="preserve"> </w:t>
      </w:r>
      <w:r>
        <w:t xml:space="preserve">rises from 0.003 to 0.019, reaching the observed 0.018, while the diversity misfit falls from 9.9 to 3.7 percent before returning to 7.7. On the southeast-Missouri set the same change does not behave gradually. Its median barely moves while its upper tail becomes extremely large. At a permuted fraction of 0.11 the 97.5th percentile is 22 times the median, against 5 times in the basin, and pooled diversity</w:t>
      </w:r>
      <w:r>
        <w:t xml:space="preserve"> </w:t>
      </w:r>
      <m:oMath>
        <m:sSub>
          <m:e>
            <m:r>
              <m:t>H</m:t>
            </m:r>
          </m:e>
          <m:sub>
            <m:r>
              <m:t>T</m:t>
            </m:r>
          </m:sub>
        </m:sSub>
      </m:oMath>
      <w:r>
        <w:t xml:space="preserve"> </w:t>
      </w:r>
      <w:r>
        <w:t xml:space="preserve">is the summary that breaks at every step. Refining the grid to steps of 0.01 across 0.10 to 0.15 confirms that no combination both reaches the observed 0.034 and holds the diversity match. The median climbs only from 0.019 to 0.030 while the misfit rises from 8.3 to 17.0 percent.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6"/>
    <w:bookmarkStart w:id="147"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7"/>
    <w:bookmarkStart w:id="154"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9" name="Picture"/>
            <a:graphic>
              <a:graphicData uri="http://schemas.openxmlformats.org/drawingml/2006/picture">
                <pic:pic>
                  <pic:nvPicPr>
                    <pic:cNvPr descr="../../figures/figS7_regional.png" id="150" name="Picture"/>
                    <pic:cNvPicPr>
                      <a:picLocks noChangeArrowheads="1" noChangeAspect="1"/>
                    </pic:cNvPicPr>
                  </pic:nvPicPr>
                  <pic:blipFill>
                    <a:blip r:embed="rId148"/>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691584"/>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2" name="Picture"/>
            <a:graphic>
              <a:graphicData uri="http://schemas.openxmlformats.org/drawingml/2006/picture">
                <pic:pic>
                  <pic:nvPicPr>
                    <pic:cNvPr descr="../../figures/figS8_within_region.png" id="153" name="Picture"/>
                    <pic:cNvPicPr>
                      <a:picLocks noChangeArrowheads="1" noChangeAspect="1"/>
                    </pic:cNvPicPr>
                  </pic:nvPicPr>
                  <pic:blipFill>
                    <a:blip r:embed="rId151"/>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4"/>
    <w:bookmarkEnd w:id="155"/>
    <w:bookmarkStart w:id="213" w:name="references"/>
    <w:p>
      <w:pPr>
        <w:pStyle w:val="Heading2"/>
      </w:pPr>
      <w:r>
        <w:t xml:space="preserve">References</w:t>
      </w:r>
    </w:p>
    <w:bookmarkStart w:id="212" w:name="refs"/>
    <w:bookmarkStart w:id="156"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6"/>
    <w:bookmarkStart w:id="15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7">
        <w:r>
          <w:rPr>
            <w:rStyle w:val="Hyperlink"/>
          </w:rPr>
          <w:t xml:space="preserve">https://doi.org/10.1073/pnas.0903232106</w:t>
        </w:r>
      </w:hyperlink>
      <w:r>
        <w:t xml:space="preserve">.</w:t>
      </w:r>
    </w:p>
    <w:bookmarkEnd w:id="158"/>
    <w:bookmarkStart w:id="16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9">
        <w:r>
          <w:rPr>
            <w:rStyle w:val="Hyperlink"/>
          </w:rPr>
          <w:t xml:space="preserve">https://doi.org/10.1098/rspb.2004.2746</w:t>
        </w:r>
      </w:hyperlink>
      <w:r>
        <w:t xml:space="preserve">.</w:t>
      </w:r>
    </w:p>
    <w:bookmarkEnd w:id="160"/>
    <w:bookmarkStart w:id="16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1">
        <w:r>
          <w:rPr>
            <w:rStyle w:val="Hyperlink"/>
          </w:rPr>
          <w:t xml:space="preserve">https://doi.org/10.1057/s41599-019-0295-9</w:t>
        </w:r>
      </w:hyperlink>
      <w:r>
        <w:t xml:space="preserve">.</w:t>
      </w:r>
    </w:p>
    <w:bookmarkEnd w:id="162"/>
    <w:bookmarkStart w:id="163"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3"/>
    <w:bookmarkStart w:id="165"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4">
        <w:r>
          <w:rPr>
            <w:rStyle w:val="Hyperlink"/>
          </w:rPr>
          <w:t xml:space="preserve">https://doi.org/10.1016/j.jas.2014.07.014</w:t>
        </w:r>
      </w:hyperlink>
      <w:r>
        <w:t xml:space="preserve">.</w:t>
      </w:r>
    </w:p>
    <w:bookmarkEnd w:id="165"/>
    <w:bookmarkStart w:id="1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6">
        <w:r>
          <w:rPr>
            <w:rStyle w:val="Hyperlink"/>
          </w:rPr>
          <w:t xml:space="preserve">https://doi.org/10.1038/srep39122</w:t>
        </w:r>
      </w:hyperlink>
      <w:r>
        <w:t xml:space="preserve">.</w:t>
      </w:r>
    </w:p>
    <w:bookmarkEnd w:id="167"/>
    <w:bookmarkStart w:id="1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8">
        <w:r>
          <w:rPr>
            <w:rStyle w:val="Hyperlink"/>
          </w:rPr>
          <w:t xml:space="preserve">https://doi.org/10.1371/journal.pone.0041010</w:t>
        </w:r>
      </w:hyperlink>
      <w:r>
        <w:t xml:space="preserve">.</w:t>
      </w:r>
    </w:p>
    <w:bookmarkEnd w:id="169"/>
    <w:bookmarkStart w:id="171"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0">
        <w:r>
          <w:rPr>
            <w:rStyle w:val="Hyperlink"/>
          </w:rPr>
          <w:t xml:space="preserve">https://doi.org/10.2307/278341</w:t>
        </w:r>
      </w:hyperlink>
      <w:r>
        <w:t xml:space="preserve">.</w:t>
      </w:r>
    </w:p>
    <w:bookmarkEnd w:id="171"/>
    <w:bookmarkStart w:id="17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2"/>
    <w:bookmarkStart w:id="17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3">
        <w:r>
          <w:rPr>
            <w:rStyle w:val="Hyperlink"/>
          </w:rPr>
          <w:t xml:space="preserve">https://doi.org/10.1534/genetics.113.158220</w:t>
        </w:r>
      </w:hyperlink>
      <w:r>
        <w:t xml:space="preserve">.</w:t>
      </w:r>
    </w:p>
    <w:bookmarkEnd w:id="174"/>
    <w:bookmarkStart w:id="1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5"/>
    <w:bookmarkStart w:id="17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6"/>
    <w:bookmarkStart w:id="17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7">
        <w:r>
          <w:rPr>
            <w:rStyle w:val="Hyperlink"/>
          </w:rPr>
          <w:t xml:space="preserve">https://doi.org/10.1525/aa.2001.103.4.992</w:t>
        </w:r>
      </w:hyperlink>
      <w:r>
        <w:t xml:space="preserve">.</w:t>
      </w:r>
    </w:p>
    <w:bookmarkEnd w:id="178"/>
    <w:bookmarkStart w:id="17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9"/>
    <w:bookmarkStart w:id="18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0">
        <w:r>
          <w:rPr>
            <w:rStyle w:val="Hyperlink"/>
          </w:rPr>
          <w:t xml:space="preserve">https://doi.org/10.1666/05070.1</w:t>
        </w:r>
      </w:hyperlink>
      <w:r>
        <w:t xml:space="preserve">.</w:t>
      </w:r>
    </w:p>
    <w:bookmarkEnd w:id="181"/>
    <w:bookmarkStart w:id="18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2">
        <w:r>
          <w:rPr>
            <w:rStyle w:val="Hyperlink"/>
          </w:rPr>
          <w:t xml:space="preserve">https://doi.org/10.1111/j.1558-5646.2007.00310.x</w:t>
        </w:r>
      </w:hyperlink>
      <w:r>
        <w:t xml:space="preserve">.</w:t>
      </w:r>
    </w:p>
    <w:bookmarkEnd w:id="183"/>
    <w:bookmarkStart w:id="18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4">
        <w:r>
          <w:rPr>
            <w:rStyle w:val="Hyperlink"/>
          </w:rPr>
          <w:t xml:space="preserve">https://doi.org/10.1016/j.jtbi.2013.03.006</w:t>
        </w:r>
      </w:hyperlink>
      <w:r>
        <w:t xml:space="preserve">.</w:t>
      </w:r>
    </w:p>
    <w:bookmarkEnd w:id="185"/>
    <w:bookmarkStart w:id="186"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6"/>
    <w:bookmarkStart w:id="18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7">
        <w:r>
          <w:rPr>
            <w:rStyle w:val="Hyperlink"/>
          </w:rPr>
          <w:t xml:space="preserve">https://doi.org/10.1371/journal.pone.0124942</w:t>
        </w:r>
      </w:hyperlink>
      <w:r>
        <w:t xml:space="preserve">.</w:t>
      </w:r>
    </w:p>
    <w:bookmarkEnd w:id="188"/>
    <w:bookmarkStart w:id="19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9">
        <w:r>
          <w:rPr>
            <w:rStyle w:val="Hyperlink"/>
          </w:rPr>
          <w:t xml:space="preserve">https://doi.org/10.1006/jaar.1997.0314</w:t>
        </w:r>
      </w:hyperlink>
      <w:r>
        <w:t xml:space="preserve">.</w:t>
      </w:r>
    </w:p>
    <w:bookmarkEnd w:id="190"/>
    <w:bookmarkStart w:id="191"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1"/>
    <w:bookmarkStart w:id="19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2"/>
    <w:bookmarkStart w:id="19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3"/>
    <w:bookmarkStart w:id="19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4"/>
    <w:bookmarkStart w:id="195"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5"/>
    <w:bookmarkStart w:id="19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6"/>
    <w:bookmarkStart w:id="19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0"/>
    <w:bookmarkStart w:id="20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1">
        <w:r>
          <w:rPr>
            <w:rStyle w:val="Hyperlink"/>
          </w:rPr>
          <w:t xml:space="preserve">https://doi.org/10.1038/nature08227</w:t>
        </w:r>
      </w:hyperlink>
      <w:r>
        <w:t xml:space="preserve">.</w:t>
      </w:r>
    </w:p>
    <w:bookmarkEnd w:id="202"/>
    <w:bookmarkStart w:id="20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3">
        <w:r>
          <w:rPr>
            <w:rStyle w:val="Hyperlink"/>
          </w:rPr>
          <w:t xml:space="preserve">https://doi.org/10.1016/j.jas.2007.01.003</w:t>
        </w:r>
      </w:hyperlink>
      <w:r>
        <w:t xml:space="preserve">.</w:t>
      </w:r>
    </w:p>
    <w:bookmarkEnd w:id="204"/>
    <w:bookmarkStart w:id="20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5">
        <w:r>
          <w:rPr>
            <w:rStyle w:val="Hyperlink"/>
          </w:rPr>
          <w:t xml:space="preserve">https://doi.org/10.1016/j.jas.2009.03.029</w:t>
        </w:r>
      </w:hyperlink>
      <w:r>
        <w:t xml:space="preserve">.</w:t>
      </w:r>
    </w:p>
    <w:bookmarkEnd w:id="206"/>
    <w:bookmarkStart w:id="207"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7"/>
    <w:bookmarkStart w:id="20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8"/>
    <w:bookmarkStart w:id="210"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9">
        <w:r>
          <w:rPr>
            <w:rStyle w:val="Hyperlink"/>
          </w:rPr>
          <w:t xml:space="preserve">https://doi.org/10.1098/rsif.2008.0172</w:t>
        </w:r>
      </w:hyperlink>
      <w:r>
        <w:t xml:space="preserve">.</w:t>
      </w:r>
    </w:p>
    <w:bookmarkEnd w:id="210"/>
    <w:bookmarkStart w:id="211" w:name="ref-williams_1954"/>
    <w:p>
      <w:pPr>
        <w:pStyle w:val="Bibliography"/>
      </w:pPr>
      <w:r>
        <w:t xml:space="preserve">Williams, Stephen. 1954. An Archeological Study of the Mississippian Culture in Southeast Missouri. PhD thesis, Yale University, New Haven.</w:t>
      </w:r>
    </w:p>
    <w:bookmarkEnd w:id="211"/>
    <w:bookmarkEnd w:id="212"/>
    <w:bookmarkEnd w:id="213"/>
    <w:bookmarkEnd w:id="21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2026-09-22T11:22:28Z</dcterms:created>
  <dcterms:modified xsi:type="dcterms:W3CDTF">2026-09-22T11:22:28Z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