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5.png" ContentType="image/png"/>
  <Override PartName="/word/media/rId39.png" ContentType="image/png"/>
  <Override PartName="/word/media/rId10.png" ContentType="image/png"/>
  <Override PartName="/word/media/rId19.png" ContentType="image/png"/>
  <Override PartName="/word/media/rId31.png" ContentType="image/png"/>
  <Override PartName="/word/media/rId27.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supplemental-material"/>
    <w:p>
      <w:pPr>
        <w:pStyle w:val="Heading1"/>
      </w:pPr>
      <w:r>
        <w:t xml:space="preserve">Supplemental Material</w:t>
      </w:r>
    </w:p>
    <w:p>
      <w:pPr>
        <w:pStyle w:val="FirstParagraph"/>
      </w:pPr>
      <w:r>
        <w:rPr>
          <w:b/>
          <w:bCs/>
        </w:rPr>
        <w:t xml:space="preserve">Are the phases real? Distinguishing bounded interaction groups from spatially structured drift in central Mississippi Valley decorated ceramics</w:t>
      </w:r>
    </w:p>
    <w:p>
      <w:pPr>
        <w:pStyle w:val="BodyText"/>
      </w:pPr>
      <w:r>
        <w:rPr>
          <w:b/>
          <w:bCs/>
        </w:rPr>
        <w:t xml:space="preserve">Carl P. Lipo, Robert J. DiNapoli, and Mark E. Madsen</w:t>
      </w:r>
    </w:p>
    <w:p>
      <w:pPr>
        <w:pStyle w:val="BodyText"/>
      </w:pPr>
      <w:r>
        <w:rPr>
          <w:i/>
          <w:iCs/>
        </w:rPr>
        <w:t xml:space="preserve">Supplement to the main text. Figure and section references to the main text (for example, Figure 4, Results, Discussion) point to the primary article. Citations resolve against references.bib.</w:t>
      </w:r>
    </w:p>
    <w:bookmarkStart w:id="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a proliferation of small, mutually non-co-seriable groups indicates a fragmented one. We report the number and maximum size of these groups and, for each assemblage, its group-membership count, which identifies the bridge assemblages that join otherwise incompatible orderings. The number of maximal groups is the continuous signature.</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rises as they come to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bootstrap confidence intervals.</w:t>
      </w:r>
    </w:p>
    <w:bookmarkEnd w:id="9"/>
    <w:bookmarkStart w:id="13"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w:t>
      </w:r>
      <w:r>
        <w:t xml:space="preserve"> </w:t>
      </w:r>
      <w:r>
        <w:t xml:space="preserve">(Henrich 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signaling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blind to its source, and recorded which registered as convergent, repeating this across 20 random seeds and computing the correlation matrix of the four signatures on the bounded-groups output to confirm that their joint movement is informative rather than an artifact of redundancy (Figure S4).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p>
      <w:pPr>
        <w:pStyle w:val="CaptionedFigure"/>
      </w:pPr>
      <w:r>
        <w:drawing>
          <wp:inline>
            <wp:extent cx="5334000" cy="4811808"/>
            <wp:effectExtent b="0" l="0" r="0" t="0"/>
            <wp:docPr descr="Figure S4. 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 title="" id="11" name="Picture"/>
            <a:graphic>
              <a:graphicData uri="http://schemas.openxmlformats.org/drawingml/2006/picture">
                <pic:pic>
                  <pic:nvPicPr>
                    <pic:cNvPr descr="../../figures/figS4_validation.png" id="12" name="Picture"/>
                    <pic:cNvPicPr>
                      <a:picLocks noChangeArrowheads="1" noChangeAspect="1"/>
                    </pic:cNvPicPr>
                  </pic:nvPicPr>
                  <pic:blipFill>
                    <a:blip r:embed="rId10"/>
                    <a:stretch>
                      <a:fillRect/>
                    </a:stretch>
                  </pic:blipFill>
                  <pic:spPr bwMode="auto">
                    <a:xfrm>
                      <a:off x="0" y="0"/>
                      <a:ext cx="5334000" cy="481180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Idealized criterion validation. Four-signature ordinal trajectories under each of the four generative mechanisms on large, clean synthetic assemblages. Only a bounded interaction group drives all four together (starred), and no mimic is flagged as convergent across 20 random seeds (the bounded-groups case flagged in 19 of 20, 95 percent interval 0.75 to 0.99, and no mimic flagged at all, 95 percent upper bound about 0.17). Inset: the signature-independence audit (mean absolute pairwise correlation among the four signatures), high under closure (about 0.88), and low under the mimics (about 0.2). This shows the convergence concept works on idealized data. Figure 4 shows what survives at the record’s resolution.</w:t>
      </w:r>
    </w:p>
    <w:bookmarkEnd w:id="13"/>
    <w:bookmarkStart w:id="17"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29 basin assemblages, we computed the homozygosity-based and richness-based estimates of the transmission parameter and their signed difference, and correlated each with assemblage size and with seriation position, following Neiman’s protocol for separating a transmission signal from a sample-size artifact. Several further checks support the Results. A forking-paths sensitivity grid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interassemblage-distance is computed with its diversity-distance relationship and divergence trajectory. The alternative basin definition, the stricter watershed rule, is evaluated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The Neiman interassemblage-distance result is shown in Figure S1.</w:t>
      </w:r>
    </w:p>
    <w:p>
      <w:pPr>
        <w:pStyle w:val="CaptionedFigure"/>
      </w:pPr>
      <w:r>
        <w:drawing>
          <wp:inline>
            <wp:extent cx="5334000" cy="2759675"/>
            <wp:effectExtent b="0" l="0" r="0" t="0"/>
            <wp:docPr descr="Figure S1. 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 title="" id="15" name="Picture"/>
            <a:graphic>
              <a:graphicData uri="http://schemas.openxmlformats.org/drawingml/2006/picture">
                <pic:pic>
                  <pic:nvPicPr>
                    <pic:cNvPr descr="../../figures/figS1_neiman.png" id="16" name="Picture"/>
                    <pic:cNvPicPr>
                      <a:picLocks noChangeArrowheads="1" noChangeAspect="1"/>
                    </pic:cNvPicPr>
                  </pic:nvPicPr>
                  <pic:blipFill>
                    <a:blip r:embed="rId14"/>
                    <a:stretch>
                      <a:fillRect/>
                    </a:stretch>
                  </pic:blipFill>
                  <pic:spPr bwMode="auto">
                    <a:xfrm>
                      <a:off x="0" y="0"/>
                      <a:ext cx="5334000" cy="2759675"/>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weak negative association (Spearman rho = -0.28, not significant) is directionally consistent with the drift signature Neiman (1995) reported at rho = -0.62, not with the positive relationship that bounded, assorting groups would produce. (B) Mean within-bin interassemblage distance along the CA seriation axis. Between-assemblage divergence does not grow toward contact (rho = +0.37, not significant).</w:t>
      </w:r>
    </w:p>
    <w:bookmarkEnd w:id="17"/>
    <w:bookmarkStart w:id="18" w:name="X1e1c56b7070e82b7ccff3b34d2f446c77d2b944"/>
    <w:p>
      <w:pPr>
        <w:pStyle w:val="Heading2"/>
      </w:pPr>
      <w:r>
        <w:t xml:space="preserve">The F_ST-led reduction is a property of the record, not the generator</w:t>
      </w:r>
    </w:p>
    <w:p>
      <w:pPr>
        <w:pStyle w:val="FirstParagraph"/>
      </w:pPr>
      <w:r>
        <w:t xml:space="preserve">The recovery experiment injects group closure as between-cluster divergence, which is what cultural F_ST measures, so one objection is that the experiment only certifies an F_ST test recovering an F_ST-shaped signal. We tested this by injecting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an injected signal even through the pathway each is designed for. Second, F_ST is not a clean spatial-divergence test but a near-omnibus one, responding to group structure, however it is organized. It recovers the spatial-divergence pathway strongly (mean trend rising from the null to +0.76 at strong injection) and also recovers the non-spatial social pathway (+0.77), because both ultimately raise between-group variance somewhere the partition can see it. The four signatures are therefore not four independent pathways, even in this diagnostic. The only one that registers an injected signal at this resolution is F_ST, and it does so however the underlying divergence is organized. The reduction to F_ST is a property of the record’s resolution, not an artifact of a generator whose injected closure is collinear with F_ST. That resolution is 29 time-averaged assemblages subsampled to a common count over ten aggregated classes. A subsampling-depth sweep (the weak signatures climb modestly with more sherds but remain well below F_ST) and a cluster-count sweep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8"/>
    <w:bookmarkStart w:id="22" w:name="X901292badd8b907c0b9a36349da4326a6d932c8"/>
    <w:p>
      <w:pPr>
        <w:pStyle w:val="Heading2"/>
      </w:pPr>
      <w:r>
        <w:t xml:space="preserve">Positive control: the basin matches neutral spatial drift</w:t>
      </w:r>
    </w:p>
    <w:p>
      <w:pPr>
        <w:pStyle w:val="FirstParagraph"/>
      </w:pPr>
      <w:r>
        <w:t xml:space="preserve">To test what process the basin’s structure matches, rather than only which process it fails to show, we simulated neutral cultural drift on the real coordinate layout of the 29 assemblages, following the finite-population network-drift model of Lipo, DiNapoli, Madsen, and Hunt</w:t>
      </w:r>
      <w:r>
        <w:t xml:space="preserve"> </w:t>
      </w:r>
      <w:r>
        <w:t xml:space="preserve">(2021)</w:t>
      </w:r>
      <w:r>
        <w:t xml:space="preserve">. Each assemblage is a node holding a finite population of learners that copies decorated-class variants within the node and, at a low rate, from other nodes with a probability that decays with geographic distance, with innovation and the record’s trailing-window time-averaging imposed. We compared this neutral model against a bounded-groups model in which interactions are concentrated within spatially contiguous groups, with only a small leak between them, both run on the same coordinates and subsampled to the observed per-assemblage counts. We swept the interaction range (6, 12, and 24 km), the between-node mixing rate (0.02, 0.05, and 0.20), and the innovation rate (0.005, 0.01, and 0.02), in both snapshot and time-averaged form, at 100 seeds per cell, recording for each cell whether the four observed statistics fall inside the neutral null. Across the time-averaged sweep, the region that brackets all four at once is the low-mixing, sub-basin-range corner (24 km, mixing 0.02, innovation 0.01), as reported in Figure S5. At shorter ranges, drift over-produces the distance decay. At higher mixing, it underproduces the structure, so the all-four match holds only in a plausible but specific region of parameter space rather than across the whole parameter space. In every cell, the bounded-groups model overshoots the three structural statistics by roughly two to seven times relative to the observed values, so the contrast between drift, which can reproduce the data, and bounded groups, which cannot, is robust even where the all-four drift match is not. The control also demonstrates that the distance-controlled boundary excess, near zero under smooth deterministic isolation by distance, takes substantial positive values under stochastic neutral drift, so a positive boundary excess does not by itself distinguish a social boundary from drift on a finite network.</w:t>
      </w:r>
    </w:p>
    <w:p>
      <w:pPr>
        <w:pStyle w:val="CaptionedFigure"/>
      </w:pPr>
      <w:r>
        <w:drawing>
          <wp:inline>
            <wp:extent cx="5334000" cy="3619056"/>
            <wp:effectExtent b="0" l="0" r="0" t="0"/>
            <wp:docPr descr="Figure S5. 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 title="" id="20" name="Picture"/>
            <a:graphic>
              <a:graphicData uri="http://schemas.openxmlformats.org/drawingml/2006/picture">
                <pic:pic>
                  <pic:nvPicPr>
                    <pic:cNvPr descr="../../figures/figS5_drift_vs_groups.png" id="21" name="Picture"/>
                    <pic:cNvPicPr>
                      <a:picLocks noChangeArrowheads="1" noChangeAspect="1"/>
                    </pic:cNvPicPr>
                  </pic:nvPicPr>
                  <pic:blipFill>
                    <a:blip r:embed="rId19"/>
                    <a:stretch>
                      <a:fillRect/>
                    </a:stretch>
                  </pic:blipFill>
                  <pic:spPr bwMode="auto">
                    <a:xfrm>
                      <a:off x="0" y="0"/>
                      <a:ext cx="5334000" cy="3619056"/>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Spatial drift versus bounded groups on the basin geography. Top: the four observed signatures (vertical lines) against the null distributions produced by a neutral spatial-drift model (blue) and a bounded-groups model (orange) on the real coordinate layout, both time-averaged and subsampled to the observed counts. Observed values fall inside the drift distribution and far below the bounded-groups distribution for modularity, boundary excess, and cultural F_ST. Bottom: multidimensional scaling of decorated dissimilarity for the observed assemblages and one realization of each model, spatial drift reproducing the weak, spatially blurred structure while bounded groups produce a sharper split than the data show.</w:t>
      </w:r>
    </w:p>
    <w:bookmarkEnd w:id="22"/>
    <w:bookmarkStart w:id="26" w:name="the-time-aware-drift-simulation"/>
    <w:p>
      <w:pPr>
        <w:pStyle w:val="Heading2"/>
      </w:pPr>
      <w:r>
        <w:t xml:space="preserve">The time-aware drift simulation</w:t>
      </w:r>
    </w:p>
    <w:p>
      <w:pPr>
        <w:pStyle w:val="FirstParagraph"/>
      </w:pPr>
      <w:r>
        <w:t xml:space="preserve">The forward demonstrations in the main text (Figures 8 and 9) and the basin positive control (Figure S8) use the same neutral-drift model run on the real geography, distinct from the null-comparison of the positive control above. The model is run at two scales: on the 29 St. Francis basin assemblages for the positive control (Figure S8) and on all 55 Mainfort-PFG decorated assemblages of the wider lower Mississippi Valley for the region-wide group counts (Figure 8) and the Parkin pull-out (Figure 9). The model evolves a population of decorated-class variants at each assemblage location. Each location holds a fixed finite population of 120 learners. In each generation every learner copies the decorated class of another learner, drawn from its own location with high probability and, with probability 0.02, from another location chosen with a weight that decays exponentially with along-waterway (river-network) distance, described below, at a length scale of 24 river-km. With probability 0.012 a learner instead adopts a newly invented class, so the decorated repertoire turns over and new classes appear through time. That turnover is the source of the differential late-class frequencies that let assemblages be seriated. No interaction boundary is imposed anywhere, so any structure in the output is produced by river-network position and time alone. The engine is the finite-population network-drift model of Lipo, DiNapoli, Madsen, and Hunt</w:t>
      </w:r>
      <w:r>
        <w:t xml:space="preserve"> </w:t>
      </w:r>
      <w:r>
        <w:t xml:space="preserve">(2021)</w:t>
      </w:r>
      <w:r>
        <w:t xml:space="preserve">, here run forward with innovation switched on rather than set to zero to isolate structure.</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bridging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29 assemblages connect on the resulting network, the mean access distance from an assemblage to a mapped channel is 3.1 km, and along-water paths average about 2.3 times the straight-line distance. Substituting straight-line distance changes the results negligibly (between-group F_ST and community counts shift within sampling error), so the conclusions do not depend on the choice, but the river-network distance is the more faithful representation of how potters in the basin could interact. The same construction over all 55 lower-valley assemblages yields a single connected network for the wider-valley analyses (maximum access 19.6 km).</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The field is recorded at 90 evenly spaced time slices over 1,800 generations. Each synthetic assemblage is drawn from the slice that matches its observed seriation position, its rank on the first correspondence-analysis axis of the real data, and accumulated over a trailing window of eight slices so that, like a real death assemblage, it mixes production across its span. Each synthetic assemblage is then sampled to the observed sherd count of the corresponding real assemblage. The synthetic assemblages are treated exactly as the empirical ones: interaction communities by the same modularity partition, between-group cultural F_ST on the resulting groups, and a seriation order from a fresh correspondence analysis. A contemporaneous control, with every assemblage drawn from the final slice, is sampled the same way for comparison.</w:t>
      </w:r>
    </w:p>
    <w:p>
      <w:pPr>
        <w:pStyle w:val="BodyText"/>
      </w:pPr>
      <w:r>
        <w:t xml:space="preserve">For the basin positive control (Figure S8) we summarize 500 independent realizations at the positive-control corner (interaction length 24 river-km, between-node mixing 0.02, innovation 0.012). Because group labels are arbitrary and switch between runs, groupness is summarized by co-membership rather than by a single partition: for each assemblage, the fraction of the 500 runs in which it falls in the same drift-detected group as Parkin. This quantity is label-invariant, needs no alignment across runs, and expresses the contingency of any single solution as a probability surface. Figure S8A shows this for the contemporaneous snapshot, in which every assemblage is drawn from the same final time slice, so it isolates the spatial signal: co-membership with Parkin falls off with river distance. Under the full time-transgressive sampling that gradient disappears, because assemblages drawn at different seriation positions carry different repertoires and fall into different, time-defined groups. Membership then reflects space and time jointly, and a site’s nearest neighbors need not share its phase. Either way, no assemblage is a certain member or non-member, so the phase has no stable membership. Figure S7 repeats the experiment across a grid of the three governing parameters to show that the result does not depend on this corner. The same model applied to the wider 55-assemblage valley gives the region-wide group counts of Figure 8 and the Parkin pull-out of Figure 9.</w:t>
      </w:r>
    </w:p>
    <w:p>
      <w:pPr>
        <w:pStyle w:val="CaptionedFigure"/>
      </w:pPr>
      <w:r>
        <w:drawing>
          <wp:inline>
            <wp:extent cx="5334000" cy="4248345"/>
            <wp:effectExtent b="0" l="0" r="0" t="0"/>
            <wp:docPr descr="Figure S8. 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 “phase” 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 title="" id="24" name="Picture"/>
            <a:graphic>
              <a:graphicData uri="http://schemas.openxmlformats.org/drawingml/2006/picture">
                <pic:pic>
                  <pic:nvPicPr>
                    <pic:cNvPr descr="../../figures/figS8_emergent_phases.png" id="25" name="Picture"/>
                    <pic:cNvPicPr>
                      <a:picLocks noChangeArrowheads="1" noChangeAspect="1"/>
                    </pic:cNvPicPr>
                  </pic:nvPicPr>
                  <pic:blipFill>
                    <a:blip r:embed="rId23"/>
                    <a:stretch>
                      <a:fillRect/>
                    </a:stretch>
                  </pic:blipFill>
                  <pic:spPr bwMode="auto">
                    <a:xfrm>
                      <a:off x="0" y="0"/>
                      <a:ext cx="5334000" cy="4248345"/>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Basin positive control: phase-like structure generated by neutral drift on the 29 St. Francis basin assemblages, with no bounded group imposed, over 500 realizations. (A) Each assemblage shaded by the probability that it shares Parkin’s drift-detected group (star) under the contemporaneous snapshot that isolates the spatial signal; the probability falls off smoothly with river distance from Parkin (Spearman rho = -0.72), from about 0.70 nearby to 0.17 far away, so Parkin’s</w:t>
      </w:r>
      <w:r>
        <w:t xml:space="preserve"> </w:t>
      </w:r>
      <w:r>
        <w:t xml:space="preserve">“phase”</w:t>
      </w:r>
      <w:r>
        <w:t xml:space="preserve"> </w:t>
      </w:r>
      <w:r>
        <w:t xml:space="preserve">is a graded, probabilistic field rather than a bounded set. (B) Between-group cultural F_ST for the observed data (0.04) against contemporaneous and time-transgressive drift (medians with 95% intervals across the 500 runs); the observed value falls within the contemporaneous-drift interval, with 7.4% of drift runs reaching or exceeding it, so drift reproduces the observed level rather than the higher value a bounded group would leave.</w:t>
      </w:r>
    </w:p>
    <w:bookmarkEnd w:id="26"/>
    <w:bookmarkStart w:id="30" w:name="X6d476687f47a0d618599d6e92ccf5fe018c978b"/>
    <w:p>
      <w:pPr>
        <w:pStyle w:val="Heading2"/>
      </w:pPr>
      <w:r>
        <w:t xml:space="preserve">Robustness of the drift-generated structure</w:t>
      </w:r>
    </w:p>
    <w:p>
      <w:pPr>
        <w:pStyle w:val="FirstParagraph"/>
      </w:pPr>
      <w:r>
        <w:t xml:space="preserve">The positive control shows the observed structure falls inside the drift distribution. The wider-valley demonstration (Figure 8) goes further, generating phase-like structure from drift on the real geography, and we checked that this result is not contingent on a single stochastic draw or a tuned parameter set. We repeated the time-transgressive drift experiment across 432 runs spanning a grid of interaction length (12, 18, 24, and 36 river-km), between-node mixing (0.01, 0.02, and 0.05), and innovation rate (0.006, 0.012, and 0.024), with twelve seeds per cell (Figure S7). Two or more spatially coherent groups, the phase-like territories a culture historian would name, appear in every run. The between-group cultural F_ST sits at or below the observed value in 85 percent of runs and within a factor of two of it in 53 percent, short of the bounded-groups expectation throughout. F_ST is essentially flat across interaction length and declines with more mixing or more innovation, the expected behavior of a drift process, and the synthetic record re-seriates across the full grid (mean absolute Spearman correlation 0.44 between recovered and imposed order). The appearance of phase-like structure at the observed magnitude is therefore a generic outcome of distance-structured drift on this geography rather than a product of the chosen parameters.</w:t>
      </w:r>
    </w:p>
    <w:p>
      <w:pPr>
        <w:pStyle w:val="CaptionedFigure"/>
      </w:pPr>
      <w:r>
        <w:drawing>
          <wp:inline>
            <wp:extent cx="5334000" cy="4112375"/>
            <wp:effectExtent b="0" l="0" r="0" t="0"/>
            <wp:docPr descr="Figure S7. 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 title="" id="28" name="Picture"/>
            <a:graphic>
              <a:graphicData uri="http://schemas.openxmlformats.org/drawingml/2006/picture">
                <pic:pic>
                  <pic:nvPicPr>
                    <pic:cNvPr descr="../../figures/figS7_emergence_robustness.png" id="29" name="Picture"/>
                    <pic:cNvPicPr>
                      <a:picLocks noChangeArrowheads="1" noChangeAspect="1"/>
                    </pic:cNvPicPr>
                  </pic:nvPicPr>
                  <pic:blipFill>
                    <a:blip r:embed="rId27"/>
                    <a:stretch>
                      <a:fillRect/>
                    </a:stretch>
                  </pic:blipFill>
                  <pic:spPr bwMode="auto">
                    <a:xfrm>
                      <a:off x="0" y="0"/>
                      <a:ext cx="5334000" cy="4112375"/>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Robustness of phase-like grouping to contingency and model factors, across 432 time-transgressive runs (a grid of interaction length, between-node mixing, and innovation rate, twelve seeds per cell). (A) Between-group cultural F_ST by between-node mixing and (B) by innovation rate, boxes taken over all other factors and seeds. The observed value (dashed) is bracketed, and F_ST falls with both factors but never reaches the bounded-groups level. (C) Distribution of the number of drift-detected groups per run, with every run yielding two or more. (D) Distribution of seriation recovery, the absolute Spearman correlation between the recovered CA1 rank and the imposed time order, across runs (mean 0.44).</w:t>
      </w:r>
    </w:p>
    <w:bookmarkEnd w:id="30"/>
    <w:bookmarkStart w:id="34" w:name="X4b657c0117a02bedc64d2fce6fe36b11976cd64"/>
    <w:p>
      <w:pPr>
        <w:pStyle w:val="Heading2"/>
      </w:pPr>
      <w:r>
        <w:t xml:space="preserve">Regional extension: the central-valley and lower-valley assemblages</w:t>
      </w:r>
    </w:p>
    <w:p>
      <w:pPr>
        <w:pStyle w:val="FirstParagraph"/>
      </w:pPr>
      <w:r>
        <w:t xml:space="preserve">We extended the analysis to the southeast Missouri survey assemblages of Williams</w:t>
      </w:r>
      <w:r>
        <w:t xml:space="preserve"> </w:t>
      </w:r>
      <w:r>
        <w:t xml:space="preserve">(1954)</w:t>
      </w:r>
      <w:r>
        <w:t xml:space="preserve">, comprising 50 assemblages from 28 sites, digitized from the survey tables and georeferenced using the Lower Mississippi Survey grid. Within the central-valley regions, the decorated-ceramic differentiation is a Woodland-to-Mississippian composition gradient rather than a synchronic structure: a cultural F_ST of 0.11 across physiographic regions collapses to 0.04, near the drift level, once the analysis is restricted to Mississippian classes. Between the central and lower valleys, the Phillips-Ford-Griffin assemblages present a different picture. Combining the two into one north-south transect of 133 decorated assemblages, the decline of decorated similarity with distance is itself drift-consistent (Mantel r = -0.55, inside the spatial-drift null). Still, the distance-controlled boundary excess at the central-valley and lower-valley divide is +52 Brainerd-Robinson units, far outside the drift null. The two regions carry mutually exclusive, distinctive repertoires (northern Wickliffe, O’Byam, Matthews, Kimmswick, and Varney Red against southern Barton, Walls Engraved, Carson Red-on-Buff, Avenue Polychrome, and Leland), with even the shared classes differing in proportion. Restricting the comparison to classes present in both regions, which removes the mutually exclusive distinctive classes that carry the strongest temporal contrast, reduces the step but does not erase it: the boundary excess falls to +38 Brainerd-Robinson units. It remains above the neutral-drift null, so the boundary is not solely an artifact of distinctive-class turnover, although the shared classes themselves retain some temporal structure. The step is real but confounded by time, because the northern distinctive classes are early- to middle-Mississippian and the southern are late</w:t>
      </w:r>
      <w:r>
        <w:t xml:space="preserve"> </w:t>
      </w:r>
      <w:r>
        <w:t xml:space="preserve">(Phillips 1970; Williams 1954)</w:t>
      </w:r>
      <w:r>
        <w:t xml:space="preserve">, so it cannot be separated from a chronological succession without independent central-valley radiocarbon (Figure S6). It is further confounded by analytical history: the lower-valley assemblages were classified in the Phillips-Ford-Griffin tradition, and the central-valley assemblages were classified separately by Williams, so even shared class names may have been applied to different criteria. The shared-class restriction (boundary excess falling to +38 Brainerd-Robinson units but not vanishing) limits this artifact without removing it, leaving open the possibility that the interaction was continuous across the entire region and that the apparent boundary is a product of two separate assemblage and analysis histories.</w:t>
      </w:r>
    </w:p>
    <w:p>
      <w:pPr>
        <w:pStyle w:val="CaptionedFigure"/>
      </w:pPr>
      <w:r>
        <w:drawing>
          <wp:inline>
            <wp:extent cx="5334000" cy="3424782"/>
            <wp:effectExtent b="0" l="0" r="0" t="0"/>
            <wp:docPr descr="Figure S6. 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 title="" id="32" name="Picture"/>
            <a:graphic>
              <a:graphicData uri="http://schemas.openxmlformats.org/drawingml/2006/picture">
                <pic:pic>
                  <pic:nvPicPr>
                    <pic:cNvPr descr="../../figures/figS6_macro_transect.png" id="33" name="Picture"/>
                    <pic:cNvPicPr>
                      <a:picLocks noChangeArrowheads="1" noChangeAspect="1"/>
                    </pic:cNvPicPr>
                  </pic:nvPicPr>
                  <pic:blipFill>
                    <a:blip r:embed="rId31"/>
                    <a:stretch>
                      <a:fillRect/>
                    </a:stretch>
                  </pic:blipFill>
                  <pic:spPr bwMode="auto">
                    <a:xfrm>
                      <a:off x="0" y="0"/>
                      <a:ext cx="5334000" cy="3424782"/>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The central-valley and lower-valley transect. Left: the georeferenced decorated assemblages, central-valley (Williams 1954, blue) and lower-valley (Phillips-Ford-Griffin, orange), with the latitudinal gap between the blocks. Right: distance-decay of decorated Brainerd-Robinson similarity across the transect, within-region and between-region pairs distinguished. Similarity declines smoothly with distance as neutral drift predicts, but within-region pairs are markedly more similar than between-region pairs at matched distance, the step at the boundary.</w:t>
      </w:r>
    </w:p>
    <w:bookmarkEnd w:id="34"/>
    <w:bookmarkStart w:id="38"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underpowered probe is reported in the code for completeness. The two we rely on are dynamically and empirically sufficient at once, because each models the change between states while respecting the time-averaged resolution of the record.</w:t>
      </w:r>
    </w:p>
    <w:p>
      <w:pPr>
        <w:pStyle w:val="BodyText"/>
      </w:pPr>
      <w:r>
        <w:t xml:space="preserve">The first infers how potters were copying by simulation. We run many copying scenarios, ranging from strongly conformist to neutral to novelty-seeking, and keep only the ones that reproduce the real assemblages, then infer the kind of copying implied by the surviving scenarios,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the adoption weight of a class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drew 40,000 parameter sets from broad priors (innovation rate, bias</w:t>
      </w:r>
      <w:r>
        <w:t xml:space="preserve"> </w:t>
      </w:r>
      <m:oMath>
        <m:r>
          <m:t>b</m:t>
        </m:r>
      </m:oMath>
      <w:r>
        <w:t xml:space="preserve">, population size, and time-averaging window), simulated a six-bin sequence from each, and accepted the 400 parameter sets closest to the observed diversity trajectory and rank-frequency profile, ranked by Euclidean distance over the summary statistics. The posterior of the bias is tightly constrained near neutral, with mean</w:t>
      </w:r>
      <w:r>
        <w:t xml:space="preserve"> </w:t>
      </w:r>
      <m:oMath>
        <m:r>
          <m:t>b</m:t>
        </m:r>
        <m:r>
          <m:rPr>
            <m:sty m:val="p"/>
          </m:rPr>
          <m:t>=</m:t>
        </m:r>
        <m:r>
          <m:rPr>
            <m:sty m:val="p"/>
          </m:rPr>
          <m:t>+</m:t>
        </m:r>
        <m:r>
          <m:t>0.028</m:t>
        </m:r>
      </m:oMath>
      <w:r>
        <w:t xml:space="preserve"> </w:t>
      </w:r>
      <w:r>
        <w:t xml:space="preserve">and a 95 percent interval of</w:t>
      </w:r>
      <w:r>
        <w:t xml:space="preserve"> </w:t>
      </w:r>
      <m:oMath>
        <m:r>
          <m:rPr>
            <m:sty m:val="p"/>
          </m:rPr>
          <m:t>−</m:t>
        </m:r>
        <m:r>
          <m:t>0.021</m:t>
        </m:r>
      </m:oMath>
      <w:r>
        <w:t xml:space="preserve"> </w:t>
      </w:r>
      <w:r>
        <w:t xml:space="preserve">to</w:t>
      </w:r>
      <w:r>
        <w:t xml:space="preserve"> </w:t>
      </w:r>
      <m:oMath>
        <m:r>
          <m:rPr>
            <m:sty m:val="p"/>
          </m:rPr>
          <m:t>+</m:t>
        </m:r>
        <m:r>
          <m:t>0.063</m:t>
        </m:r>
      </m:oMath>
      <w:r>
        <w:t xml:space="preserve"> </w:t>
      </w:r>
      <w:r>
        <w:t xml:space="preserve">that includes zero (Figure S4A). The posterior standard deviation is 0.021 against a prior of 0.289, so the data appreciably constrain the bias rather than leaving it at the prior, placing it close to neutral. A weak conformist lean is visible, with</w:t>
      </w:r>
      <w:r>
        <w:t xml:space="preserve"> </w:t>
      </w:r>
      <m:oMath>
        <m:r>
          <m:t>P</m:t>
        </m:r>
        <m:r>
          <m:rPr>
            <m:sty m:val="p"/>
          </m:rPr>
          <m:t>(</m:t>
        </m:r>
        <m:r>
          <m:t>b</m:t>
        </m:r>
        <m:r>
          <m:rPr>
            <m:sty m:val="p"/>
          </m:rPr>
          <m:t>&gt;</m:t>
        </m:r>
        <m:r>
          <m:t>0</m:t>
        </m:r>
        <m:r>
          <m:rPr>
            <m:sty m:val="p"/>
          </m:rPr>
          <m:t>)</m:t>
        </m:r>
        <m:r>
          <m:rPr>
            <m:sty m:val="p"/>
          </m:rPr>
          <m:t>=</m:t>
        </m:r>
        <m:r>
          <m:t>0.91</m:t>
        </m:r>
      </m:oMath>
      <w:r>
        <w:t xml:space="preserve">, but it is not resolved as a departure from neutral, and refitting the bias separately to the early and late halves of the sequence recovers no shift between them. The inference rules out the strong conformist bias that a marker- or assortment-based dynamic would require by modeling copying dynamics rather than a single static moment. The posterior contraction should be interpreted with one caveat: rejection sampling at a one percent acceptance tolerance is not formally calibrated here, so we present this inference as concordant with the record-matched recovery and the static signatures rather than as a standalone result.</w:t>
      </w:r>
    </w:p>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and compared them by the small-sample Akaike information criterion. The aggregate diversity trajectory favors the unbiased random walk, with an Akaike weight of 0.81 against 0.19 for the directional model and negligible weight for stasis or the Ornstein-Uhlenbeck model. The model comparison has only six points, so it is weak. This result is a concordance rather than a decisive selection (Figure S4B).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794140"/>
            <wp:effectExtent b="0" l="0" r="0" t="0"/>
            <wp:docPr descr="Figure S2. 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 title="" id="36" name="Picture"/>
            <a:graphic>
              <a:graphicData uri="http://schemas.openxmlformats.org/drawingml/2006/picture">
                <pic:pic>
                  <pic:nvPicPr>
                    <pic:cNvPr descr="../../figures/figS2_dynamic.png" id="37" name="Picture"/>
                    <pic:cNvPicPr>
                      <a:picLocks noChangeArrowheads="1" noChangeAspect="1"/>
                    </pic:cNvPicPr>
                  </pic:nvPicPr>
                  <pic:blipFill>
                    <a:blip r:embed="rId35"/>
                    <a:stretch>
                      <a:fillRect/>
                    </a:stretch>
                  </pic:blipFill>
                  <pic:spPr bwMode="auto">
                    <a:xfrm>
                      <a:off x="0" y="0"/>
                      <a:ext cx="5334000" cy="2794140"/>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Dynamic-sufficiency tests. (A) Posterior of the transmission-bias parameter b from the generative, time-averaging-aware inference (b = 0 neutral, b &gt; 0 conformist, b &lt; 0 anti-conformist). The whole-sequence posterior (filled) and the early- and late-half posteriors (outlines) are all tightly constrained near neutral and include zero, ruling out the strong conformity a marker dynamic would require. (B) Tempo-and-mode Akaike weights of the four time-series models (BM unbiased random walk, GRW directional walk, Stasis, OU mean reversion) for the Gini-Simpson diversity trajectory and averaged across the abundant class trajectories. The diversity trajectory, which the correspondence-analysis ordering does not arrange by construction, favors the unbiased random walk (neutral drift), a concordance rather than a decisive selection given only six points.</w:t>
      </w:r>
    </w:p>
    <w:p>
      <w:pPr>
        <w:pStyle w:val="BodyText"/>
      </w:pPr>
      <w:r>
        <w:t xml:space="preserve">A third probe, for the early-warning signature of a critical transition, is underpowered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End w:id="38"/>
    <w:bookmarkStart w:id="42"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compilation of central-valley determinations against IntCal20</w:t>
      </w:r>
      <w:r>
        <w:t xml:space="preserve"> </w:t>
      </w:r>
      <w:r>
        <w:t xml:space="preserve">(</w:t>
      </w:r>
      <w:r>
        <w:t xml:space="preserve">Reimer et al.</w:t>
      </w:r>
      <w:r>
        <w:t xml:space="preserve"> </w:t>
      </w:r>
      <w:r>
        <w:t xml:space="preserve">2020)</w:t>
      </w:r>
      <w:r>
        <w:t xml:space="preserve">. Forty-one determinations come from seven St. Francis Basin Parkin-phase sites, nineteen of them from Parkin. The summed probability distribution of the basin dates concentrates the occupation in the fourteenth to sixteenth centuries, with a median of AD 1422 (Parkin alone, AD 1483), and declines across the contact interval: 29 percent of the basin probability mass postdates AD 1541 and 18 percent postdates AD 1600 (Figure S3).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Spearman’s r = +0.70 (n = 5, 27 dates pooled), with four sites in calendar order and one late-dated site, Clay Hill, departing from it. The orientation of the axis toward later time is supported but not certain, and we treat directional statements as provisional throughout.</w:t>
      </w:r>
    </w:p>
    <w:p>
      <w:pPr>
        <w:pStyle w:val="CaptionedFigure"/>
      </w:pPr>
      <w:r>
        <w:drawing>
          <wp:inline>
            <wp:extent cx="5334000" cy="2715284"/>
            <wp:effectExtent b="0" l="0" r="0" t="0"/>
            <wp:docPr descr="Figure S3.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40" name="Picture"/>
            <a:graphic>
              <a:graphicData uri="http://schemas.openxmlformats.org/drawingml/2006/picture">
                <pic:pic>
                  <pic:nvPicPr>
                    <pic:cNvPr descr="../../figures/figS3_chronology.png" id="41" name="Picture"/>
                    <pic:cNvPicPr>
                      <a:picLocks noChangeArrowheads="1" noChangeAspect="1"/>
                    </pic:cNvPicPr>
                  </pic:nvPicPr>
                  <pic:blipFill>
                    <a:blip r:embed="rId39"/>
                    <a:stretch>
                      <a:fillRect/>
                    </a:stretch>
                  </pic:blipFill>
                  <pic:spPr bwMode="auto">
                    <a:xfrm>
                      <a:off x="0" y="0"/>
                      <a:ext cx="5334000" cy="271528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42"/>
    <w:bookmarkStart w:id="93" w:name="references"/>
    <w:p>
      <w:pPr>
        <w:pStyle w:val="Heading2"/>
      </w:pPr>
      <w:r>
        <w:t xml:space="preserve">References</w:t>
      </w:r>
    </w:p>
    <w:bookmarkStart w:id="92" w:name="refs"/>
    <w:bookmarkStart w:id="4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43">
        <w:r>
          <w:rPr>
            <w:rStyle w:val="Hyperlink"/>
          </w:rPr>
          <w:t xml:space="preserve">https://doi.org/10.1073/pnas.0903232106</w:t>
        </w:r>
      </w:hyperlink>
      <w:r>
        <w:t xml:space="preserve">.</w:t>
      </w:r>
    </w:p>
    <w:bookmarkEnd w:id="44"/>
    <w:bookmarkStart w:id="46"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45">
        <w:r>
          <w:rPr>
            <w:rStyle w:val="Hyperlink"/>
          </w:rPr>
          <w:t xml:space="preserve">https://doi.org/10.1098/rspb.2004.2746</w:t>
        </w:r>
      </w:hyperlink>
      <w:r>
        <w:t xml:space="preserve">.</w:t>
      </w:r>
    </w:p>
    <w:bookmarkEnd w:id="46"/>
    <w:bookmarkStart w:id="48"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47">
        <w:r>
          <w:rPr>
            <w:rStyle w:val="Hyperlink"/>
          </w:rPr>
          <w:t xml:space="preserve">https://doi.org/10.1057/s41599-019-0295-9</w:t>
        </w:r>
      </w:hyperlink>
      <w:r>
        <w:t xml:space="preserve">.</w:t>
      </w:r>
    </w:p>
    <w:bookmarkEnd w:id="48"/>
    <w:bookmarkStart w:id="49"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49"/>
    <w:bookmarkStart w:id="5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50">
        <w:r>
          <w:rPr>
            <w:rStyle w:val="Hyperlink"/>
          </w:rPr>
          <w:t xml:space="preserve">https://doi.org/10.1016/j.jas.2014.07.014</w:t>
        </w:r>
      </w:hyperlink>
      <w:r>
        <w:t xml:space="preserve">.</w:t>
      </w:r>
    </w:p>
    <w:bookmarkEnd w:id="51"/>
    <w:bookmarkStart w:id="5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52">
        <w:r>
          <w:rPr>
            <w:rStyle w:val="Hyperlink"/>
          </w:rPr>
          <w:t xml:space="preserve">https://doi.org/10.1038/srep39122</w:t>
        </w:r>
      </w:hyperlink>
      <w:r>
        <w:t xml:space="preserve">.</w:t>
      </w:r>
    </w:p>
    <w:bookmarkEnd w:id="53"/>
    <w:bookmarkStart w:id="55"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54">
        <w:r>
          <w:rPr>
            <w:rStyle w:val="Hyperlink"/>
          </w:rPr>
          <w:t xml:space="preserve">https://doi.org/10.1371/journal.pone.0041010</w:t>
        </w:r>
      </w:hyperlink>
      <w:r>
        <w:t xml:space="preserve">.</w:t>
      </w:r>
    </w:p>
    <w:bookmarkEnd w:id="55"/>
    <w:bookmarkStart w:id="57"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56">
        <w:r>
          <w:rPr>
            <w:rStyle w:val="Hyperlink"/>
          </w:rPr>
          <w:t xml:space="preserve">https://doi.org/10.2307/278341</w:t>
        </w:r>
      </w:hyperlink>
      <w:r>
        <w:t xml:space="preserve">.</w:t>
      </w:r>
    </w:p>
    <w:bookmarkEnd w:id="57"/>
    <w:bookmarkStart w:id="58"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58"/>
    <w:bookmarkStart w:id="60"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59">
        <w:r>
          <w:rPr>
            <w:rStyle w:val="Hyperlink"/>
          </w:rPr>
          <w:t xml:space="preserve">https://doi.org/10.1534/genetics.113.158220</w:t>
        </w:r>
      </w:hyperlink>
      <w:r>
        <w:t xml:space="preserve">.</w:t>
      </w:r>
    </w:p>
    <w:bookmarkEnd w:id="60"/>
    <w:bookmarkStart w:id="61"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61"/>
    <w:bookmarkStart w:id="63"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62">
        <w:r>
          <w:rPr>
            <w:rStyle w:val="Hyperlink"/>
          </w:rPr>
          <w:t xml:space="preserve">https://doi.org/10.1525/aa.2001.103.4.992</w:t>
        </w:r>
      </w:hyperlink>
      <w:r>
        <w:t xml:space="preserve">.</w:t>
      </w:r>
    </w:p>
    <w:bookmarkEnd w:id="63"/>
    <w:bookmarkStart w:id="64"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64"/>
    <w:bookmarkStart w:id="66"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65">
        <w:r>
          <w:rPr>
            <w:rStyle w:val="Hyperlink"/>
          </w:rPr>
          <w:t xml:space="preserve">https://doi.org/10.1666/05070.1</w:t>
        </w:r>
      </w:hyperlink>
      <w:r>
        <w:t xml:space="preserve">.</w:t>
      </w:r>
    </w:p>
    <w:bookmarkEnd w:id="66"/>
    <w:bookmarkStart w:id="68"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67">
        <w:r>
          <w:rPr>
            <w:rStyle w:val="Hyperlink"/>
          </w:rPr>
          <w:t xml:space="preserve">https://doi.org/10.1111/j.1558-5646.2007.00310.x</w:t>
        </w:r>
      </w:hyperlink>
      <w:r>
        <w:t xml:space="preserve">.</w:t>
      </w:r>
    </w:p>
    <w:bookmarkEnd w:id="68"/>
    <w:bookmarkStart w:id="70"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69">
        <w:r>
          <w:rPr>
            <w:rStyle w:val="Hyperlink"/>
          </w:rPr>
          <w:t xml:space="preserve">https://doi.org/10.1371/journal.pone.0250690</w:t>
        </w:r>
      </w:hyperlink>
      <w:r>
        <w:t xml:space="preserve">.</w:t>
      </w:r>
    </w:p>
    <w:bookmarkEnd w:id="70"/>
    <w:bookmarkStart w:id="7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71">
        <w:r>
          <w:rPr>
            <w:rStyle w:val="Hyperlink"/>
          </w:rPr>
          <w:t xml:space="preserve">https://doi.org/10.1371/journal.pone.0124942</w:t>
        </w:r>
      </w:hyperlink>
      <w:r>
        <w:t xml:space="preserve">.</w:t>
      </w:r>
    </w:p>
    <w:bookmarkEnd w:id="72"/>
    <w:bookmarkStart w:id="7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73">
        <w:r>
          <w:rPr>
            <w:rStyle w:val="Hyperlink"/>
          </w:rPr>
          <w:t xml:space="preserve">https://doi.org/10.1006/jaar.1997.0314</w:t>
        </w:r>
      </w:hyperlink>
      <w:r>
        <w:t xml:space="preserve">.</w:t>
      </w:r>
    </w:p>
    <w:bookmarkEnd w:id="74"/>
    <w:bookmarkStart w:id="75"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75"/>
    <w:bookmarkStart w:id="76"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76"/>
    <w:bookmarkStart w:id="77"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77"/>
    <w:bookmarkStart w:id="78"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78"/>
    <w:bookmarkStart w:id="79"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79"/>
    <w:bookmarkStart w:id="80"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80"/>
    <w:bookmarkStart w:id="8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81">
        <w:r>
          <w:rPr>
            <w:rStyle w:val="Hyperlink"/>
          </w:rPr>
          <w:t xml:space="preserve">https://doi.org/10.1017/RDC.2020.41</w:t>
        </w:r>
      </w:hyperlink>
      <w:r>
        <w:t xml:space="preserve">.</w:t>
      </w:r>
    </w:p>
    <w:bookmarkEnd w:id="82"/>
    <w:bookmarkStart w:id="83"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83"/>
    <w:bookmarkStart w:id="85"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84">
        <w:r>
          <w:rPr>
            <w:rStyle w:val="Hyperlink"/>
          </w:rPr>
          <w:t xml:space="preserve">https://doi.org/10.1038/nature08227</w:t>
        </w:r>
      </w:hyperlink>
      <w:r>
        <w:t xml:space="preserve">.</w:t>
      </w:r>
    </w:p>
    <w:bookmarkEnd w:id="85"/>
    <w:bookmarkStart w:id="87"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86">
        <w:r>
          <w:rPr>
            <w:rStyle w:val="Hyperlink"/>
          </w:rPr>
          <w:t xml:space="preserve">https://doi.org/10.1016/j.jas.2007.01.003</w:t>
        </w:r>
      </w:hyperlink>
      <w:r>
        <w:t xml:space="preserve">.</w:t>
      </w:r>
    </w:p>
    <w:bookmarkEnd w:id="87"/>
    <w:bookmarkStart w:id="89"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88">
        <w:r>
          <w:rPr>
            <w:rStyle w:val="Hyperlink"/>
          </w:rPr>
          <w:t xml:space="preserve">https://doi.org/10.1016/j.jas.2009.03.029</w:t>
        </w:r>
      </w:hyperlink>
      <w:r>
        <w:t xml:space="preserve">.</w:t>
      </w:r>
    </w:p>
    <w:bookmarkEnd w:id="89"/>
    <w:bookmarkStart w:id="90"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90"/>
    <w:bookmarkStart w:id="91" w:name="ref-williams_1954"/>
    <w:p>
      <w:pPr>
        <w:pStyle w:val="Bibliography"/>
      </w:pPr>
      <w:r>
        <w:t xml:space="preserve">Williams, Stephen. 1954. An Archeological Study of the Mississippian Culture in Southeast Missouri. PhD thesis, Yale University, New Haven.</w:t>
      </w:r>
    </w:p>
    <w:bookmarkEnd w:id="91"/>
    <w:bookmarkEnd w:id="92"/>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6/jaar.1997.0314" TargetMode="External" /><Relationship Type="http://schemas.openxmlformats.org/officeDocument/2006/relationships/hyperlink" Id="rId86" Target="https://doi.org/10.1016/j.jas.2007.01.003" TargetMode="External" /><Relationship Type="http://schemas.openxmlformats.org/officeDocument/2006/relationships/hyperlink" Id="rId88" Target="https://doi.org/10.1016/j.jas.2009.03.029" TargetMode="External" /><Relationship Type="http://schemas.openxmlformats.org/officeDocument/2006/relationships/hyperlink" Id="rId50" Target="https://doi.org/10.1016/j.jas.2014.07.014" TargetMode="External" /><Relationship Type="http://schemas.openxmlformats.org/officeDocument/2006/relationships/hyperlink" Id="rId81" Target="https://doi.org/10.1017/RDC.2020.41" TargetMode="External" /><Relationship Type="http://schemas.openxmlformats.org/officeDocument/2006/relationships/hyperlink" Id="rId84" Target="https://doi.org/10.1038/nature08227" TargetMode="External" /><Relationship Type="http://schemas.openxmlformats.org/officeDocument/2006/relationships/hyperlink" Id="rId52" Target="https://doi.org/10.1038/srep39122" TargetMode="External" /><Relationship Type="http://schemas.openxmlformats.org/officeDocument/2006/relationships/hyperlink" Id="rId47" Target="https://doi.org/10.1057/s41599-019-0295-9" TargetMode="External" /><Relationship Type="http://schemas.openxmlformats.org/officeDocument/2006/relationships/hyperlink" Id="rId43" Target="https://doi.org/10.1073/pnas.0903232106" TargetMode="External" /><Relationship Type="http://schemas.openxmlformats.org/officeDocument/2006/relationships/hyperlink" Id="rId45" Target="https://doi.org/10.1098/rspb.2004.2746" TargetMode="External" /><Relationship Type="http://schemas.openxmlformats.org/officeDocument/2006/relationships/hyperlink" Id="rId67" Target="https://doi.org/10.1111/j.1558-5646.2007.00310.x" TargetMode="External" /><Relationship Type="http://schemas.openxmlformats.org/officeDocument/2006/relationships/hyperlink" Id="rId54" Target="https://doi.org/10.1371/journal.pone.0041010" TargetMode="External" /><Relationship Type="http://schemas.openxmlformats.org/officeDocument/2006/relationships/hyperlink" Id="rId71" Target="https://doi.org/10.1371/journal.pone.0124942" TargetMode="External" /><Relationship Type="http://schemas.openxmlformats.org/officeDocument/2006/relationships/hyperlink" Id="rId69" Target="https://doi.org/10.1371/journal.pone.0250690" TargetMode="External" /><Relationship Type="http://schemas.openxmlformats.org/officeDocument/2006/relationships/hyperlink" Id="rId62" Target="https://doi.org/10.1525/aa.2001.103.4.992" TargetMode="External" /><Relationship Type="http://schemas.openxmlformats.org/officeDocument/2006/relationships/hyperlink" Id="rId59" Target="https://doi.org/10.1534/genetics.113.158220" TargetMode="External" /><Relationship Type="http://schemas.openxmlformats.org/officeDocument/2006/relationships/hyperlink" Id="rId65" Target="https://doi.org/10.1666/05070.1" TargetMode="External" /><Relationship Type="http://schemas.openxmlformats.org/officeDocument/2006/relationships/hyperlink" Id="rId56"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2026-06-16T18:17:43Z</dcterms:created>
  <dcterms:modified xsi:type="dcterms:W3CDTF">2026-06-16T18:17:43Z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