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6"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or evaluated.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que los conjuntos más similares a sus vecinos cercanos que a los distantes registran una sociedad delimitada. Aunque la validez de las fases ha sido cuestionada, la justificación para asumir estas unidades rara vez se pone a prueba o se evalúa.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considerada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among these units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a landscape of competing peer communities as with a centralized and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The record shows no evidence of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The answer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goes beyond the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therefore, built into the unit before any independent evidence of hierarchy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an imagined moment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one-signature inferences</w:t>
      </w:r>
      <w:r>
        <w:t xml:space="preserve"> </w:t>
      </w:r>
      <w:r>
        <w:t xml:space="preserve">(Barrett 2019; Crema et al. 2016; Kandler and Shennan 2015; Mesoudi 2021)</w:t>
      </w:r>
      <w:r>
        <w:t xml:space="preserve">. Therefore, we compare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part of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This approach frames the question of phases differently from how the central-valley record is usually interpreted. Archaeologists are traditionally trained to assume the past was made of bounded units: the phase, the polity, the society. These units are treated as discrete entities with members and edges. A cluster of similar assemblages is considered one of them. In contrast, we treat transmission instead as a continuous, variable field of copying events among potters, with no intrinsic boundaries. Interaction falls off with distance, and learning is more local in some places and times than in others. A group, on this view, is not a thing with a boundary but a region where copying is locally intensified. Similarity is a matter of degree, set by how copying is distributed across space. The patterns of interaction can also be closed by degree. In this scenario, interaction narrows until potters copy mostly within a subset and rarely outside it, producing something that resembles the bounded groups that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set out in the Introduction,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(Dunnell 1995b; Lipo 2001; Lipo et al. 2015; Lipo and Madsen 2001; O’Brien and Leonard 2001)</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Contact and the demographic collapse associated with the protohistoric</w:t>
      </w:r>
      <w:r>
        <w:t xml:space="preserve"> </w:t>
      </w:r>
      <w:r>
        <w:t xml:space="preserve">“Vacant Quarter”</w:t>
      </w:r>
      <w:r>
        <w:t xml:space="preserve"> </w:t>
      </w:r>
      <w:r>
        <w:t xml:space="preserve">would have truncated any such transition before it could consolidate</w:t>
      </w:r>
      <w:r>
        <w:t xml:space="preserve"> </w:t>
      </w:r>
      <w:r>
        <w:t xml:space="preserve">(Cobb and Butler 2002; Morse and Morse 1996; Williams 1990)</w:t>
      </w:r>
      <w:r>
        <w:t xml:space="preserve">. We treat this truncation as a working premise rather than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within a landscape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potters can learn a design from anyone they encounter,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certainly needs to be accounted for</w:t>
      </w:r>
      <w:r>
        <w:t xml:space="preserve"> </w:t>
      </w:r>
      <w:r>
        <w:t xml:space="preserve">(Lipo 2001)</w:t>
      </w:r>
      <w:r>
        <w:t xml:space="preserve">.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compute it here using the Gini-Simpson diversity measure, the chance that two sherds drawn at random from an assemblage are of different classes. F_ST is the share of the total diversity that is due to differences between groups rather than to variation within them. When every assemblage draws from one shared, drifting pool of styles, between-group differences are small,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 linked movement of these two measures cannot separate a real interaction group from drift. Therefore, we cannot depend on these signatures alone. Instead, we must compare the two processes generatively by simulating each one, neutral spatial drift and bounded groups alike, using the real geography of the deposits. Using the data from the simulations, we can then ask which reproduces the observed structure, treating the signatures as diagnostic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S4).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S5). Stochastic drift thus reproduces the same two-signature pattern as environmental patchiness, so a positive result on either signature cannot by itself separate a bounded group from drift or patchiness. The final column reports the recovery experiment introduced below. In this way, the four signatures are therefore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make the difficulty that we face explicit.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(Results, Figure S5).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converge trivially. As a consequence, we chose to validate the test using simulated assemblages before applying it. This validation seeks to confirm that convergence occurs only when interactions cluster into a bounded group, and not under any mimic. We also use the simulation to assess whether the four signatures are tightly correlated under such closure, yet nearly independent under the mimics. In this way, their joint movement should be informative rather than automatic.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Whether all four signatures, or only some, can actually do so on a record like ours is a separate question that we settle by calibrating the tests directly to synthetic data matched to the Parkin assemblages.</w:t>
      </w:r>
    </w:p>
    <w:p>
      <w:pPr>
        <w:pStyle w:val="BodyText"/>
      </w:pPr>
      <w:r>
        <w:t xml:space="preserve">That calibration is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and the Supplemental Text.</w:t>
      </w:r>
    </w:p>
    <w:p>
      <w:pPr>
        <w:pStyle w:val="BodyText"/>
      </w:pPr>
      <w:r>
        <w:t xml:space="preserve">Below, we describe the procedures, their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requiring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Therefore,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native category assumed in advance.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 requirement, though the existing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calendrical order, with one late-dated site departing from it. The axis, therefore, tracks calendar time imperfectly. The trajectory we test, therefore,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This approach enables us to estimate the number of classes expected under random copying and to take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an iterative deterministic frequency-seriation method of Lipo, Madsen, and Dunnell</w:t>
      </w:r>
      <w:r>
        <w:t xml:space="preserve"> </w:t>
      </w:r>
      <w:r>
        <w:t xml:space="preserve">(2015)</w:t>
      </w:r>
      <w:r>
        <w:t xml:space="preserve">. A set of assemblages is co-seriable if some ordering renders every decorated class both unimodal and continuous, and the method returns the complete set of maximal co-seriable groups. Because checking every possible ordering becomes computationally intractable beyond about fourteen assemblages, IDSS builds solutions agglomeratively: it starts with the valid three-assemblage seriations and extends each by adding assemblages that keep every class unimodal and continuous, until no further additions are possible</w:t>
      </w:r>
      <w:r>
        <w:t xml:space="preserve"> </w:t>
      </w:r>
      <w:r>
        <w:t xml:space="preserve">(Lipo et al. 2015)</w:t>
      </w:r>
      <w:r>
        <w:t xml:space="preserve">. Each class’s departure from a single peak, or a break in its continuity, is assessed against bootstrap confidence intervals for the class frequencies, so it counts as a real break only when it exceeds the sampling error. Small, sparsely sampled assemblages have wider intervals and therefore admit more orderings.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third signature, the variance partition, is a cultural analog of Wright’s F_ST, computed on Gini-Simpson diversity, the chance that two sherds drawn at random from an assemblage are of different classes</w:t>
      </w:r>
      <w:r>
        <w:t xml:space="preserve"> </w:t>
      </w:r>
      <w:r>
        <w:t xml:space="preserve">(Bell et al. 2009)</w:t>
      </w:r>
      <w:r>
        <w:t xml:space="preserve">. It is the difference between the diversity of the pooled assemblages and the mean within-group diversity, divided by the pooled diversity, taken across spatial clusters. It rises from zero as groups come to hold distinct decorated repertoires.</w:t>
      </w:r>
    </w:p>
    <w:p>
      <w:pPr>
        <w:pStyle w:val="BodyText"/>
      </w:pPr>
      <w:r>
        <w:t xml:space="preserve">The fourth signature, spatial assortativity, measures whether ceramic similarity follows social rather than geographic distance. For each pair of assemblages, we computed the Brainerd-Robinson similarity</w:t>
      </w:r>
      <w:r>
        <w:t xml:space="preserve"> </w:t>
      </w:r>
      <w:r>
        <w:t xml:space="preserve">(Brainerd 1951; Robinson 1951)</w:t>
      </w:r>
      <w:r>
        <w:t xml:space="preserve">, a standard index ranging from 0 to 200 that quantifies the similarity of their class proportions. We tested its association with inter-site distance using a Mantel</w:t>
      </w:r>
      <w:r>
        <w:t xml:space="preserve"> </w:t>
      </w:r>
      <w:r>
        <w:t xml:space="preserve">(1967)</w:t>
      </w:r>
      <w:r>
        <w:t xml:space="preserve"> </w:t>
      </w:r>
      <w:r>
        <w:t xml:space="preserve">permutation test, which asks whether two distance matrices, here ceramic dissimilarity and geographic distance, are related. A Mantel correlation cannot separate a sharp social boundary from a smooth distance decay. As a result, we also computed a boundary-excess statistic, which is the gap between mean within-cluster and between-cluster similarity after controlling for distance. Smooth isolation by distance returns a boundary excess near zero, while a genuine social boundary returns a large positive value.</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S4).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S5).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our tests in two stages. The first establishes our generative model. This is a model of transmission of decorated variants under neutral transmission. The model assumes a random-copying process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then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Our recovery test involved building synthetic pottery records in which we controlled whether group structure was emerging, dialed from none to strong, and then examining whether our four measures could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The record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but at the resolution of the LMV’s record, only one of them registers the difference. The idealized validation behaves as designed. When interaction is made among closed, bounded groups, all four signatures move together, while drift and the other mimics each move only a characteristic subset. The four are tightly correlated under closure (mean absolute pairwise correlation 0.88) yet nearly independent under the mimics (0.19 to 0.29), so their joint movement is informative rather than redundant (Figure S4).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next positive control shows that the structure actually present is the one produced by neutral drift. The result is, therefore, not only that no bounded group is detectable, but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The most diverse assemblages are also the most central,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The basin’s decorated ceramic structure is, therefore, entirely reproducible by neutral spatial drift under plausible parameters. This result explains the illusion of phases as units. The observed pattern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but the structure it returns still characterizes Parkin’s position directly.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any one assemblage joins, measures that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therefore,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S7 and S8).</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therefore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and health differences between the two sites do not require an extractive hierarchy to produce it. Neither argument supplies the regional, structural signature that the drift-versus-groups comparison looks for and does not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therefore informative for a closure of moderate or greater strength, which would have registered, but cannot exclude a weaker one. It is also bounded in form. The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S4).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robust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reading, faintly, and deserves a closer look. Within the valley, the Parkin phase is the only grouping that hints at structure beyond drift. As the test against the other named phases showed (Figure 9), the contrast survives dropping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simply sits where drift on the river network happens to concentrate interaction, is a question this analysis raises but cannot settle.</w:t>
      </w:r>
    </w:p>
    <w:p>
      <w:pPr>
        <w:pStyle w:val="BodyText"/>
      </w:pPr>
      <w:r>
        <w:t xml:space="preserve">The test also extends beyond the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therefore,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marks it as the apex of a polity. The greater similarity among nearby assemblages that defines the phase is reproduced by neutral drift over the basin’s geography, the ordinary result of continuous interaction structured by where sites are located.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and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5" w:name="references"/>
    <w:p>
      <w:pPr>
        <w:pStyle w:val="Heading2"/>
      </w:pPr>
      <w:r>
        <w:t xml:space="preserve">References</w:t>
      </w:r>
    </w:p>
    <w:bookmarkStart w:id="234"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5"/>
    <w:bookmarkStart w:id="87"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6">
        <w:r>
          <w:rPr>
            <w:rStyle w:val="Hyperlink"/>
          </w:rPr>
          <w:t xml:space="preserve">https://doi.org/10.1007/s10816-023-09613-w</w:t>
        </w:r>
      </w:hyperlink>
      <w:r>
        <w:t xml:space="preserve">.</w:t>
      </w:r>
    </w:p>
    <w:bookmarkEnd w:id="87"/>
    <w:bookmarkStart w:id="89"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8">
        <w:r>
          <w:rPr>
            <w:rStyle w:val="Hyperlink"/>
          </w:rPr>
          <w:t xml:space="preserve">https://doi.org/10.1057/s41599-020-00635-3</w:t>
        </w:r>
      </w:hyperlink>
      <w:r>
        <w:t xml:space="preserve">.</w:t>
      </w:r>
    </w:p>
    <w:bookmarkEnd w:id="89"/>
    <w:bookmarkStart w:id="91"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90">
        <w:r>
          <w:rPr>
            <w:rStyle w:val="Hyperlink"/>
          </w:rPr>
          <w:t xml:space="preserve">https://doi.org/10.1007/s10816-022-09599-x</w:t>
        </w:r>
      </w:hyperlink>
      <w:r>
        <w:t xml:space="preserve">.</w:t>
      </w:r>
    </w:p>
    <w:bookmarkEnd w:id="91"/>
    <w:bookmarkStart w:id="9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2">
        <w:r>
          <w:rPr>
            <w:rStyle w:val="Hyperlink"/>
          </w:rPr>
          <w:t xml:space="preserve">https://doi.org/10.1016/j.jas.2014.07.014</w:t>
        </w:r>
      </w:hyperlink>
      <w:r>
        <w:t xml:space="preserve">.</w:t>
      </w:r>
    </w:p>
    <w:bookmarkEnd w:id="93"/>
    <w:bookmarkStart w:id="9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4">
        <w:r>
          <w:rPr>
            <w:rStyle w:val="Hyperlink"/>
          </w:rPr>
          <w:t xml:space="preserve">https://doi.org/10.1038/srep39122</w:t>
        </w:r>
      </w:hyperlink>
      <w:r>
        <w:t xml:space="preserve">.</w:t>
      </w:r>
    </w:p>
    <w:bookmarkEnd w:id="95"/>
    <w:bookmarkStart w:id="9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6">
        <w:r>
          <w:rPr>
            <w:rStyle w:val="Hyperlink"/>
          </w:rPr>
          <w:t xml:space="preserve">https://doi.org/10.2307/278341</w:t>
        </w:r>
      </w:hyperlink>
      <w:r>
        <w:t xml:space="preserve">.</w:t>
      </w:r>
    </w:p>
    <w:bookmarkEnd w:id="97"/>
    <w:bookmarkStart w:id="99"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8">
        <w:r>
          <w:rPr>
            <w:rStyle w:val="Hyperlink"/>
          </w:rPr>
          <w:t xml:space="preserve">https://doi.org/10.2307/279244</w:t>
        </w:r>
      </w:hyperlink>
      <w:r>
        <w:t xml:space="preserve">.</w:t>
      </w:r>
    </w:p>
    <w:bookmarkEnd w:id="99"/>
    <w:bookmarkStart w:id="100"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0"/>
    <w:bookmarkStart w:id="101"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1"/>
    <w:bookmarkStart w:id="102" w:name="ref-dunnell_1995b"/>
    <w:p>
      <w:pPr>
        <w:pStyle w:val="Bibliography"/>
      </w:pPr>
      <w:r>
        <w:t xml:space="preserve">Dunnell, Robert C. 1995b. Style: Concepts and Practice.</w:t>
      </w:r>
    </w:p>
    <w:bookmarkEnd w:id="102"/>
    <w:bookmarkStart w:id="103"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3"/>
    <w:bookmarkStart w:id="105"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4">
        <w:r>
          <w:rPr>
            <w:rStyle w:val="Hyperlink"/>
          </w:rPr>
          <w:t xml:space="preserve">https://doi.org/10.1016/j.jaa.2005.08.001</w:t>
        </w:r>
      </w:hyperlink>
      <w:r>
        <w:t xml:space="preserve">.</w:t>
      </w:r>
    </w:p>
    <w:bookmarkEnd w:id="105"/>
    <w:bookmarkStart w:id="107"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6">
        <w:r>
          <w:rPr>
            <w:rStyle w:val="Hyperlink"/>
          </w:rPr>
          <w:t xml:space="preserve">https://doi.org/10.1007/s10814-007-9013-z</w:t>
        </w:r>
      </w:hyperlink>
      <w:r>
        <w:t xml:space="preserve">.</w:t>
      </w:r>
    </w:p>
    <w:bookmarkEnd w:id="107"/>
    <w:bookmarkStart w:id="10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8"/>
    <w:bookmarkStart w:id="11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9">
        <w:r>
          <w:rPr>
            <w:rStyle w:val="Hyperlink"/>
          </w:rPr>
          <w:t xml:space="preserve">https://doi.org/10.1534/genetics.113.158220</w:t>
        </w:r>
      </w:hyperlink>
      <w:r>
        <w:t xml:space="preserve">.</w:t>
      </w:r>
    </w:p>
    <w:bookmarkEnd w:id="110"/>
    <w:bookmarkStart w:id="112"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1">
        <w:r>
          <w:rPr>
            <w:rStyle w:val="Hyperlink"/>
          </w:rPr>
          <w:t xml:space="preserve">https://doi.org/10.1073/pnas.2418106121</w:t>
        </w:r>
      </w:hyperlink>
      <w:r>
        <w:t xml:space="preserve">.</w:t>
      </w:r>
    </w:p>
    <w:bookmarkEnd w:id="112"/>
    <w:bookmarkStart w:id="113"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3"/>
    <w:bookmarkStart w:id="114"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4"/>
    <w:bookmarkStart w:id="115"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5"/>
    <w:bookmarkStart w:id="116"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6"/>
    <w:bookmarkStart w:id="11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7">
        <w:r>
          <w:rPr>
            <w:rStyle w:val="Hyperlink"/>
          </w:rPr>
          <w:t xml:space="preserve">https://doi.org/10.1525/aa.2001.103.4.992</w:t>
        </w:r>
      </w:hyperlink>
      <w:r>
        <w:t xml:space="preserve">.</w:t>
      </w:r>
    </w:p>
    <w:bookmarkEnd w:id="118"/>
    <w:bookmarkStart w:id="120"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9">
        <w:r>
          <w:rPr>
            <w:rStyle w:val="Hyperlink"/>
          </w:rPr>
          <w:t xml:space="preserve">https://doi.org/10.2307/4128416</w:t>
        </w:r>
      </w:hyperlink>
      <w:r>
        <w:t xml:space="preserve">.</w:t>
      </w:r>
    </w:p>
    <w:bookmarkEnd w:id="120"/>
    <w:bookmarkStart w:id="122"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1">
        <w:r>
          <w:rPr>
            <w:rStyle w:val="Hyperlink"/>
          </w:rPr>
          <w:t xml:space="preserve">https://doi.org/10.1016/S1090-5138(98)00018-X</w:t>
        </w:r>
      </w:hyperlink>
      <w:r>
        <w:t xml:space="preserve">.</w:t>
      </w:r>
    </w:p>
    <w:bookmarkEnd w:id="122"/>
    <w:bookmarkStart w:id="123"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3"/>
    <w:bookmarkStart w:id="125"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4">
        <w:r>
          <w:rPr>
            <w:rStyle w:val="Hyperlink"/>
          </w:rPr>
          <w:t xml:space="preserve">https://doi.org/10.1017/aap.2021.10</w:t>
        </w:r>
      </w:hyperlink>
      <w:r>
        <w:t xml:space="preserve">.</w:t>
      </w:r>
    </w:p>
    <w:bookmarkEnd w:id="125"/>
    <w:bookmarkStart w:id="126"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6"/>
    <w:bookmarkStart w:id="127"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7"/>
    <w:bookmarkStart w:id="128"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8"/>
    <w:bookmarkStart w:id="130"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9">
        <w:r>
          <w:rPr>
            <w:rStyle w:val="Hyperlink"/>
          </w:rPr>
          <w:t xml:space="preserve">https://doi.org/10.1666/05070.1</w:t>
        </w:r>
      </w:hyperlink>
      <w:r>
        <w:t xml:space="preserve">.</w:t>
      </w:r>
    </w:p>
    <w:bookmarkEnd w:id="130"/>
    <w:bookmarkStart w:id="132"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1">
        <w:r>
          <w:rPr>
            <w:rStyle w:val="Hyperlink"/>
          </w:rPr>
          <w:t xml:space="preserve">https://doi.org/10.1111/j.1558-5646.2007.00310.x</w:t>
        </w:r>
      </w:hyperlink>
      <w:r>
        <w:t xml:space="preserve">.</w:t>
      </w:r>
    </w:p>
    <w:bookmarkEnd w:id="132"/>
    <w:bookmarkStart w:id="133"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3"/>
    <w:bookmarkStart w:id="13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4">
        <w:r>
          <w:rPr>
            <w:rStyle w:val="Hyperlink"/>
          </w:rPr>
          <w:t xml:space="preserve">https://doi.org/10.1016/j.jtbi.2013.03.006</w:t>
        </w:r>
      </w:hyperlink>
      <w:r>
        <w:t xml:space="preserve">.</w:t>
      </w:r>
    </w:p>
    <w:bookmarkEnd w:id="135"/>
    <w:bookmarkStart w:id="137"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6">
        <w:r>
          <w:rPr>
            <w:rStyle w:val="Hyperlink"/>
          </w:rPr>
          <w:t xml:space="preserve">https://doi.org/10.1098/rsif.2015.0905</w:t>
        </w:r>
      </w:hyperlink>
      <w:r>
        <w:t xml:space="preserve">.</w:t>
      </w:r>
    </w:p>
    <w:bookmarkEnd w:id="137"/>
    <w:bookmarkStart w:id="139"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8">
        <w:r>
          <w:rPr>
            <w:rStyle w:val="Hyperlink"/>
          </w:rPr>
          <w:t xml:space="preserve">https://doi.org/10.1098/rsos.170949</w:t>
        </w:r>
      </w:hyperlink>
      <w:r>
        <w:t xml:space="preserve">.</w:t>
      </w:r>
    </w:p>
    <w:bookmarkEnd w:id="139"/>
    <w:bookmarkStart w:id="141"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0">
        <w:r>
          <w:rPr>
            <w:rStyle w:val="Hyperlink"/>
          </w:rPr>
          <w:t xml:space="preserve">https://doi.org/10.1146/annurev-ecolsys-110512-135838</w:t>
        </w:r>
      </w:hyperlink>
      <w:r>
        <w:t xml:space="preserve">.</w:t>
      </w:r>
    </w:p>
    <w:bookmarkEnd w:id="141"/>
    <w:bookmarkStart w:id="142"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2"/>
    <w:bookmarkStart w:id="144"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3">
        <w:r>
          <w:rPr>
            <w:rStyle w:val="Hyperlink"/>
          </w:rPr>
          <w:t xml:space="preserve">https://doi.org/10.2307/2694529</w:t>
        </w:r>
      </w:hyperlink>
      <w:r>
        <w:t xml:space="preserve">.</w:t>
      </w:r>
    </w:p>
    <w:bookmarkEnd w:id="144"/>
    <w:bookmarkStart w:id="145"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5"/>
    <w:bookmarkStart w:id="146"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6"/>
    <w:bookmarkStart w:id="14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7">
        <w:r>
          <w:rPr>
            <w:rStyle w:val="Hyperlink"/>
          </w:rPr>
          <w:t xml:space="preserve">https://doi.org/10.1371/journal.pone.0250690</w:t>
        </w:r>
      </w:hyperlink>
      <w:r>
        <w:t xml:space="preserve">.</w:t>
      </w:r>
    </w:p>
    <w:bookmarkEnd w:id="148"/>
    <w:bookmarkStart w:id="149"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9"/>
    <w:bookmarkStart w:id="151"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0">
        <w:r>
          <w:rPr>
            <w:rStyle w:val="Hyperlink"/>
          </w:rPr>
          <w:t xml:space="preserve">https://doi.org/10.1016/j.jas.2010.05.015</w:t>
        </w:r>
      </w:hyperlink>
      <w:r>
        <w:t xml:space="preserve">.</w:t>
      </w:r>
    </w:p>
    <w:bookmarkEnd w:id="151"/>
    <w:bookmarkStart w:id="152"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2"/>
    <w:bookmarkStart w:id="15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3">
        <w:r>
          <w:rPr>
            <w:rStyle w:val="Hyperlink"/>
          </w:rPr>
          <w:t xml:space="preserve">https://doi.org/10.1371/journal.pone.0124942</w:t>
        </w:r>
      </w:hyperlink>
      <w:r>
        <w:t xml:space="preserve">.</w:t>
      </w:r>
    </w:p>
    <w:bookmarkEnd w:id="154"/>
    <w:bookmarkStart w:id="15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5">
        <w:r>
          <w:rPr>
            <w:rStyle w:val="Hyperlink"/>
          </w:rPr>
          <w:t xml:space="preserve">https://doi.org/10.1006/jaar.1997.0314</w:t>
        </w:r>
      </w:hyperlink>
      <w:r>
        <w:t xml:space="preserve">.</w:t>
      </w:r>
    </w:p>
    <w:bookmarkEnd w:id="156"/>
    <w:bookmarkStart w:id="158"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7">
        <w:r>
          <w:rPr>
            <w:rStyle w:val="Hyperlink"/>
          </w:rPr>
          <w:t xml:space="preserve">https://doi.org/10.1073/pnas.1818346116</w:t>
        </w:r>
      </w:hyperlink>
      <w:r>
        <w:t xml:space="preserve">.</w:t>
      </w:r>
    </w:p>
    <w:bookmarkEnd w:id="158"/>
    <w:bookmarkStart w:id="160"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9">
        <w:r>
          <w:rPr>
            <w:rStyle w:val="Hyperlink"/>
          </w:rPr>
          <w:t xml:space="preserve">https://doi.org/10.1016/j.jas.2021.105412</w:t>
        </w:r>
      </w:hyperlink>
      <w:r>
        <w:t xml:space="preserve">.</w:t>
      </w:r>
    </w:p>
    <w:bookmarkEnd w:id="160"/>
    <w:bookmarkStart w:id="161" w:name="ref-madsen_2012"/>
    <w:p>
      <w:pPr>
        <w:pStyle w:val="Bibliography"/>
      </w:pPr>
      <w:r>
        <w:t xml:space="preserve">Madsen, Mark E. 2012. Neutral Cultural Transmission in Time-Averaged Archaeological Assemblages. arXiv preprint arXiv:1204.2043 [physics.soc-ph].</w:t>
      </w:r>
    </w:p>
    <w:bookmarkEnd w:id="161"/>
    <w:bookmarkStart w:id="162"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2"/>
    <w:bookmarkStart w:id="163"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3"/>
    <w:bookmarkStart w:id="16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4"/>
    <w:bookmarkStart w:id="165"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5"/>
    <w:bookmarkStart w:id="166"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6"/>
    <w:bookmarkStart w:id="167"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7"/>
    <w:bookmarkStart w:id="168"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8"/>
    <w:bookmarkStart w:id="170"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9">
        <w:r>
          <w:rPr>
            <w:rStyle w:val="Hyperlink"/>
          </w:rPr>
          <w:t xml:space="preserve">https://doi.org/10.1080/20548923.2018.1504490</w:t>
        </w:r>
      </w:hyperlink>
      <w:r>
        <w:t xml:space="preserve">.</w:t>
      </w:r>
    </w:p>
    <w:bookmarkEnd w:id="170"/>
    <w:bookmarkStart w:id="171"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1"/>
    <w:bookmarkStart w:id="172"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2"/>
    <w:bookmarkStart w:id="173"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3"/>
    <w:bookmarkStart w:id="174"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4"/>
    <w:bookmarkStart w:id="175"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5"/>
    <w:bookmarkStart w:id="17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6"/>
    <w:bookmarkStart w:id="17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7"/>
    <w:bookmarkStart w:id="178"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8"/>
    <w:bookmarkStart w:id="18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9">
        <w:r>
          <w:rPr>
            <w:rStyle w:val="Hyperlink"/>
          </w:rPr>
          <w:t xml:space="preserve">https://doi.org/10.1098/rstb.2016.0426</w:t>
        </w:r>
      </w:hyperlink>
      <w:r>
        <w:t xml:space="preserve">.</w:t>
      </w:r>
    </w:p>
    <w:bookmarkEnd w:id="180"/>
    <w:bookmarkStart w:id="18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1">
        <w:r>
          <w:rPr>
            <w:rStyle w:val="Hyperlink"/>
          </w:rPr>
          <w:t xml:space="preserve">https://doi.org/10.2307/279066</w:t>
        </w:r>
      </w:hyperlink>
      <w:r>
        <w:t xml:space="preserve">.</w:t>
      </w:r>
    </w:p>
    <w:bookmarkEnd w:id="182"/>
    <w:bookmarkStart w:id="18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3">
        <w:r>
          <w:rPr>
            <w:rStyle w:val="Hyperlink"/>
          </w:rPr>
          <w:t xml:space="preserve">https://doi.org/10.1016/j.jas.2012.04.040</w:t>
        </w:r>
      </w:hyperlink>
      <w:r>
        <w:t xml:space="preserve">.</w:t>
      </w:r>
    </w:p>
    <w:bookmarkEnd w:id="184"/>
    <w:bookmarkStart w:id="18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5">
        <w:r>
          <w:rPr>
            <w:rStyle w:val="Hyperlink"/>
          </w:rPr>
          <w:t xml:space="preserve">https://doi.org/10.1007/s10816-018-9364-4</w:t>
        </w:r>
      </w:hyperlink>
      <w:r>
        <w:t xml:space="preserve">.</w:t>
      </w:r>
    </w:p>
    <w:bookmarkEnd w:id="186"/>
    <w:bookmarkStart w:id="18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7"/>
    <w:bookmarkStart w:id="18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8"/>
    <w:bookmarkStart w:id="18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9"/>
    <w:bookmarkStart w:id="19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0">
        <w:r>
          <w:rPr>
            <w:rStyle w:val="Hyperlink"/>
          </w:rPr>
          <w:t xml:space="preserve">https://doi.org/10.1525/aa.1953.55.5.02a00030</w:t>
        </w:r>
      </w:hyperlink>
      <w:r>
        <w:t xml:space="preserve">.</w:t>
      </w:r>
    </w:p>
    <w:bookmarkEnd w:id="191"/>
    <w:bookmarkStart w:id="19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2">
        <w:r>
          <w:rPr>
            <w:rStyle w:val="Hyperlink"/>
          </w:rPr>
          <w:t xml:space="preserve">https://doi.org/10.1126/science.1170165</w:t>
        </w:r>
      </w:hyperlink>
      <w:r>
        <w:t xml:space="preserve">.</w:t>
      </w:r>
    </w:p>
    <w:bookmarkEnd w:id="193"/>
    <w:bookmarkStart w:id="19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4">
        <w:r>
          <w:rPr>
            <w:rStyle w:val="Hyperlink"/>
          </w:rPr>
          <w:t xml:space="preserve">https://doi.org/10.1086/674873</w:t>
        </w:r>
      </w:hyperlink>
      <w:r>
        <w:t xml:space="preserve">.</w:t>
      </w:r>
    </w:p>
    <w:bookmarkEnd w:id="195"/>
    <w:bookmarkStart w:id="19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6">
        <w:r>
          <w:rPr>
            <w:rStyle w:val="Hyperlink"/>
          </w:rPr>
          <w:t xml:space="preserve">https://doi.org/10.7183/0002-7316.81.4.605</w:t>
        </w:r>
      </w:hyperlink>
      <w:r>
        <w:t xml:space="preserve">.</w:t>
      </w:r>
    </w:p>
    <w:bookmarkEnd w:id="197"/>
    <w:bookmarkStart w:id="19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8">
        <w:r>
          <w:rPr>
            <w:rStyle w:val="Hyperlink"/>
          </w:rPr>
          <w:t xml:space="preserve">https://doi.org/10.7183/0002-7316.76.1.163</w:t>
        </w:r>
      </w:hyperlink>
      <w:r>
        <w:t xml:space="preserve">.</w:t>
      </w:r>
    </w:p>
    <w:bookmarkEnd w:id="199"/>
    <w:bookmarkStart w:id="20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0"/>
    <w:bookmarkStart w:id="20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1">
        <w:r>
          <w:rPr>
            <w:rStyle w:val="Hyperlink"/>
          </w:rPr>
          <w:t xml:space="preserve">https://doi.org/10.1017/RDC.2020.41</w:t>
        </w:r>
      </w:hyperlink>
      <w:r>
        <w:t xml:space="preserve">.</w:t>
      </w:r>
    </w:p>
    <w:bookmarkEnd w:id="202"/>
    <w:bookmarkStart w:id="20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3">
        <w:r>
          <w:rPr>
            <w:rStyle w:val="Hyperlink"/>
          </w:rPr>
          <w:t xml:space="preserve">https://doi.org/10.1017/S0140525X1400106X</w:t>
        </w:r>
      </w:hyperlink>
      <w:r>
        <w:t xml:space="preserve">.</w:t>
      </w:r>
    </w:p>
    <w:bookmarkEnd w:id="204"/>
    <w:bookmarkStart w:id="20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5">
        <w:r>
          <w:rPr>
            <w:rStyle w:val="Hyperlink"/>
          </w:rPr>
          <w:t xml:space="preserve">https://doi.org/10.1057/s41599-019-0260-7</w:t>
        </w:r>
      </w:hyperlink>
      <w:r>
        <w:t xml:space="preserve">.</w:t>
      </w:r>
    </w:p>
    <w:bookmarkEnd w:id="206"/>
    <w:bookmarkStart w:id="20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7"/>
    <w:bookmarkStart w:id="20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8"/>
    <w:bookmarkStart w:id="20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9"/>
    <w:bookmarkStart w:id="21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0">
        <w:r>
          <w:rPr>
            <w:rStyle w:val="Hyperlink"/>
          </w:rPr>
          <w:t xml:space="preserve">https://doi.org/10.1016/j.jtbi.2016.04.024</w:t>
        </w:r>
      </w:hyperlink>
      <w:r>
        <w:t xml:space="preserve">.</w:t>
      </w:r>
    </w:p>
    <w:bookmarkEnd w:id="211"/>
    <w:bookmarkStart w:id="21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2">
        <w:r>
          <w:rPr>
            <w:rStyle w:val="Hyperlink"/>
          </w:rPr>
          <w:t xml:space="preserve">https://doi.org/10.1016/j.evolhumbehav.2014.09.006</w:t>
        </w:r>
      </w:hyperlink>
      <w:r>
        <w:t xml:space="preserve">.</w:t>
      </w:r>
    </w:p>
    <w:bookmarkEnd w:id="213"/>
    <w:bookmarkStart w:id="21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4"/>
    <w:bookmarkStart w:id="21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5"/>
    <w:bookmarkStart w:id="21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6"/>
    <w:bookmarkStart w:id="21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7"/>
    <w:bookmarkStart w:id="21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8">
        <w:r>
          <w:rPr>
            <w:rStyle w:val="Hyperlink"/>
          </w:rPr>
          <w:t xml:space="preserve">https://doi.org/10.1006/jhev.1994.1037</w:t>
        </w:r>
      </w:hyperlink>
      <w:r>
        <w:t xml:space="preserve">.</w:t>
      </w:r>
    </w:p>
    <w:bookmarkEnd w:id="219"/>
    <w:bookmarkStart w:id="22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0">
        <w:r>
          <w:rPr>
            <w:rStyle w:val="Hyperlink"/>
          </w:rPr>
          <w:t xml:space="preserve">https://doi.org/10.1017/aaq.2024.1</w:t>
        </w:r>
      </w:hyperlink>
      <w:r>
        <w:t xml:space="preserve">.</w:t>
      </w:r>
    </w:p>
    <w:bookmarkEnd w:id="221"/>
    <w:bookmarkStart w:id="22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2"/>
    <w:bookmarkStart w:id="22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3">
        <w:r>
          <w:rPr>
            <w:rStyle w:val="Hyperlink"/>
          </w:rPr>
          <w:t xml:space="preserve">https://doi.org/10.1086/651661</w:t>
        </w:r>
      </w:hyperlink>
      <w:r>
        <w:t xml:space="preserve">.</w:t>
      </w:r>
    </w:p>
    <w:bookmarkEnd w:id="224"/>
    <w:bookmarkStart w:id="22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5"/>
    <w:bookmarkStart w:id="226" w:name="ref-williams_1954"/>
    <w:p>
      <w:pPr>
        <w:pStyle w:val="Bibliography"/>
      </w:pPr>
      <w:r>
        <w:t xml:space="preserve">Williams, Stephen. 1954. An Archeological Study of the Mississippian Culture in Southeast Missouri. PhD thesis, Yale University, New Haven.</w:t>
      </w:r>
    </w:p>
    <w:bookmarkEnd w:id="226"/>
    <w:bookmarkStart w:id="227"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27"/>
    <w:bookmarkStart w:id="229"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8">
        <w:r>
          <w:rPr>
            <w:rStyle w:val="Hyperlink"/>
          </w:rPr>
          <w:t xml:space="preserve">https://doi.org/10.1093/genetics/28.2.114</w:t>
        </w:r>
      </w:hyperlink>
      <w:r>
        <w:t xml:space="preserve">.</w:t>
      </w:r>
    </w:p>
    <w:bookmarkEnd w:id="229"/>
    <w:bookmarkStart w:id="231"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0">
        <w:r>
          <w:rPr>
            <w:rStyle w:val="Hyperlink"/>
          </w:rPr>
          <w:t xml:space="preserve">https://doi.org/10.1111/j.1469-1809.1949.tb02451.x</w:t>
        </w:r>
      </w:hyperlink>
      <w:r>
        <w:t xml:space="preserve">.</w:t>
      </w:r>
    </w:p>
    <w:bookmarkEnd w:id="231"/>
    <w:bookmarkStart w:id="233"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2">
        <w:r>
          <w:rPr>
            <w:rStyle w:val="Hyperlink"/>
          </w:rPr>
          <w:t xml:space="preserve">https://doi.org/10.1017/ehs.2023.5</w:t>
        </w:r>
      </w:hyperlink>
      <w:r>
        <w:t xml:space="preserve">.</w:t>
      </w:r>
    </w:p>
    <w:bookmarkEnd w:id="233"/>
    <w:bookmarkEnd w:id="234"/>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2026-06-18T00:49:01Z</dcterms:created>
  <dcterms:modified xsi:type="dcterms:W3CDTF">2026-06-18T00:49:01Z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