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5.png" ContentType="image/png"/>
  <Override PartName="/word/media/rId39.png" ContentType="image/png"/>
  <Override PartName="/word/media/rId10.png" ContentType="image/png"/>
  <Override PartName="/word/media/rId19.png" ContentType="image/png"/>
  <Override PartName="/word/media/rId31.png" ContentType="image/png"/>
  <Override PartName="/word/media/rId27.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one objection is that the experiment only certifies an F_ST test recovering an F_ST-shaped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 F_ST 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 F_ST, and it does so however the underlying divergence is organized. The reduction to F_ST is a property of the record’s resolution, not an artifact of a generator whose injected closure is collinear with F_ST. That resolution is 29 time-averaged assemblages subsampled to a common count over ten aggregated classes. A subsampling-depth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light gray) and a bounded-groups model (dark gray)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(light gray) and a bounded-groups model (dark gray)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the-time-aware-drift-simulation"/>
    <w:p>
      <w:pPr>
        <w:pStyle w:val="Heading2"/>
      </w:pPr>
      <w:r>
        <w:t xml:space="preserve">The time-aware drift simulation</w:t>
      </w:r>
    </w:p>
    <w:p>
      <w:pPr>
        <w:pStyle w:val="FirstParagraph"/>
      </w:pPr>
      <w:r>
        <w:t xml:space="preserve">The forward demonstrations in the main text (Figures 8 and 9) and the basin positive control (Figure S8) use the same neutral-drift model run on the real geography, distinct from the null-comparison of the positive control above. The model is run at two scales: on the 29 St. Francis basin assemblages for the positive control (Figure S8) and on all 55 Mainfort-PFG decorated assemblages of the wider lower Mississippi Valley for the region-wide group counts (Figure 8) and the Parkin pull-out (Figure 9). The model evolves a population of decorated-class variants at each assemblage location. Each location holds a fixed finite population of 120 learners. In each generation every learner copies the decorated class of another learner, drawn from its own location with high probability and, with probability 0.02, from another location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 F_ST and community counts shift within sampling error), so the conclusions do not depend on the choice, but the river-network distance is the more faithful representation of how potters in the basin could interact. The same construction over all 55 lower-valley assemblages yields a single connected network for the wider-valley analyses (maximum access 19.6 km).</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and accumulated over a trailing window of eight slices so that, like a real death assemblage, it mixes production across its span. Each synthetic assemblage is then sampled to the observed sherd count of the corresponding real assemblage. The synthetic assemblages are treated exactly as the empirical ones: interaction communities by the same modularity partition, between-group cultural F_ST on the resulting groups, and a seriation order from a fresh correspondence analysis. A contemporaneous control, with every assemblage drawn from the final slice, is sampled the same way for comparison.</w:t>
      </w:r>
    </w:p>
    <w:p>
      <w:pPr>
        <w:pStyle w:val="BodyText"/>
      </w:pPr>
      <w:r>
        <w:t xml:space="preserve">For the basin positive control (Figure S8) we summarize 500 independent realizations at the positive-control corner (interaction length 24 river-km, between-node mixing 0.02, innovation 0.012). Because group labels are arbitrary and switch between runs, groupness is summarized by co-membership rather than by a single partition: for each assemblage, the fraction of the 500 runs in which it falls in the same drift-detected group as Parkin. This quantity is label-invariant, needs no alignment across runs, and expresses the contingency of any single solution as a probability surface. Figure S8A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groups. Membership then reflects space and time jointly, and a site’s nearest neighbors need not share its phase. Either way, no assemblage is a certain member or non-member, so the phase has no stable membership. Figure S7 repeats the experiment across a grid of the three governing parameters to show that the result does not depend on this corner. The same model applied to the wider 55-assemblage valley gives the region-wide group counts of Figure 8 and the Parkin pull-out of Figure 9.</w:t>
      </w:r>
    </w:p>
    <w:p>
      <w:pPr>
        <w:pStyle w:val="CaptionedFigure"/>
      </w:pPr>
      <w:r>
        <w:drawing>
          <wp:inline>
            <wp:extent cx="5334000" cy="4248345"/>
            <wp:effectExtent b="0" l="0" r="0" t="0"/>
            <wp:docPr descr="Figure S8. Basin positive control: phase-like structure generated by neutral drift on the 29 St. Francis basin assemblages, with no bounded group imposed, over 500 realizations. (A) Each assemblage shaded by the probability that it shares Parkin’s drift-detected group (star) under the contemporaneous snapshot that isolates the spatial signal; the probability falls off smoothly with river distance from Parkin (Spearman rho = -0.72), from about 0.70 nearby to 0.17 far away, so Parkin’s “phase” 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 title="" id="24" name="Picture"/>
            <a:graphic>
              <a:graphicData uri="http://schemas.openxmlformats.org/drawingml/2006/picture">
                <pic:pic>
                  <pic:nvPicPr>
                    <pic:cNvPr descr="../../figures/figS8_emergent_phases.png" id="25" name="Picture"/>
                    <pic:cNvPicPr>
                      <a:picLocks noChangeArrowheads="1" noChangeAspect="1"/>
                    </pic:cNvPicPr>
                  </pic:nvPicPr>
                  <pic:blipFill>
                    <a:blip r:embed="rId23"/>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Basin positive control: phase-like structure generated by neutral drift on the 29 St. Francis basin assemblages, with no bounded group imposed, over 500 realizations. (A) Each assemblage shaded by the probability that it shares Parkin’s drift-detected group (star) under the contemporaneous snapshot that isolates the spatial signal; the probability falls off smoothly with river distance from Parkin (Spearman rho = -0.72), from about 0.70 nearby to 0.17 far away, so Parkin’s</w:t>
      </w:r>
      <w:r>
        <w:t xml:space="preserve"> </w:t>
      </w:r>
      <w:r>
        <w:t xml:space="preserve">“phase”</w:t>
      </w:r>
      <w:r>
        <w:t xml:space="preserve"> </w:t>
      </w:r>
      <w:r>
        <w:t xml:space="preserve">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w:t>
      </w:r>
    </w:p>
    <w:bookmarkEnd w:id="26"/>
    <w:bookmarkStart w:id="30" w:name="X6d476687f47a0d618599d6e92ccf5fe018c978b"/>
    <w:p>
      <w:pPr>
        <w:pStyle w:val="Heading2"/>
      </w:pPr>
      <w:r>
        <w:t xml:space="preserve">Robustness of the drift-generated structure</w:t>
      </w:r>
    </w:p>
    <w:p>
      <w:pPr>
        <w:pStyle w:val="FirstParagraph"/>
      </w:pPr>
      <w:r>
        <w:t xml:space="preserve">The positive control shows the observed structure falls inside the drift distribution. The wider-valley demonstration (Figure 8) goes further, generating phase-like structure from drift on the real geography, and we checked that this result is not contingent on a single stochastic draw or a tuned parameter set. We repeated the time-transgressive drift experiment across 432 runs spanning a grid of interaction length (12, 18, 24, and 36 river-km), between-node mixing (0.01, 0.02, and 0.05), and innovation rate (0.006, 0.012, and 0.024), with twelve seeds per cell (Figure S7). Two or more spatially coherent groups, the phase-like territories a culture historian would name, appear in every run. The between-group cultural F_ST sits at or below the observed value in 85 percent of runs and within a factor of two of it in 53 percent, short of the bounded-groups expectation throughout. F_ST is essentially flat across interaction length and declines with more mixing or more innovation, the expected behavior of a drift process, and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12375"/>
            <wp:effectExtent b="0" l="0" r="0" t="0"/>
            <wp:docPr descr="Figure S7. 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 title="" id="28" name="Picture"/>
            <a:graphic>
              <a:graphicData uri="http://schemas.openxmlformats.org/drawingml/2006/picture">
                <pic:pic>
                  <pic:nvPicPr>
                    <pic:cNvPr descr="../../figures/figS7_emergence_robustness.png" id="29" name="Picture"/>
                    <pic:cNvPicPr>
                      <a:picLocks noChangeArrowheads="1" noChangeAspect="1"/>
                    </pic:cNvPicPr>
                  </pic:nvPicPr>
                  <pic:blipFill>
                    <a:blip r:embed="rId27"/>
                    <a:stretch>
                      <a:fillRect/>
                    </a:stretch>
                  </pic:blipFill>
                  <pic:spPr bwMode="auto">
                    <a:xfrm>
                      <a:off x="0" y="0"/>
                      <a:ext cx="5334000" cy="4112375"/>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w:t>
      </w:r>
    </w:p>
    <w:bookmarkEnd w:id="30"/>
    <w:bookmarkStart w:id="34"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(1954)</w:t>
      </w:r>
      <w:r>
        <w:t xml:space="preserve">, comprising 50 assemblages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0.03, near the drift level, once the analysis is restricted to Mississippian classes.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classes differing in proportion. Restricting the comparison to classes present in both regions, which removes the mutually exclusive distinctive classes that carry the strongest temporal contrast, reduces the step but does not erase it: the boundary excess falls to +38 Brainerd-Robinson units. It remains above the neutral-drift null, so the boundary is not solely an artifact of distinctive-class turnover, although the shared classes themselves retain some temporal structure. The step is real but confounded by time, because the northern distinctive classes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class names may have been applied to different criteria. The shared-class restriction (boundary excess falling to +38 Brainerd-Robinson units but not vanishing) limits this artifact without removing it, leaving open the possibility that the interaction was continuous across the entire region and that the apparent boundary is a product of two separate assemblage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light gray) and lower-valley (Phillips-Ford-Griffin, dark gray),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32" name="Picture"/>
            <a:graphic>
              <a:graphicData uri="http://schemas.openxmlformats.org/drawingml/2006/picture">
                <pic:pic>
                  <pic:nvPicPr>
                    <pic:cNvPr descr="../../figures/figS6_macro_transect.png" id="33" name="Picture"/>
                    <pic:cNvPicPr>
                      <a:picLocks noChangeArrowheads="1" noChangeAspect="1"/>
                    </pic:cNvPicPr>
                  </pic:nvPicPr>
                  <pic:blipFill>
                    <a:blip r:embed="rId31"/>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light gray) and lower-valley (Phillips-Ford-Griffin, dark gray),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34"/>
    <w:bookmarkStart w:id="38"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then infer the kind of copying implied by the surviving scenarios,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S2A).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interpreted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S2B).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36" name="Picture"/>
            <a:graphic>
              <a:graphicData uri="http://schemas.openxmlformats.org/drawingml/2006/picture">
                <pic:pic>
                  <pic:nvPicPr>
                    <pic:cNvPr descr="../../figures/figS2_dynamic.png" id="37" name="Picture"/>
                    <pic:cNvPicPr>
                      <a:picLocks noChangeArrowheads="1" noChangeAspect="1"/>
                    </pic:cNvPicPr>
                  </pic:nvPicPr>
                  <pic:blipFill>
                    <a:blip r:embed="rId35"/>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8"/>
    <w:bookmarkStart w:id="42"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compilation of central-valley determinations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40" name="Picture"/>
            <a:graphic>
              <a:graphicData uri="http://schemas.openxmlformats.org/drawingml/2006/picture">
                <pic:pic>
                  <pic:nvPicPr>
                    <pic:cNvPr descr="../../figures/figS3_chronology.png" id="41" name="Picture"/>
                    <pic:cNvPicPr>
                      <a:picLocks noChangeArrowheads="1" noChangeAspect="1"/>
                    </pic:cNvPicPr>
                  </pic:nvPicPr>
                  <pic:blipFill>
                    <a:blip r:embed="rId39"/>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42"/>
    <w:bookmarkStart w:id="93" w:name="references"/>
    <w:p>
      <w:pPr>
        <w:pStyle w:val="Heading2"/>
      </w:pPr>
      <w:r>
        <w:t xml:space="preserve">References</w:t>
      </w:r>
    </w:p>
    <w:bookmarkStart w:id="92" w:name="refs"/>
    <w:bookmarkStart w:id="4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43">
        <w:r>
          <w:rPr>
            <w:rStyle w:val="Hyperlink"/>
          </w:rPr>
          <w:t xml:space="preserve">https://doi.org/10.1073/pnas.0903232106</w:t>
        </w:r>
      </w:hyperlink>
      <w:r>
        <w:t xml:space="preserve">.</w:t>
      </w:r>
    </w:p>
    <w:bookmarkEnd w:id="44"/>
    <w:bookmarkStart w:id="46"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45">
        <w:r>
          <w:rPr>
            <w:rStyle w:val="Hyperlink"/>
          </w:rPr>
          <w:t xml:space="preserve">https://doi.org/10.1098/rspb.2004.2746</w:t>
        </w:r>
      </w:hyperlink>
      <w:r>
        <w:t xml:space="preserve">.</w:t>
      </w:r>
    </w:p>
    <w:bookmarkEnd w:id="46"/>
    <w:bookmarkStart w:id="48"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47">
        <w:r>
          <w:rPr>
            <w:rStyle w:val="Hyperlink"/>
          </w:rPr>
          <w:t xml:space="preserve">https://doi.org/10.1057/s41599-019-0295-9</w:t>
        </w:r>
      </w:hyperlink>
      <w:r>
        <w:t xml:space="preserve">.</w:t>
      </w:r>
    </w:p>
    <w:bookmarkEnd w:id="48"/>
    <w:bookmarkStart w:id="49"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9"/>
    <w:bookmarkStart w:id="5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50">
        <w:r>
          <w:rPr>
            <w:rStyle w:val="Hyperlink"/>
          </w:rPr>
          <w:t xml:space="preserve">https://doi.org/10.1016/j.jas.2014.07.014</w:t>
        </w:r>
      </w:hyperlink>
      <w:r>
        <w:t xml:space="preserve">.</w:t>
      </w:r>
    </w:p>
    <w:bookmarkEnd w:id="51"/>
    <w:bookmarkStart w:id="5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52">
        <w:r>
          <w:rPr>
            <w:rStyle w:val="Hyperlink"/>
          </w:rPr>
          <w:t xml:space="preserve">https://doi.org/10.1038/srep39122</w:t>
        </w:r>
      </w:hyperlink>
      <w:r>
        <w:t xml:space="preserve">.</w:t>
      </w:r>
    </w:p>
    <w:bookmarkEnd w:id="53"/>
    <w:bookmarkStart w:id="5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54">
        <w:r>
          <w:rPr>
            <w:rStyle w:val="Hyperlink"/>
          </w:rPr>
          <w:t xml:space="preserve">https://doi.org/10.1371/journal.pone.0041010</w:t>
        </w:r>
      </w:hyperlink>
      <w:r>
        <w:t xml:space="preserve">.</w:t>
      </w:r>
    </w:p>
    <w:bookmarkEnd w:id="55"/>
    <w:bookmarkStart w:id="5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56">
        <w:r>
          <w:rPr>
            <w:rStyle w:val="Hyperlink"/>
          </w:rPr>
          <w:t xml:space="preserve">https://doi.org/10.2307/278341</w:t>
        </w:r>
      </w:hyperlink>
      <w:r>
        <w:t xml:space="preserve">.</w:t>
      </w:r>
    </w:p>
    <w:bookmarkEnd w:id="57"/>
    <w:bookmarkStart w:id="5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8"/>
    <w:bookmarkStart w:id="6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9">
        <w:r>
          <w:rPr>
            <w:rStyle w:val="Hyperlink"/>
          </w:rPr>
          <w:t xml:space="preserve">https://doi.org/10.1534/genetics.113.158220</w:t>
        </w:r>
      </w:hyperlink>
      <w:r>
        <w:t xml:space="preserve">.</w:t>
      </w:r>
    </w:p>
    <w:bookmarkEnd w:id="60"/>
    <w:bookmarkStart w:id="61"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61"/>
    <w:bookmarkStart w:id="63"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62">
        <w:r>
          <w:rPr>
            <w:rStyle w:val="Hyperlink"/>
          </w:rPr>
          <w:t xml:space="preserve">https://doi.org/10.1525/aa.2001.103.4.992</w:t>
        </w:r>
      </w:hyperlink>
      <w:r>
        <w:t xml:space="preserve">.</w:t>
      </w:r>
    </w:p>
    <w:bookmarkEnd w:id="63"/>
    <w:bookmarkStart w:id="64"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64"/>
    <w:bookmarkStart w:id="66"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65">
        <w:r>
          <w:rPr>
            <w:rStyle w:val="Hyperlink"/>
          </w:rPr>
          <w:t xml:space="preserve">https://doi.org/10.1666/05070.1</w:t>
        </w:r>
      </w:hyperlink>
      <w:r>
        <w:t xml:space="preserve">.</w:t>
      </w:r>
    </w:p>
    <w:bookmarkEnd w:id="66"/>
    <w:bookmarkStart w:id="68"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67">
        <w:r>
          <w:rPr>
            <w:rStyle w:val="Hyperlink"/>
          </w:rPr>
          <w:t xml:space="preserve">https://doi.org/10.1111/j.1558-5646.2007.00310.x</w:t>
        </w:r>
      </w:hyperlink>
      <w:r>
        <w:t xml:space="preserve">.</w:t>
      </w:r>
    </w:p>
    <w:bookmarkEnd w:id="68"/>
    <w:bookmarkStart w:id="70"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9">
        <w:r>
          <w:rPr>
            <w:rStyle w:val="Hyperlink"/>
          </w:rPr>
          <w:t xml:space="preserve">https://doi.org/10.1371/journal.pone.0250690</w:t>
        </w:r>
      </w:hyperlink>
      <w:r>
        <w:t xml:space="preserve">.</w:t>
      </w:r>
    </w:p>
    <w:bookmarkEnd w:id="70"/>
    <w:bookmarkStart w:id="7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71">
        <w:r>
          <w:rPr>
            <w:rStyle w:val="Hyperlink"/>
          </w:rPr>
          <w:t xml:space="preserve">https://doi.org/10.1371/journal.pone.0124942</w:t>
        </w:r>
      </w:hyperlink>
      <w:r>
        <w:t xml:space="preserve">.</w:t>
      </w:r>
    </w:p>
    <w:bookmarkEnd w:id="72"/>
    <w:bookmarkStart w:id="7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73">
        <w:r>
          <w:rPr>
            <w:rStyle w:val="Hyperlink"/>
          </w:rPr>
          <w:t xml:space="preserve">https://doi.org/10.1006/jaar.1997.0314</w:t>
        </w:r>
      </w:hyperlink>
      <w:r>
        <w:t xml:space="preserve">.</w:t>
      </w:r>
    </w:p>
    <w:bookmarkEnd w:id="74"/>
    <w:bookmarkStart w:id="75"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75"/>
    <w:bookmarkStart w:id="76"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76"/>
    <w:bookmarkStart w:id="77"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77"/>
    <w:bookmarkStart w:id="78"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8"/>
    <w:bookmarkStart w:id="79"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9"/>
    <w:bookmarkStart w:id="8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80"/>
    <w:bookmarkStart w:id="8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81">
        <w:r>
          <w:rPr>
            <w:rStyle w:val="Hyperlink"/>
          </w:rPr>
          <w:t xml:space="preserve">https://doi.org/10.1017/RDC.2020.41</w:t>
        </w:r>
      </w:hyperlink>
      <w:r>
        <w:t xml:space="preserve">.</w:t>
      </w:r>
    </w:p>
    <w:bookmarkEnd w:id="82"/>
    <w:bookmarkStart w:id="83"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83"/>
    <w:bookmarkStart w:id="85"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84">
        <w:r>
          <w:rPr>
            <w:rStyle w:val="Hyperlink"/>
          </w:rPr>
          <w:t xml:space="preserve">https://doi.org/10.1038/nature08227</w:t>
        </w:r>
      </w:hyperlink>
      <w:r>
        <w:t xml:space="preserve">.</w:t>
      </w:r>
    </w:p>
    <w:bookmarkEnd w:id="85"/>
    <w:bookmarkStart w:id="87"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86">
        <w:r>
          <w:rPr>
            <w:rStyle w:val="Hyperlink"/>
          </w:rPr>
          <w:t xml:space="preserve">https://doi.org/10.1016/j.jas.2007.01.003</w:t>
        </w:r>
      </w:hyperlink>
      <w:r>
        <w:t xml:space="preserve">.</w:t>
      </w:r>
    </w:p>
    <w:bookmarkEnd w:id="87"/>
    <w:bookmarkStart w:id="89"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8">
        <w:r>
          <w:rPr>
            <w:rStyle w:val="Hyperlink"/>
          </w:rPr>
          <w:t xml:space="preserve">https://doi.org/10.1016/j.jas.2009.03.029</w:t>
        </w:r>
      </w:hyperlink>
      <w:r>
        <w:t xml:space="preserve">.</w:t>
      </w:r>
    </w:p>
    <w:bookmarkEnd w:id="89"/>
    <w:bookmarkStart w:id="90"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90"/>
    <w:bookmarkStart w:id="91" w:name="ref-williams_1954"/>
    <w:p>
      <w:pPr>
        <w:pStyle w:val="Bibliography"/>
      </w:pPr>
      <w:r>
        <w:t xml:space="preserve">Williams, Stephen. 1954. An Archeological Study of the Mississippian Culture in Southeast Missouri. PhD thesis, Yale University, New Haven.</w:t>
      </w:r>
    </w:p>
    <w:bookmarkEnd w:id="91"/>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hyperlink" Id="rId73"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50" Target="https://doi.org/10.1016/j.jas.2014.07.014" TargetMode="External" /><Relationship Type="http://schemas.openxmlformats.org/officeDocument/2006/relationships/hyperlink" Id="rId81"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2" Target="https://doi.org/10.1038/srep39122" TargetMode="External" /><Relationship Type="http://schemas.openxmlformats.org/officeDocument/2006/relationships/hyperlink" Id="rId47" Target="https://doi.org/10.1057/s41599-019-0295-9" TargetMode="External" /><Relationship Type="http://schemas.openxmlformats.org/officeDocument/2006/relationships/hyperlink" Id="rId43" Target="https://doi.org/10.1073/pnas.0903232106" TargetMode="External" /><Relationship Type="http://schemas.openxmlformats.org/officeDocument/2006/relationships/hyperlink" Id="rId45" Target="https://doi.org/10.1098/rspb.2004.2746" TargetMode="External" /><Relationship Type="http://schemas.openxmlformats.org/officeDocument/2006/relationships/hyperlink" Id="rId67" Target="https://doi.org/10.1111/j.1558-5646.2007.00310.x" TargetMode="External" /><Relationship Type="http://schemas.openxmlformats.org/officeDocument/2006/relationships/hyperlink" Id="rId54" Target="https://doi.org/10.1371/journal.pone.0041010" TargetMode="External" /><Relationship Type="http://schemas.openxmlformats.org/officeDocument/2006/relationships/hyperlink" Id="rId71" Target="https://doi.org/10.1371/journal.pone.0124942" TargetMode="External" /><Relationship Type="http://schemas.openxmlformats.org/officeDocument/2006/relationships/hyperlink" Id="rId69" Target="https://doi.org/10.1371/journal.pone.0250690" TargetMode="External" /><Relationship Type="http://schemas.openxmlformats.org/officeDocument/2006/relationships/hyperlink" Id="rId62" Target="https://doi.org/10.1525/aa.2001.103.4.992" TargetMode="External" /><Relationship Type="http://schemas.openxmlformats.org/officeDocument/2006/relationships/hyperlink" Id="rId59" Target="https://doi.org/10.1534/genetics.113.158220" TargetMode="External" /><Relationship Type="http://schemas.openxmlformats.org/officeDocument/2006/relationships/hyperlink" Id="rId65" Target="https://doi.org/10.1666/05070.1" TargetMode="External" /><Relationship Type="http://schemas.openxmlformats.org/officeDocument/2006/relationships/hyperlink" Id="rId56"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50" Target="https://doi.org/10.1016/j.jas.2014.07.014" TargetMode="External" /><Relationship Type="http://schemas.openxmlformats.org/officeDocument/2006/relationships/hyperlink" Id="rId81"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2" Target="https://doi.org/10.1038/srep39122" TargetMode="External" /><Relationship Type="http://schemas.openxmlformats.org/officeDocument/2006/relationships/hyperlink" Id="rId47" Target="https://doi.org/10.1057/s41599-019-0295-9" TargetMode="External" /><Relationship Type="http://schemas.openxmlformats.org/officeDocument/2006/relationships/hyperlink" Id="rId43" Target="https://doi.org/10.1073/pnas.0903232106" TargetMode="External" /><Relationship Type="http://schemas.openxmlformats.org/officeDocument/2006/relationships/hyperlink" Id="rId45" Target="https://doi.org/10.1098/rspb.2004.2746" TargetMode="External" /><Relationship Type="http://schemas.openxmlformats.org/officeDocument/2006/relationships/hyperlink" Id="rId67" Target="https://doi.org/10.1111/j.1558-5646.2007.00310.x" TargetMode="External" /><Relationship Type="http://schemas.openxmlformats.org/officeDocument/2006/relationships/hyperlink" Id="rId54" Target="https://doi.org/10.1371/journal.pone.0041010" TargetMode="External" /><Relationship Type="http://schemas.openxmlformats.org/officeDocument/2006/relationships/hyperlink" Id="rId71" Target="https://doi.org/10.1371/journal.pone.0124942" TargetMode="External" /><Relationship Type="http://schemas.openxmlformats.org/officeDocument/2006/relationships/hyperlink" Id="rId69" Target="https://doi.org/10.1371/journal.pone.0250690" TargetMode="External" /><Relationship Type="http://schemas.openxmlformats.org/officeDocument/2006/relationships/hyperlink" Id="rId62" Target="https://doi.org/10.1525/aa.2001.103.4.992" TargetMode="External" /><Relationship Type="http://schemas.openxmlformats.org/officeDocument/2006/relationships/hyperlink" Id="rId59" Target="https://doi.org/10.1534/genetics.113.158220" TargetMode="External" /><Relationship Type="http://schemas.openxmlformats.org/officeDocument/2006/relationships/hyperlink" Id="rId65" Target="https://doi.org/10.1666/05070.1" TargetMode="External" /><Relationship Type="http://schemas.openxmlformats.org/officeDocument/2006/relationships/hyperlink" Id="rId56"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2026-06-18T00:49:12Z</dcterms:created>
  <dcterms:modified xsi:type="dcterms:W3CDTF">2026-06-18T00:49:12Z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