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4"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lower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Williams’s southeast-Missouri phases,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se basa en la premisa tácita de que los conjuntos más similares a sus vecinos cercanos que a los distantes registran una sociedad delimitada. Aunque la validez de las fases ha sido cuestionada, la justificación de asumir estas unidades rara vez se pone a prueba. La transmisión cultural neutral produce el mismo agrupamiento sin grupos delimitados, ya que la deriva concentra estilos similares en áreas cercanas. Para el valle inferior del Misisipi de finales del período precontacto, evaluamos si la similitud de la cerámica decorada registra grupos de interacción delimitados o deriva espacialmente estructurada.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las fases del sureste de Misuri de Williams,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76496"/>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the HydroRIVERS river network (Lehner and Grill 2013), with line width scaled by flow order so the Mississippi main stem reads as the heaviest line.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7649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the HydroRIVERS river network</w:t>
      </w:r>
      <w:r>
        <w:t xml:space="preserve"> </w:t>
      </w:r>
      <w:r>
        <w:t xml:space="preserve">(Lehner and Grill 2013)</w:t>
      </w:r>
      <w:r>
        <w:t xml:space="preserve">, with line width scaled by flow order so the Mississippi main stem reads as the heaviest line.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equifinality, the same pattern reached by different processes, and it undermines any inference resting on one signature</w:t>
      </w:r>
      <w:r>
        <w:t xml:space="preserve"> </w:t>
      </w:r>
      <w:r>
        <w:t xml:space="preserve">(Barrett 2019; Crema et al. 2016; Kandler and Shennan 2015; Mesoudi 2021)</w:t>
      </w:r>
      <w:r>
        <w:t xml:space="preserve">. We therefore compare the candidate processes in a generative manner by simulating neutral spatial drift and bounded groups on the real coordinate layout of the assemblages, and asking which one best reproduces the observed structure. Because the assemblages are time-averaged and sampled, we calibrate that comparison to the record with a signal-recovery experiment, so that a negative result reflects the absence of group structure rather than a failure of resolution. This calibration is the transferable contribution, because before any similarity structure is interpreted as social, a record must be shown able to distinguish drift from groups at all.</w:t>
      </w:r>
    </w:p>
    <w:p>
      <w:pPr>
        <w:pStyle w:val="BodyText"/>
      </w:pPr>
      <w:r>
        <w:t xml:space="preserve">The argument proceeds in five steps. First, we examine where the phase concept originates and how Parkin came to be recognized as a polity, since that reading is inherited from the unit rather than established on its own merits. Second, we develop a theoretical basis for detecting structure among interacting populations, one in which a group is a region of locally intensified copying rather than a bounded type. Third, we select theory-grounded signatures that can register whether a set of decorated ceramic type frequencies carries the structure that closed groups would leave. Fourth, we develop methods matched to the quality of the archaeological record, whose assemblages are time-averaged rather than synchronic snapshots, so that each signature is tested against the resolution the deposits actually preserve. Finally, we assess the decorated-ceramic record of the lower Mississippi Valley, first the St. Francis basin Parkin phase and then the independently defined southeast-Missouri phases of Williams.</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adopt the population thinking of Mayr</w:t>
      </w:r>
      <w:r>
        <w:t xml:space="preserve"> </w:t>
      </w:r>
      <w:r>
        <w:t xml:space="preserve">(1959)</w:t>
      </w:r>
      <w:r>
        <w:t xml:space="preserve">, introduced to archaeology by Dunnell</w:t>
      </w:r>
      <w:r>
        <w:t xml:space="preserve"> </w:t>
      </w:r>
      <w:r>
        <w:t xml:space="preserve">(1980)</w:t>
      </w:r>
      <w:r>
        <w:t xml:space="preserve">, which frames the question differently from the way the lower Mississippi Valley record is usually read. Archaeologists often treat the past as made of bounded units, the phase, the polity, the society, each a discrete entity with members and edges, and read a cluster of similar assemblages as one such unit. That is typological thinking, in which the type is the real object and the variation among assemblages is noise around it. Population thinking reverses that priority, treating variation among individuals as reality and the type as an abstraction derived from it. We therefore treat transmission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also a matter of degree.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w:t>
      </w:r>
      <w:r>
        <w:t xml:space="preserve"> </w:t>
      </w:r>
      <m:oMath>
        <m:sSub>
          <m:e>
            <m:r>
              <m:t>F</m:t>
            </m:r>
          </m:e>
          <m:sub>
            <m:r>
              <m:t>S</m:t>
            </m:r>
            <m:r>
              <m:t>T</m:t>
            </m:r>
          </m:sub>
        </m:sSub>
      </m:oMath>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w:t>
      </w:r>
      <w:r>
        <w:t xml:space="preserve"> </w:t>
      </w:r>
      <m:oMath>
        <m:sSub>
          <m:e>
            <m:r>
              <m:t>F</m:t>
            </m:r>
          </m:e>
          <m:sub>
            <m:r>
              <m:t>S</m:t>
            </m:r>
            <m:r>
              <m:t>T</m:t>
            </m:r>
          </m:sub>
        </m:sSub>
      </m:oMath>
      <w:r>
        <w:t xml:space="preserve"> </w:t>
      </w:r>
      <w:r>
        <w:t xml:space="preserve">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w:t>
      </w:r>
      <w:r>
        <w:t xml:space="preserve"> </w:t>
      </w:r>
      <m:oMath>
        <m:sSub>
          <m:e>
            <m:r>
              <m:t>F</m:t>
            </m:r>
          </m:e>
          <m:sub>
            <m:r>
              <m:t>S</m:t>
            </m:r>
            <m:r>
              <m:t>T</m:t>
            </m:r>
          </m:sub>
        </m:sSub>
      </m:oMath>
      <w:r>
        <w:t xml:space="preserve"> </w:t>
      </w:r>
      <w:r>
        <w:t xml:space="preserve">sits near zero. As groups come to favor distinct repertoires, the between-group share grows, and</w:t>
      </w:r>
      <w:r>
        <w:t xml:space="preserve"> </w:t>
      </w:r>
      <m:oMath>
        <m:sSub>
          <m:e>
            <m:r>
              <m:t>F</m:t>
            </m:r>
          </m:e>
          <m:sub>
            <m:r>
              <m:t>S</m:t>
            </m:r>
            <m:r>
              <m:t>T</m:t>
            </m:r>
          </m:sub>
        </m:sSub>
      </m:oMath>
      <w:r>
        <w:t xml:space="preserve"> </w:t>
      </w:r>
      <w:r>
        <w:t xml:space="preserve">climbs</w:t>
      </w:r>
      <w:r>
        <w:t xml:space="preserve"> </w:t>
      </w:r>
      <w:r>
        <w:t xml:space="preserve">(Neiman 1995)</w:t>
      </w:r>
      <w:r>
        <w:t xml:space="preserve">.</w:t>
      </w:r>
      <w:r>
        <w:t xml:space="preserve"> </w:t>
      </w:r>
      <m:oMath>
        <m:sSub>
          <m:e>
            <m:r>
              <m:t>F</m:t>
            </m:r>
          </m:e>
          <m:sub>
            <m:r>
              <m:t>S</m:t>
            </m:r>
            <m:r>
              <m:t>T</m:t>
            </m:r>
          </m:sub>
        </m:sSub>
      </m:oMath>
      <w:r>
        <w:t xml:space="preserve"> </w:t>
      </w:r>
      <w:r>
        <w:t xml:space="preserve">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conformity,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w:t>
      </w:r>
      <w:r>
        <w:t xml:space="preserve"> </w:t>
      </w:r>
      <m:oMath>
        <m:sSub>
          <m:e>
            <m:r>
              <m:t>F</m:t>
            </m:r>
          </m:e>
          <m:sub>
            <m:r>
              <m:t>S</m:t>
            </m:r>
            <m:r>
              <m:t>T</m:t>
            </m:r>
          </m:sub>
        </m:sSub>
      </m:oMath>
      <w:r>
        <w:t xml:space="preserve"> </w:t>
      </w:r>
      <w:r>
        <w:t xml:space="preserve">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w:t>
      </w:r>
      <w:r>
        <w:t xml:space="preserve"> </w:t>
      </w:r>
      <m:oMath>
        <m:sSub>
          <m:e>
            <m:r>
              <m:t>F</m:t>
            </m:r>
          </m:e>
          <m:sub>
            <m:r>
              <m:t>S</m:t>
            </m:r>
            <m:r>
              <m:t>T</m:t>
            </m:r>
          </m:sub>
        </m:sSub>
      </m:oMath>
      <w:r>
        <w:t xml:space="preserve">,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conformity</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w:t>
      </w:r>
      <w:r>
        <w:t xml:space="preserve"> </w:t>
      </w:r>
      <m:oMath>
        <m:sSub>
          <m:e>
            <m:r>
              <m:t>F</m:t>
            </m:r>
          </m:e>
          <m:sub>
            <m:r>
              <m:t>S</m:t>
            </m:r>
            <m:r>
              <m:t>T</m:t>
            </m:r>
          </m:sub>
        </m:sSub>
      </m:oMath>
      <w:r>
        <w:t xml:space="preserve"> </w:t>
      </w:r>
      <w:r>
        <w:t xml:space="preserve">and registers as a positive boundary signal even in the absence of a social boundary, a mimicry that the record-matched controls demonstrate (see Results, Figure S3). Aggregated conformity,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5951"/>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5951"/>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w:t>
      </w:r>
      <w:r>
        <w:t xml:space="preserve"> </w:t>
      </w:r>
      <m:oMath>
        <m:sSub>
          <m:e>
            <m:r>
              <m:t>F</m:t>
            </m:r>
          </m:e>
          <m:sub>
            <m:r>
              <m:t>S</m:t>
            </m:r>
            <m:r>
              <m:t>T</m:t>
            </m:r>
          </m:sub>
        </m:sSub>
      </m:oMath>
      <w:r>
        <w:t xml:space="preserve"> </w:t>
      </w:r>
      <w:r>
        <w:t xml:space="preserve">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w:t>
      </w:r>
      <w:r>
        <w:t xml:space="preserve"> </w:t>
      </w:r>
      <m:oMath>
        <m:sSub>
          <m:e>
            <m:r>
              <m:t>F</m:t>
            </m:r>
          </m:e>
          <m:sub>
            <m:r>
              <m:t>S</m:t>
            </m:r>
            <m:r>
              <m:t>T</m:t>
            </m:r>
          </m:sub>
        </m:sSub>
      </m:oMath>
      <w:r>
        <w:t xml:space="preserve"> </w:t>
      </w:r>
      <w:r>
        <w:t xml:space="preserve">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w:t>
      </w:r>
      <w:r>
        <w:t xml:space="preserve"> </w:t>
      </w:r>
      <m:oMath>
        <m:sSub>
          <m:e>
            <m:r>
              <m:t>F</m:t>
            </m:r>
          </m:e>
          <m:sub>
            <m:r>
              <m:t>S</m:t>
            </m:r>
            <m:r>
              <m:t>T</m:t>
            </m:r>
          </m:sub>
        </m:sSub>
      </m:oMath>
      <w:r>
        <w:t xml:space="preserve"> </w:t>
      </w:r>
      <w:r>
        <w:t xml:space="preserve">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w:t>
      </w:r>
      <w:r>
        <w:t xml:space="preserve"> </w:t>
      </w:r>
      <m:oMath>
        <m:sSub>
          <m:e>
            <m:r>
              <m:t>F</m:t>
            </m:r>
          </m:e>
          <m:sub>
            <m:r>
              <m:t>S</m:t>
            </m:r>
            <m:r>
              <m:t>T</m:t>
            </m:r>
          </m:sub>
        </m:sSub>
      </m:oMath>
      <w:r>
        <w:t xml:space="preserve">),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conformity,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that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w:t>
      </w:r>
      <w:r>
        <w:t xml:space="preserve"> </w:t>
      </w:r>
      <m:oMath>
        <m:sSub>
          <m:e>
            <m:r>
              <m:t>F</m:t>
            </m:r>
          </m:e>
          <m:sub>
            <m:r>
              <m:t>S</m:t>
            </m:r>
            <m:r>
              <m:t>T</m:t>
            </m:r>
          </m:sub>
        </m:sSub>
      </m:oMath>
      <w:r>
        <w:t xml:space="preserve"> </w:t>
      </w:r>
      <w:r>
        <w:t xml:space="preserve">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a second, independently constructed phase scheme,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placing the two regions in a single coordinate frame. We then applied the same within-region structure test to Williams’s assemblages, restricting the analysis to Mississippian classes and scoring the between-cluster cultural</w:t>
      </w:r>
      <w:r>
        <w:t xml:space="preserve"> </w:t>
      </w:r>
      <m:oMath>
        <m:sSub>
          <m:e>
            <m:r>
              <m:t>F</m:t>
            </m:r>
          </m:e>
          <m:sub>
            <m:r>
              <m:t>S</m:t>
            </m:r>
            <m:r>
              <m:t>T</m:t>
            </m:r>
          </m:sub>
        </m:sSub>
      </m:oMath>
      <w:r>
        <w:t xml:space="preserve"> </w:t>
      </w:r>
      <w:r>
        <w:t xml:space="preserve">against the drift and bounded-groups nulls on the southeast-Missouri coordinates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w:t>
      </w:r>
      <w:r>
        <w:t xml:space="preserve"> </w:t>
      </w:r>
      <m:oMath>
        <m:sSub>
          <m:e>
            <m:r>
              <m:t>F</m:t>
            </m:r>
          </m:e>
          <m:sub>
            <m:r>
              <m:t>S</m:t>
            </m:r>
            <m:r>
              <m:t>T</m:t>
            </m:r>
          </m:sub>
        </m:sSub>
      </m:oMath>
      <w:r>
        <w:t xml:space="preserve">,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w:t>
      </w:r>
      <w:r>
        <w:t xml:space="preserve"> </w:t>
      </w:r>
      <m:oMath>
        <m:sSub>
          <m:e>
            <m:r>
              <m:t>F</m:t>
            </m:r>
          </m:e>
          <m:sub>
            <m:r>
              <m:t>S</m:t>
            </m:r>
            <m:r>
              <m:t>T</m:t>
            </m:r>
          </m:sub>
        </m:sSub>
      </m:oMath>
      <w:r>
        <w:t xml:space="preserve"> </w:t>
      </w:r>
      <w:r>
        <w:t xml:space="preserve">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w:t>
      </w:r>
      <w:r>
        <w:t xml:space="preserve"> </w:t>
      </w:r>
      <m:oMath>
        <m:sSub>
          <m:e>
            <m:r>
              <m:t>F</m:t>
            </m:r>
          </m:e>
          <m:sub>
            <m:r>
              <m:t>S</m:t>
            </m:r>
            <m:r>
              <m:t>T</m:t>
            </m:r>
          </m:sub>
        </m:sSub>
      </m:oMath>
      <w:r>
        <w:t xml:space="preserve"> </w:t>
      </w:r>
      <w:r>
        <w:t xml:space="preserve">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w:t>
      </w:r>
      <w:r>
        <w:t xml:space="preserve"> </w:t>
      </w:r>
      <m:oMath>
        <m:sSub>
          <m:e>
            <m:r>
              <m:t>F</m:t>
            </m:r>
          </m:e>
          <m:sub>
            <m:r>
              <m:t>S</m:t>
            </m:r>
            <m:r>
              <m:t>T</m:t>
            </m:r>
          </m:sub>
        </m:sSub>
      </m:oMath>
      <w:r>
        <w:t xml:space="preserve"> </w:t>
      </w:r>
      <w:r>
        <w:t xml:space="preserve">tracks the injected signal monotonically. The neutral departure is non-monotonic in conformity, the spatial boundary is unresponsive at three spatial clusters, and seriation coherence is weak. Right: detection power of the calibrated</w:t>
      </w:r>
      <w:r>
        <w:t xml:space="preserve"> </w:t>
      </w:r>
      <m:oMath>
        <m:sSub>
          <m:e>
            <m:r>
              <m:t>F</m:t>
            </m:r>
          </m:e>
          <m:sub>
            <m:r>
              <m:t>S</m:t>
            </m:r>
            <m:r>
              <m:t>T</m:t>
            </m:r>
          </m:sub>
        </m:sSub>
      </m:oMath>
      <w:r>
        <w:t xml:space="preserve"> </w:t>
      </w:r>
      <w:r>
        <w:t xml:space="preserve">test against injected strength, with and without the record’s time-averaging (false-positive rate 0.05).</w:t>
      </w:r>
      <w:r>
        <w:t xml:space="preserve"> </w:t>
      </w:r>
      <m:oMath>
        <m:sSub>
          <m:e>
            <m:r>
              <m:t>F</m:t>
            </m:r>
          </m:e>
          <m:sub>
            <m:r>
              <m:t>S</m:t>
            </m:r>
            <m:r>
              <m:t>T</m:t>
            </m:r>
          </m:sub>
        </m:sSub>
      </m:oMath>
      <w:r>
        <w:t xml:space="preserve"> </w:t>
      </w:r>
      <w:r>
        <w:t xml:space="preserve">reliably recovers a closure of strength s greater than or equal to 0.5 (0.7 time-averaged). The size-controlled empirical</w:t>
      </w:r>
      <w:r>
        <w:t xml:space="preserve"> </w:t>
      </w:r>
      <m:oMath>
        <m:sSub>
          <m:e>
            <m:r>
              <m:t>F</m:t>
            </m:r>
          </m:e>
          <m:sub>
            <m:r>
              <m:t>S</m:t>
            </m:r>
            <m:r>
              <m:t>T</m:t>
            </m:r>
          </m:sub>
        </m:sSub>
      </m:oMath>
      <w:r>
        <w:t xml:space="preserve"> </w:t>
      </w:r>
      <w:r>
        <w:t xml:space="preserve">(+0.01)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w:t>
      </w:r>
      <w:r>
        <w:t xml:space="preserve"> </w:t>
      </w:r>
      <m:oMath>
        <m:sSub>
          <m:e>
            <m:r>
              <m:t>F</m:t>
            </m:r>
          </m:e>
          <m:sub>
            <m:r>
              <m:t>S</m:t>
            </m:r>
            <m:r>
              <m:t>T</m:t>
            </m:r>
          </m:sub>
        </m:sSub>
      </m:oMath>
      <w:r>
        <w:t xml:space="preserve"> </w:t>
      </w:r>
      <w:r>
        <w:t xml:space="preserve">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w:t>
      </w:r>
      <w:r>
        <w:t xml:space="preserve"> </w:t>
      </w:r>
      <m:oMath>
        <m:sSub>
          <m:e>
            <m:r>
              <m:t>F</m:t>
            </m:r>
          </m:e>
          <m:sub>
            <m:r>
              <m:t>S</m:t>
            </m:r>
            <m:r>
              <m:t>T</m:t>
            </m:r>
          </m:sub>
        </m:sSub>
      </m:oMath>
      <w:r>
        <w:t xml:space="preserve"> </w:t>
      </w:r>
      <w:r>
        <w:t xml:space="preserve">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63208"/>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63208"/>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w:t>
      </w:r>
      <w:r>
        <w:t xml:space="preserve"> </w:t>
      </w:r>
      <m:oMath>
        <m:sSub>
          <m:e>
            <m:r>
              <m:t>F</m:t>
            </m:r>
          </m:e>
          <m:sub>
            <m:r>
              <m:t>S</m:t>
            </m:r>
            <m:r>
              <m:t>T</m:t>
            </m:r>
          </m:sub>
        </m:sSub>
      </m:oMath>
      <w:r>
        <w:t xml:space="preserve">,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different combinations and configurations.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w:t>
      </w:r>
      <w:r>
        <w:t xml:space="preserve"> </w:t>
      </w:r>
      <m:oMath>
        <m:sSub>
          <m:e>
            <m:r>
              <m:t>F</m:t>
            </m:r>
          </m:e>
          <m:sub>
            <m:r>
              <m:t>S</m:t>
            </m:r>
            <m:r>
              <m:t>T</m:t>
            </m:r>
          </m:sub>
        </m:sSub>
      </m:oMath>
      <w:r>
        <w:t xml:space="preserve"> </w:t>
      </w:r>
      <w:r>
        <w:t xml:space="preserve">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w:t>
      </w:r>
      <w:r>
        <w:t xml:space="preserve"> </w:t>
      </w:r>
      <m:oMath>
        <m:sSub>
          <m:e>
            <m:r>
              <m:t>F</m:t>
            </m:r>
          </m:e>
          <m:sub>
            <m:r>
              <m:t>S</m:t>
            </m:r>
            <m:r>
              <m:t>T</m:t>
            </m:r>
          </m:sub>
        </m:sSub>
      </m:oMath>
      <w:r>
        <w:t xml:space="preserve">,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signature.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w:t>
      </w:r>
      <w:r>
        <w:t xml:space="preserve"> </w:t>
      </w:r>
      <m:oMath>
        <m:sSub>
          <m:e>
            <m:r>
              <m:t>F</m:t>
            </m:r>
          </m:e>
          <m:sub>
            <m:r>
              <m:t>S</m:t>
            </m:r>
            <m:r>
              <m:t>T</m:t>
            </m:r>
          </m:sub>
        </m:sSub>
      </m:oMath>
      <w:r>
        <w:t xml:space="preserve"> </w:t>
      </w:r>
      <w:r>
        <w:t xml:space="preserve">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all but one of the runs, and the between-group</w:t>
      </w:r>
      <w:r>
        <w:t xml:space="preserve"> </w:t>
      </w:r>
      <m:oMath>
        <m:sSub>
          <m:e>
            <m:r>
              <m:t>F</m:t>
            </m:r>
          </m:e>
          <m:sub>
            <m:r>
              <m:t>S</m:t>
            </m:r>
            <m:r>
              <m:t>T</m:t>
            </m:r>
          </m:sub>
        </m:sSub>
      </m:oMath>
      <w:r>
        <w:t xml:space="preserve"> </w:t>
      </w:r>
      <w:r>
        <w:t xml:space="preserve">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w:t>
      </w:r>
      <w:r>
        <w:t xml:space="preserve"> </w:t>
      </w:r>
      <m:oMath>
        <m:sSub>
          <m:e>
            <m:r>
              <m:t>F</m:t>
            </m:r>
          </m:e>
          <m:sub>
            <m:r>
              <m:t>S</m:t>
            </m:r>
            <m:r>
              <m:t>T</m:t>
            </m:r>
          </m:sub>
        </m:sSub>
      </m:oMath>
      <w:r>
        <w:t xml:space="preserve"> </w:t>
      </w:r>
      <w:r>
        <w:t xml:space="preserve">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w:t>
      </w:r>
      <w:r>
        <w:t xml:space="preserve"> </w:t>
      </w:r>
      <m:oMath>
        <m:sSub>
          <m:e>
            <m:r>
              <m:t>F</m:t>
            </m:r>
          </m:e>
          <m:sub>
            <m:r>
              <m:t>S</m:t>
            </m:r>
            <m:r>
              <m:t>T</m:t>
            </m:r>
          </m:sub>
        </m:sSub>
      </m:oMath>
      <w:r>
        <w:t xml:space="preserve"> </w:t>
      </w:r>
      <w:r>
        <w:t xml:space="preserve">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w:t>
      </w:r>
      <w:r>
        <w:t xml:space="preserve"> </w:t>
      </w:r>
      <m:oMath>
        <m:sSub>
          <m:e>
            <m:r>
              <m:t>F</m:t>
            </m:r>
          </m:e>
          <m:sub>
            <m:r>
              <m:t>S</m:t>
            </m:r>
            <m:r>
              <m:t>T</m:t>
            </m:r>
          </m:sub>
        </m:sSub>
      </m:oMath>
      <w:r>
        <w:t xml:space="preserve"> </w:t>
      </w:r>
      <w:r>
        <w:t xml:space="preserve">(dashed) against the drift null; 0.4 percent of runs reach or exceed it, and the null’s tail extends past it. (D) Leave-one-out jackknife: the observed</w:t>
      </w:r>
      <w:r>
        <w:t xml:space="preserve"> </w:t>
      </w:r>
      <m:oMath>
        <m:sSub>
          <m:e>
            <m:r>
              <m:t>F</m:t>
            </m:r>
          </m:e>
          <m:sub>
            <m:r>
              <m:t>S</m:t>
            </m:r>
            <m:r>
              <m:t>T</m:t>
            </m:r>
          </m:sub>
        </m:sSub>
      </m:oMath>
      <w:r>
        <w:t xml:space="preserve"> </w:t>
      </w:r>
      <w:r>
        <w:t xml:space="preserve">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weak: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w:t>
      </w:r>
      <w:r>
        <w:t xml:space="preserve"> </w:t>
      </w:r>
      <m:oMath>
        <m:sSub>
          <m:e>
            <m:r>
              <m:t>F</m:t>
            </m:r>
          </m:e>
          <m:sub>
            <m:r>
              <m:t>S</m:t>
            </m:r>
            <m:r>
              <m:t>T</m:t>
            </m:r>
          </m:sub>
        </m:sSub>
      </m:oMath>
      <w:r>
        <w:t xml:space="preserve">, and its size-controlled empirical value is uninformative. The negative is informative for a moderate or greater closure, which would have been detected.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dated proveniences across a calibration plateau, so the axis is a relative order oriented toward later time rather than a calendar rate. This matters less than it might because the discriminating quantity, the size-controlled</w:t>
      </w:r>
      <w:r>
        <w:t xml:space="preserve"> </w:t>
      </w:r>
      <m:oMath>
        <m:sSub>
          <m:e>
            <m:r>
              <m:t>F</m:t>
            </m:r>
          </m:e>
          <m:sub>
            <m:r>
              <m:t>S</m:t>
            </m:r>
            <m:r>
              <m:t>T</m:t>
            </m:r>
          </m:sub>
        </m:sSub>
      </m:oMath>
      <w:r>
        <w:t xml:space="preserve"> </w:t>
      </w:r>
      <w:r>
        <w:t xml:space="preserve">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w:t>
      </w:r>
      <w:r>
        <w:t xml:space="preserve"> </w:t>
      </w:r>
      <m:oMath>
        <m:sSub>
          <m:e>
            <m:r>
              <m:t>F</m:t>
            </m:r>
          </m:e>
          <m:sub>
            <m:r>
              <m:t>S</m:t>
            </m:r>
            <m:r>
              <m:t>T</m:t>
            </m:r>
          </m:sub>
        </m:sSub>
      </m:oMath>
      <w:r>
        <w:t xml:space="preserve">. We are explicit about what that costs. Had</w:t>
      </w:r>
      <w:r>
        <w:t xml:space="preserve"> </w:t>
      </w:r>
      <m:oMath>
        <m:sSub>
          <m:e>
            <m:r>
              <m:t>F</m:t>
            </m:r>
          </m:e>
          <m:sub>
            <m:r>
              <m:t>S</m:t>
            </m:r>
            <m:r>
              <m:t>T</m:t>
            </m:r>
          </m:sub>
        </m:sSub>
      </m:oMath>
      <w:r>
        <w:t xml:space="preserve"> </w:t>
      </w:r>
      <w:r>
        <w:t xml:space="preserve">shown a positive trend, it alone could not have separated a real group from environmental patchiness, which also drives between-group variance (Table 1). In the positive case, the generative drift-versus-groups comparison, not</w:t>
      </w:r>
      <w:r>
        <w:t xml:space="preserve"> </w:t>
      </w:r>
      <m:oMath>
        <m:sSub>
          <m:e>
            <m:r>
              <m:t>F</m:t>
            </m:r>
          </m:e>
          <m:sub>
            <m:r>
              <m:t>S</m:t>
            </m:r>
            <m:r>
              <m:t>T</m:t>
            </m:r>
          </m:sub>
        </m:sSub>
      </m:oMath>
      <w:r>
        <w:t xml:space="preserve"> </w:t>
      </w:r>
      <w:r>
        <w:t xml:space="preserve">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same conclusion holds beyond the St. Francis basin, in southeast Missouri (Figure 10). Williams</w:t>
      </w:r>
      <w:r>
        <w:t xml:space="preserve"> </w:t>
      </w:r>
      <w:r>
        <w:t xml:space="preserve">(1954)</w:t>
      </w:r>
      <w:r>
        <w:t xml:space="preserve"> </w:t>
      </w:r>
      <w:r>
        <w:t xml:space="preserve">divided the southeast-Missouri lowlands into four Mississippian phases, and Fox</w:t>
      </w:r>
      <w:r>
        <w:t xml:space="preserve"> </w:t>
      </w:r>
      <w:r>
        <w:t xml:space="preserve">(1998)</w:t>
      </w:r>
      <w:r>
        <w:t xml:space="preserve"> </w:t>
      </w:r>
      <w:r>
        <w:t xml:space="preserve">showed, by Brainerd-Robinson similarity and cluster analysis, that those phases hold up as neither groups nor classes. Applied to the same assemblages, the transmission test reaches that verdict by a different route. The within-region structure is drift-consistent; the between-cluster cultural</w:t>
      </w:r>
      <w:r>
        <w:t xml:space="preserve"> </w:t>
      </w:r>
      <m:oMath>
        <m:sSub>
          <m:e>
            <m:r>
              <m:t>F</m:t>
            </m:r>
          </m:e>
          <m:sub>
            <m:r>
              <m:t>S</m:t>
            </m:r>
            <m:r>
              <m:t>T</m:t>
            </m:r>
          </m:sub>
        </m:sSub>
      </m:oMath>
      <w:r>
        <w:t xml:space="preserve"> </w:t>
      </w:r>
      <w:r>
        <w:t xml:space="preserve">is at the neutral-drift level and far below the bounded-groups expectation; and the assemblages intermix rather than separating into clusters (Figure 11). Williams’s phases, like the named phases of the lower valley, are arbitrary divisions of a continuous field structured by geography and time, not bounded interaction groups. The conclusion is not peculiar to one phase scheme. A culture-history phase is not, by itself, a real social unit.</w:t>
      </w:r>
    </w:p>
    <w:p>
      <w:pPr>
        <w:pStyle w:val="CaptionedFigure"/>
      </w:pPr>
      <w:r>
        <w:drawing>
          <wp:inline>
            <wp:extent cx="4572000" cy="5251704"/>
            <wp:effectExtent b="0" l="0" r="0" t="0"/>
            <wp:docPr descr="Figure 10. Regional setting of the two-phase schemes.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e Mississippi main stem reads as the heaviest line. State boundaries and the North America locator inset are from Natural Earth."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two-phase schemes.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the Mississippi main stem reads as the heaviest line. State boundaries and the North America locator inset are from Natural Earth.</w:t>
      </w:r>
    </w:p>
    <w:p>
      <w:pPr>
        <w:pStyle w:val="CaptionedFigure"/>
      </w:pPr>
      <w:r>
        <w:drawing>
          <wp:inline>
            <wp:extent cx="4754880" cy="3765844"/>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65844"/>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w:t>
      </w:r>
      <w:r>
        <w:t xml:space="preserve"> </w:t>
      </w:r>
      <m:oMath>
        <m:sSub>
          <m:e>
            <m:r>
              <m:t>F</m:t>
            </m:r>
          </m:e>
          <m:sub>
            <m:r>
              <m:t>S</m:t>
            </m:r>
            <m:r>
              <m:t>T</m:t>
            </m:r>
          </m:sub>
        </m:sSub>
      </m:oMath>
      <w:r>
        <w:t xml:space="preserve"> </w:t>
      </w:r>
      <w:r>
        <w:t xml:space="preserve">for each region (diamond) against the 95% nulls of a neutral spatial-drift model (light gray) and a bounded-groups model (dark gray) run on the real coordinates and subsampled to the observed counts. In both regions, the observed</w:t>
      </w:r>
      <w:r>
        <w:t xml:space="preserve"> </w:t>
      </w:r>
      <m:oMath>
        <m:sSub>
          <m:e>
            <m:r>
              <m:t>F</m:t>
            </m:r>
          </m:e>
          <m:sub>
            <m:r>
              <m:t>S</m:t>
            </m:r>
            <m:r>
              <m:t>T</m:t>
            </m:r>
          </m:sub>
        </m:sSub>
      </m:oMath>
      <w:r>
        <w:t xml:space="preserve"> </w:t>
      </w:r>
      <w:r>
        <w:t xml:space="preserve">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-0.020 to +0.035, including zero), which rules out a strong basin-wide conformist bias</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The same test, applied to Williams’s southeast-Missouri phases, a second and independently built phase scheme, returns the same verdict. They too dissolve into spatially structured drift.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On publication, a versioned snapshot of the repository will be released at https://doi.org/10.5281/zenodo.20796240.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3" w:name="references"/>
    <w:p>
      <w:pPr>
        <w:pStyle w:val="Heading2"/>
      </w:pPr>
      <w:r>
        <w:t xml:space="preserve">References</w:t>
      </w:r>
    </w:p>
    <w:bookmarkStart w:id="232"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1"/>
    <w:bookmarkStart w:id="1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2"/>
    <w:bookmarkStart w:id="1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3"/>
    <w:bookmarkStart w:id="1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4">
        <w:r>
          <w:rPr>
            <w:rStyle w:val="Hyperlink"/>
          </w:rPr>
          <w:t xml:space="preserve">https://doi.org/10.1525/aa.2001.103.4.992</w:t>
        </w:r>
      </w:hyperlink>
      <w:r>
        <w:t xml:space="preserve">.</w:t>
      </w:r>
    </w:p>
    <w:bookmarkEnd w:id="115"/>
    <w:bookmarkStart w:id="1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6">
        <w:r>
          <w:rPr>
            <w:rStyle w:val="Hyperlink"/>
          </w:rPr>
          <w:t xml:space="preserve">https://doi.org/10.2307/4128416</w:t>
        </w:r>
      </w:hyperlink>
      <w:r>
        <w:t xml:space="preserve">.</w:t>
      </w:r>
    </w:p>
    <w:bookmarkEnd w:id="117"/>
    <w:bookmarkStart w:id="1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8">
        <w:r>
          <w:rPr>
            <w:rStyle w:val="Hyperlink"/>
          </w:rPr>
          <w:t xml:space="preserve">https://doi.org/10.1016/S1090-5138(98)00018-X</w:t>
        </w:r>
      </w:hyperlink>
      <w:r>
        <w:t xml:space="preserve">.</w:t>
      </w:r>
    </w:p>
    <w:bookmarkEnd w:id="119"/>
    <w:bookmarkStart w:id="1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0"/>
    <w:bookmarkStart w:id="1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1">
        <w:r>
          <w:rPr>
            <w:rStyle w:val="Hyperlink"/>
          </w:rPr>
          <w:t xml:space="preserve">https://doi.org/10.1017/aap.2021.10</w:t>
        </w:r>
      </w:hyperlink>
      <w:r>
        <w:t xml:space="preserve">.</w:t>
      </w:r>
    </w:p>
    <w:bookmarkEnd w:id="122"/>
    <w:bookmarkStart w:id="1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3"/>
    <w:bookmarkStart w:id="1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4"/>
    <w:bookmarkStart w:id="1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5"/>
    <w:bookmarkStart w:id="1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6">
        <w:r>
          <w:rPr>
            <w:rStyle w:val="Hyperlink"/>
          </w:rPr>
          <w:t xml:space="preserve">https://doi.org/10.1666/05070.1</w:t>
        </w:r>
      </w:hyperlink>
      <w:r>
        <w:t xml:space="preserve">.</w:t>
      </w:r>
    </w:p>
    <w:bookmarkEnd w:id="127"/>
    <w:bookmarkStart w:id="1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8">
        <w:r>
          <w:rPr>
            <w:rStyle w:val="Hyperlink"/>
          </w:rPr>
          <w:t xml:space="preserve">https://doi.org/10.1111/j.1558-5646.2007.00310.x</w:t>
        </w:r>
      </w:hyperlink>
      <w:r>
        <w:t xml:space="preserve">.</w:t>
      </w:r>
    </w:p>
    <w:bookmarkEnd w:id="129"/>
    <w:bookmarkStart w:id="1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0"/>
    <w:bookmarkStart w:id="1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1">
        <w:r>
          <w:rPr>
            <w:rStyle w:val="Hyperlink"/>
          </w:rPr>
          <w:t xml:space="preserve">https://doi.org/10.1016/j.jtbi.2013.03.006</w:t>
        </w:r>
      </w:hyperlink>
      <w:r>
        <w:t xml:space="preserve">.</w:t>
      </w:r>
    </w:p>
    <w:bookmarkEnd w:id="132"/>
    <w:bookmarkStart w:id="1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3">
        <w:r>
          <w:rPr>
            <w:rStyle w:val="Hyperlink"/>
          </w:rPr>
          <w:t xml:space="preserve">https://doi.org/10.1098/rsif.2015.0905</w:t>
        </w:r>
      </w:hyperlink>
      <w:r>
        <w:t xml:space="preserve">.</w:t>
      </w:r>
    </w:p>
    <w:bookmarkEnd w:id="134"/>
    <w:bookmarkStart w:id="1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5">
        <w:r>
          <w:rPr>
            <w:rStyle w:val="Hyperlink"/>
          </w:rPr>
          <w:t xml:space="preserve">https://doi.org/10.1098/rsos.170949</w:t>
        </w:r>
      </w:hyperlink>
      <w:r>
        <w:t xml:space="preserve">.</w:t>
      </w:r>
    </w:p>
    <w:bookmarkEnd w:id="136"/>
    <w:bookmarkStart w:id="1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7">
        <w:r>
          <w:rPr>
            <w:rStyle w:val="Hyperlink"/>
          </w:rPr>
          <w:t xml:space="preserve">https://doi.org/10.1146/annurev-ecolsys-110512-135838</w:t>
        </w:r>
      </w:hyperlink>
      <w:r>
        <w:t xml:space="preserve">.</w:t>
      </w:r>
    </w:p>
    <w:bookmarkEnd w:id="138"/>
    <w:bookmarkStart w:id="1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9"/>
    <w:bookmarkStart w:id="1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0">
        <w:r>
          <w:rPr>
            <w:rStyle w:val="Hyperlink"/>
          </w:rPr>
          <w:t xml:space="preserve">https://doi.org/10.2307/2694529</w:t>
        </w:r>
      </w:hyperlink>
      <w:r>
        <w:t xml:space="preserve">.</w:t>
      </w:r>
    </w:p>
    <w:bookmarkEnd w:id="141"/>
    <w:bookmarkStart w:id="142"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165"/>
    <w:bookmarkStart w:id="16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6"/>
    <w:bookmarkStart w:id="16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7"/>
    <w:bookmarkStart w:id="16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8">
        <w:r>
          <w:rPr>
            <w:rStyle w:val="Hyperlink"/>
          </w:rPr>
          <w:t xml:space="preserve">https://doi.org/10.1080/20548923.2018.1504490</w:t>
        </w:r>
      </w:hyperlink>
      <w:r>
        <w:t xml:space="preserve">.</w:t>
      </w:r>
    </w:p>
    <w:bookmarkEnd w:id="169"/>
    <w:bookmarkStart w:id="17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0"/>
    <w:bookmarkStart w:id="17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1"/>
    <w:bookmarkStart w:id="17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2"/>
    <w:bookmarkStart w:id="17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3"/>
    <w:bookmarkStart w:id="17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4"/>
    <w:bookmarkStart w:id="175"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5"/>
    <w:bookmarkStart w:id="17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6"/>
    <w:bookmarkStart w:id="177"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7"/>
    <w:bookmarkStart w:id="179"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8">
        <w:r>
          <w:rPr>
            <w:rStyle w:val="Hyperlink"/>
          </w:rPr>
          <w:t xml:space="preserve">https://doi.org/10.1098/rstb.2016.0426</w:t>
        </w:r>
      </w:hyperlink>
      <w:r>
        <w:t xml:space="preserve">.</w:t>
      </w:r>
    </w:p>
    <w:bookmarkEnd w:id="179"/>
    <w:bookmarkStart w:id="181"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0">
        <w:r>
          <w:rPr>
            <w:rStyle w:val="Hyperlink"/>
          </w:rPr>
          <w:t xml:space="preserve">https://doi.org/10.2307/279066</w:t>
        </w:r>
      </w:hyperlink>
      <w:r>
        <w:t xml:space="preserve">.</w:t>
      </w:r>
    </w:p>
    <w:bookmarkEnd w:id="181"/>
    <w:bookmarkStart w:id="183"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2">
        <w:r>
          <w:rPr>
            <w:rStyle w:val="Hyperlink"/>
          </w:rPr>
          <w:t xml:space="preserve">https://doi.org/10.1016/j.jas.2012.04.040</w:t>
        </w:r>
      </w:hyperlink>
      <w:r>
        <w:t xml:space="preserve">.</w:t>
      </w:r>
    </w:p>
    <w:bookmarkEnd w:id="183"/>
    <w:bookmarkStart w:id="185"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4">
        <w:r>
          <w:rPr>
            <w:rStyle w:val="Hyperlink"/>
          </w:rPr>
          <w:t xml:space="preserve">https://doi.org/10.1007/s10816-018-9364-4</w:t>
        </w:r>
      </w:hyperlink>
      <w:r>
        <w:t xml:space="preserve">.</w:t>
      </w:r>
    </w:p>
    <w:bookmarkEnd w:id="185"/>
    <w:bookmarkStart w:id="186"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6"/>
    <w:bookmarkStart w:id="187"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7"/>
    <w:bookmarkStart w:id="188"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8"/>
    <w:bookmarkStart w:id="190"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9">
        <w:r>
          <w:rPr>
            <w:rStyle w:val="Hyperlink"/>
          </w:rPr>
          <w:t xml:space="preserve">https://doi.org/10.1525/aa.1953.55.5.02a00030</w:t>
        </w:r>
      </w:hyperlink>
      <w:r>
        <w:t xml:space="preserve">.</w:t>
      </w:r>
    </w:p>
    <w:bookmarkEnd w:id="190"/>
    <w:bookmarkStart w:id="192"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1">
        <w:r>
          <w:rPr>
            <w:rStyle w:val="Hyperlink"/>
          </w:rPr>
          <w:t xml:space="preserve">https://doi.org/10.1126/science.1170165</w:t>
        </w:r>
      </w:hyperlink>
      <w:r>
        <w:t xml:space="preserve">.</w:t>
      </w:r>
    </w:p>
    <w:bookmarkEnd w:id="192"/>
    <w:bookmarkStart w:id="194"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3">
        <w:r>
          <w:rPr>
            <w:rStyle w:val="Hyperlink"/>
          </w:rPr>
          <w:t xml:space="preserve">https://doi.org/10.1086/674873</w:t>
        </w:r>
      </w:hyperlink>
      <w:r>
        <w:t xml:space="preserve">.</w:t>
      </w:r>
    </w:p>
    <w:bookmarkEnd w:id="194"/>
    <w:bookmarkStart w:id="196"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5">
        <w:r>
          <w:rPr>
            <w:rStyle w:val="Hyperlink"/>
          </w:rPr>
          <w:t xml:space="preserve">https://doi.org/10.7183/0002-7316.81.4.605</w:t>
        </w:r>
      </w:hyperlink>
      <w:r>
        <w:t xml:space="preserve">.</w:t>
      </w:r>
    </w:p>
    <w:bookmarkEnd w:id="196"/>
    <w:bookmarkStart w:id="198"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7">
        <w:r>
          <w:rPr>
            <w:rStyle w:val="Hyperlink"/>
          </w:rPr>
          <w:t xml:space="preserve">https://doi.org/10.7183/0002-7316.76.1.163</w:t>
        </w:r>
      </w:hyperlink>
      <w:r>
        <w:t xml:space="preserve">.</w:t>
      </w:r>
    </w:p>
    <w:bookmarkEnd w:id="198"/>
    <w:bookmarkStart w:id="199"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9"/>
    <w:bookmarkStart w:id="201"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0">
        <w:r>
          <w:rPr>
            <w:rStyle w:val="Hyperlink"/>
          </w:rPr>
          <w:t xml:space="preserve">https://doi.org/10.1017/RDC.2020.41</w:t>
        </w:r>
      </w:hyperlink>
      <w:r>
        <w:t xml:space="preserve">.</w:t>
      </w:r>
    </w:p>
    <w:bookmarkEnd w:id="201"/>
    <w:bookmarkStart w:id="203"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2">
        <w:r>
          <w:rPr>
            <w:rStyle w:val="Hyperlink"/>
          </w:rPr>
          <w:t xml:space="preserve">https://doi.org/10.1017/S0140525X1400106X</w:t>
        </w:r>
      </w:hyperlink>
      <w:r>
        <w:t xml:space="preserve">.</w:t>
      </w:r>
    </w:p>
    <w:bookmarkEnd w:id="203"/>
    <w:bookmarkStart w:id="205"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4">
        <w:r>
          <w:rPr>
            <w:rStyle w:val="Hyperlink"/>
          </w:rPr>
          <w:t xml:space="preserve">https://doi.org/10.1057/s41599-019-0260-7</w:t>
        </w:r>
      </w:hyperlink>
      <w:r>
        <w:t xml:space="preserve">.</w:t>
      </w:r>
    </w:p>
    <w:bookmarkEnd w:id="205"/>
    <w:bookmarkStart w:id="206"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6"/>
    <w:bookmarkStart w:id="207"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7"/>
    <w:bookmarkStart w:id="208"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8"/>
    <w:bookmarkStart w:id="210"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9">
        <w:r>
          <w:rPr>
            <w:rStyle w:val="Hyperlink"/>
          </w:rPr>
          <w:t xml:space="preserve">https://doi.org/10.1016/j.jtbi.2016.04.024</w:t>
        </w:r>
      </w:hyperlink>
      <w:r>
        <w:t xml:space="preserve">.</w:t>
      </w:r>
    </w:p>
    <w:bookmarkEnd w:id="210"/>
    <w:bookmarkStart w:id="212"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1">
        <w:r>
          <w:rPr>
            <w:rStyle w:val="Hyperlink"/>
          </w:rPr>
          <w:t xml:space="preserve">https://doi.org/10.1016/j.evolhumbehav.2014.09.006</w:t>
        </w:r>
      </w:hyperlink>
      <w:r>
        <w:t xml:space="preserve">.</w:t>
      </w:r>
    </w:p>
    <w:bookmarkEnd w:id="212"/>
    <w:bookmarkStart w:id="21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3"/>
    <w:bookmarkStart w:id="214"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4"/>
    <w:bookmarkStart w:id="215"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5"/>
    <w:bookmarkStart w:id="216"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6"/>
    <w:bookmarkStart w:id="21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7">
        <w:r>
          <w:rPr>
            <w:rStyle w:val="Hyperlink"/>
          </w:rPr>
          <w:t xml:space="preserve">https://doi.org/10.1006/jhev.1994.1037</w:t>
        </w:r>
      </w:hyperlink>
      <w:r>
        <w:t xml:space="preserve">.</w:t>
      </w:r>
    </w:p>
    <w:bookmarkEnd w:id="218"/>
    <w:bookmarkStart w:id="22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9">
        <w:r>
          <w:rPr>
            <w:rStyle w:val="Hyperlink"/>
          </w:rPr>
          <w:t xml:space="preserve">https://doi.org/10.1017/aaq.2024.1</w:t>
        </w:r>
      </w:hyperlink>
      <w:r>
        <w:t xml:space="preserve">.</w:t>
      </w:r>
    </w:p>
    <w:bookmarkEnd w:id="220"/>
    <w:bookmarkStart w:id="22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1"/>
    <w:bookmarkStart w:id="22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2">
        <w:r>
          <w:rPr>
            <w:rStyle w:val="Hyperlink"/>
          </w:rPr>
          <w:t xml:space="preserve">https://doi.org/10.1086/651661</w:t>
        </w:r>
      </w:hyperlink>
      <w:r>
        <w:t xml:space="preserve">.</w:t>
      </w:r>
    </w:p>
    <w:bookmarkEnd w:id="223"/>
    <w:bookmarkStart w:id="22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4"/>
    <w:bookmarkStart w:id="225" w:name="ref-williams_1954"/>
    <w:p>
      <w:pPr>
        <w:pStyle w:val="Bibliography"/>
      </w:pPr>
      <w:r>
        <w:t xml:space="preserve">Williams, Stephen. 1954. An Archeological Study of the Mississippian Culture in Southeast Missouri. PhD thesis, Yale University, New Haven.</w:t>
      </w:r>
    </w:p>
    <w:bookmarkEnd w:id="225"/>
    <w:bookmarkStart w:id="227"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6">
        <w:r>
          <w:rPr>
            <w:rStyle w:val="Hyperlink"/>
          </w:rPr>
          <w:t xml:space="preserve">https://doi.org/10.1093/genetics/28.2.114</w:t>
        </w:r>
      </w:hyperlink>
      <w:r>
        <w:t xml:space="preserve">.</w:t>
      </w:r>
    </w:p>
    <w:bookmarkEnd w:id="227"/>
    <w:bookmarkStart w:id="229"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8">
        <w:r>
          <w:rPr>
            <w:rStyle w:val="Hyperlink"/>
          </w:rPr>
          <w:t xml:space="preserve">https://doi.org/10.1111/j.1469-1809.1949.tb02451.x</w:t>
        </w:r>
      </w:hyperlink>
      <w:r>
        <w:t xml:space="preserve">.</w:t>
      </w:r>
    </w:p>
    <w:bookmarkEnd w:id="229"/>
    <w:bookmarkStart w:id="231"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0">
        <w:r>
          <w:rPr>
            <w:rStyle w:val="Hyperlink"/>
          </w:rPr>
          <w:t xml:space="preserve">https://doi.org/10.1017/ehs.2023.5</w:t>
        </w:r>
      </w:hyperlink>
      <w:r>
        <w:t xml:space="preserve">.</w:t>
      </w:r>
    </w:p>
    <w:bookmarkEnd w:id="231"/>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4"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1"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2"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9" Target="https://doi.org/10.1016/j.jtbi.2016.04.024" TargetMode="External" /><Relationship Type="http://schemas.openxmlformats.org/officeDocument/2006/relationships/hyperlink" Id="rId200"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2"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4"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3"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8" Target="https://doi.org/10.1098/rstb.2016.0426" TargetMode="External" /><Relationship Type="http://schemas.openxmlformats.org/officeDocument/2006/relationships/hyperlink" Id="rId228"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1"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9"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80"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7" Target="https://doi.org/10.7183/0002-7316.76.1.163" TargetMode="External" /><Relationship Type="http://schemas.openxmlformats.org/officeDocument/2006/relationships/hyperlink" Id="rId195"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4"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1"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2"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9" Target="https://doi.org/10.1016/j.jtbi.2016.04.024" TargetMode="External" /><Relationship Type="http://schemas.openxmlformats.org/officeDocument/2006/relationships/hyperlink" Id="rId200"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2"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4"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3"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8" Target="https://doi.org/10.1098/rstb.2016.0426" TargetMode="External" /><Relationship Type="http://schemas.openxmlformats.org/officeDocument/2006/relationships/hyperlink" Id="rId228"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1"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9"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80"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7" Target="https://doi.org/10.7183/0002-7316.76.1.163" TargetMode="External" /><Relationship Type="http://schemas.openxmlformats.org/officeDocument/2006/relationships/hyperlink" Id="rId195"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2026-07-13T13:20:45Z</dcterms:created>
  <dcterms:modified xsi:type="dcterms:W3CDTF">2026-07-13T13:20:45Z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