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70.png" ContentType="image/png"/>
  <Override PartName="/word/media/rId111.png" ContentType="image/png"/>
  <Override PartName="/word/media/rId119.png" ContentType="image/png"/>
  <Override PartName="/word/media/rId122.png" ContentType="image/png"/>
  <Override PartName="/word/media/rId127.png" ContentType="image/png"/>
  <Override PartName="/word/media/rId138.png" ContentType="image/png"/>
  <Override PartName="/word/media/rId142.png" ContentType="image/png"/>
  <Override PartName="/word/media/rId14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4"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then treat those phases as groups, giving them the qualities of communities or polities. Copying among neighbors produces spatial structure in stylistic frequencies whatever else is happening, so a phase can have the qualities of a group only if its frequencies show properties that spatially structured drift cannot produce. We ask what explains the decorated-type frequencies of the Late Mississippian St. Francis basin in northeastern Arkansas, including the Parkin phase, long read as a polity, and whether any of their variation requires processes beyond drift. Neutral copying on the real site map, tuned to the assemblages’ own diversity, reproduces the differences among assemblages at the scale of the phases, and a spatial model with no groups assigns 99 percent of the variation to location. No boundary develops through the sequence. A small excess appears only at finer scales, in the most thinly sampled clusters rather than around Parkin, and new styles arising locally reproduce it. The phases look like groups because settlement is clustered and similarity fades with distance: the site map alone recovers them, their boundaries fall where the pottery changes least, and simulated pottery sorts into them as readily as real pottery.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cerámicos en fases y luego tratan esas fases como grupos, atribuyéndoles las cualidades de comunidades o entidades políticas. La copia entre vecinos produce estructura espacial en las frecuencias estilísticas ocurra lo que ocurra, de modo que una fase solo puede tener las cualidades de un grupo si sus frecuencias muestran propiedades que la deriva estructurada espacialmente no puede producir. Preguntamos qué explica las frecuencias de los tipos decorados del Misisipiano tardío en la cuenca del río St. Francis, en el noreste de Arkansas, incluida la fase Parkin, interpretada durante mucho tiempo como una entidad política, y si alguna parte de su variación requiere procesos además de la deriva. La copia neutral sobre el mapa real de sitios, ajustada a la diversidad propia de los conjuntos, reproduce las diferencias entre conjuntos a la escala de las fases, y un modelo espacial sin grupos atribuye el 99 % de la variación a la ubicación. Ninguna frontera se desarrolla a lo largo de la secuencia. Un pequeño exceso aparece solo a escalas más finas, en los agrupamientos con muestras más escasas y no alrededor de Parkin, y la aparición local de nuevos estilos lo reproduce. Las fases parecen grupos porque los asentamientos están agrupados y la semejanza disminuye con la distancia: el mapa de sitios por sí solo las recupera, sus límites caen donde la cerámica cambia menos, y la cerámica simulada se clasifica en ellas con la misma facilidad que la cerámica real.</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Reconstructions of the route of the Hernando de Soto expedition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read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 (1996) assigns each assemblage, with a gap drawn between adjacent territories for legibility. Territories are drawn over the HydroRIVERS river network (Lehner and Grill 2013),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w:t>
      </w:r>
      <w:r>
        <w:t xml:space="preserve"> </w:t>
      </w:r>
      <w:r>
        <w:t xml:space="preserve">(1996)</w:t>
      </w:r>
      <w:r>
        <w:t xml:space="preserve"> </w:t>
      </w:r>
      <w:r>
        <w:t xml:space="preserve">assigns each assemblage, with a gap drawn between adjacent territories for legibility. Territories are drawn over the HydroRIVERS river network</w:t>
      </w:r>
      <w:r>
        <w:t xml:space="preserve"> </w:t>
      </w:r>
      <w:r>
        <w:t xml:space="preserve">(Lehner and Grill 2013)</w:t>
      </w:r>
      <w:r>
        <w:t xml:space="preserve">,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That claim makes the Parkin phase a good place to ask what a phase is. Of all the late Mississippian phases, it has the strongest independent reason to be a real social unit, since a documented paramountcy is said to sit at its center. If phases record bounded societies anywhere, the pattern should be visible here. Settlement form alone cannot settle the matter, because a large center with a palisade and a platform mound is as compatible with competing peer communities as with a consolidated hierarchy</w:t>
      </w:r>
      <w:r>
        <w:t xml:space="preserve"> </w:t>
      </w:r>
      <w:r>
        <w:t xml:space="preserve">(King and Freer 1995; Rees 2001)</w:t>
      </w:r>
      <w:r>
        <w:t xml:space="preserve">. The chronicles are equivocal as well, having been read both as describing rivalry among peers and as describing a ranked order</w:t>
      </w:r>
      <w:r>
        <w:t xml:space="preserve"> </w:t>
      </w:r>
      <w:r>
        <w:t xml:space="preserve">(Hudson et al. 1990; Phyllis A. Morse 1990)</w:t>
      </w:r>
      <w:r>
        <w:t xml:space="preserve">. Within the basin, settlement size is graded rather than stepped, with no single center set above the rest, and the Mill Creek chert hoes whose control would mark an economic apex were made by autonomous workshops at the source and moved largely down the line, with elites at consuming centers gaining at most privileged access</w:t>
      </w:r>
      <w:r>
        <w:t xml:space="preserve"> </w:t>
      </w:r>
      <w:r>
        <w:t xml:space="preserve">(Cobb 2000:75, 154, 198)</w:t>
      </w:r>
      <w:r>
        <w:t xml:space="preserve">.</w:t>
      </w:r>
    </w:p>
    <w:p>
      <w:pPr>
        <w:pStyle w:val="BodyText"/>
      </w:pPr>
      <w:r>
        <w:t xml:space="preserve">The more revealing question is why the phases were taken for societies in the first place. A phase is a culture-history construct: a set of assemblages grouped together because their decorated-class frequencies seriate, meaning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and the lower-valley phases tested here were formulated in that framework by Phillips</w:t>
      </w:r>
      <w:r>
        <w:t xml:space="preserve"> </w:t>
      </w:r>
      <w:r>
        <w:t xml:space="preserve">(1970)</w:t>
      </w:r>
      <w:r>
        <w:t xml:space="preserve">. In practice, however, researchers have treated phases as societies.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The phase concept has been questioned on this ground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very nearly the record we use,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why the phases looked real to the people who drew them, and an ordination alone cannot, because loosely clustered assemblages are what both bounded groups and unbounded copying across distance would produce.</w:t>
      </w:r>
    </w:p>
    <w:p>
      <w:pPr>
        <w:pStyle w:val="BodyText"/>
      </w:pPr>
      <w:r>
        <w:t xml:space="preserve">That explanation is what this paper sets out to provide. Under the neutral model of cultural transmission, decorative style behaves as a selectively neutral trait whose frequencies change by chance copying in a finite population of learners</w:t>
      </w:r>
      <w:r>
        <w:t xml:space="preserve"> </w:t>
      </w:r>
      <w:r>
        <w:t xml:space="preserve">(Bentley et al. 2004; Dunnell 1978; Eerkens and Lipo 2007; Fogarty et al. 2024; Neiman 1995)</w:t>
      </w:r>
      <w:r>
        <w:t xml:space="preserve">. When potters copy near neighbors more often than distant ones, similarity is highest over short distances and fades with distance. Cut into discrete units, that smooth gradient can look like a set of distinct groups even though no boundary exists anywhere</w:t>
      </w:r>
      <w:r>
        <w:t xml:space="preserve"> </w:t>
      </w:r>
      <w:r>
        <w:t xml:space="preserve">(Lipo et al. 1997, 2021)</w:t>
      </w:r>
      <w:r>
        <w:t xml:space="preserve">. The culture historians were responding to structure that is really in the assemblages. Our question is whether that structure requires bounded social groups or whether distance-limited copying across the settlement pattern produces it on its own</w:t>
      </w:r>
      <w:r>
        <w:t xml:space="preserve"> </w:t>
      </w:r>
      <w:r>
        <w:t xml:space="preserve">(Riede et al. 2019)</w:t>
      </w:r>
      <w:r>
        <w:t xml:space="preserve">.</w:t>
      </w:r>
    </w:p>
    <w:p>
      <w:pPr>
        <w:pStyle w:val="BodyText"/>
      </w:pPr>
      <w:r>
        <w:t xml:space="preserve">The logic of the test follows from that. Copying across space produces spatial structure in stylistic frequencies no matter what else is happening, so spatial structure alone cannot show that a phase was a community or a polity. A phase has the qualities of a group only if its stylistic frequencies carry properties that spatially structured drift cannot produce: differences between phases larger than distance predicts, boundaries where the pottery changes fastest, divergence that grows as interaction narrows, or a center around which the pattern is organized. Our question is therefore twofold. What explains the decorated-type frequencies we observe, and is there any variability that requires a process in addition to drift? Answering the first also explains why the phases looked like groups to the people who drew them. Two requirements shape the answer. A record must first be shown able to detect a boundary before its failure to show one means anything, and a model of copying with no groups must be shown to reproduce the diversity of the real assemblages before it is credited with explaining their differences.</w:t>
      </w:r>
    </w:p>
    <w:p>
      <w:pPr>
        <w:pStyle w:val="BodyText"/>
      </w:pPr>
      <w:r>
        <w:t xml:space="preserve">The late pre-contact St. Francis basin suits the test. Its decorated assemblages are well documented, the decorated classes are the long-established Phillips-Ford-Griffin types, and European contact and the demographic collapse that followed ended the sequence before any later reorganization could overwrite it</w:t>
      </w:r>
      <w:r>
        <w:t xml:space="preserve"> </w:t>
      </w:r>
      <w:r>
        <w:t xml:space="preserve">(Lipo 2001; Morse and Morse 1996)</w:t>
      </w:r>
      <w:r>
        <w:t xml:space="preserve">. Its assemblages are time-averaged surface collections, built up over many years of use and discard. We treat them as the accumulated product of copying across a population, to be measured and explained as they are, rather than as degraded snapshots of a single moment that must be reconstructed</w:t>
      </w:r>
      <w:r>
        <w:t xml:space="preserve"> </w:t>
      </w:r>
      <w:r>
        <w:t xml:space="preserve">(Dunnell 1995a; Holdaway and Wandsnider 2008; Lipo et al. 2015; Neiman 1995; Perreault 2019; Schiffer 1972)</w:t>
      </w:r>
      <w:r>
        <w:t xml:space="preserve">. Their coarse resolution sets what questions they can answer rather than disqualifying them.</w:t>
      </w:r>
    </w:p>
    <w:bookmarkEnd w:id="114"/>
    <w:bookmarkStart w:id="118" w:name="background"/>
    <w:p>
      <w:pPr>
        <w:pStyle w:val="Heading2"/>
      </w:pPr>
      <w:r>
        <w:t xml:space="preserve">Background</w:t>
      </w:r>
    </w:p>
    <w:bookmarkStart w:id="115" w:name="phases-groups-and-gradients"/>
    <w:p>
      <w:pPr>
        <w:pStyle w:val="Heading3"/>
      </w:pPr>
      <w:r>
        <w:t xml:space="preserve">Phases, groups, and gradients</w:t>
      </w:r>
    </w:p>
    <w:p>
      <w:pPr>
        <w:pStyle w:val="FirstParagraph"/>
      </w:pPr>
      <w:r>
        <w:t xml:space="preserve">We approach the phase from the standpoint of population thinking</w:t>
      </w:r>
      <w:r>
        <w:t xml:space="preserve"> </w:t>
      </w:r>
      <w:r>
        <w:t xml:space="preserve">(Mayr 1959)</w:t>
      </w:r>
      <w:r>
        <w:t xml:space="preserve">, which Dunnell</w:t>
      </w:r>
      <w:r>
        <w:t xml:space="preserve"> </w:t>
      </w:r>
      <w:r>
        <w:t xml:space="preserve">(1980)</w:t>
      </w:r>
      <w:r>
        <w:t xml:space="preserve"> </w:t>
      </w:r>
      <w:r>
        <w:t xml:space="preserve">set against typological conceptions of change in archaeology. Archaeologists often treat the past as made of bounded units, the phase, the polity, the society, each with members and edges, and read a cluster of similar assemblages as one such unit. That is typological thinking, in which the type is the real object and variation around it is noise. Population thinking reverses the priority. Variation is the reality, and the type is an abstraction from it. We accordingly treat the transmission of decoration as a continuous field of copying among potters with no built-in boundaries, in which interaction falls off with distance and is more local in some places than in others.</w:t>
      </w:r>
    </w:p>
    <w:p>
      <w:pPr>
        <w:pStyle w:val="BodyText"/>
      </w:pPr>
      <w:r>
        <w:t xml:space="preserve">On this view a social group is not a thing with an edge but a place where copying is more concentrated than distance alone would make it. Potters everywhere interact more with near neighbors than with distant ones, and that tendency alone produces clustering, a pattern known as isolation by distance</w:t>
      </w:r>
      <w:r>
        <w:t xml:space="preserve"> </w:t>
      </w:r>
      <w:r>
        <w:t xml:space="preserve">(Neiman 1995; Shennan et al. 2015; Wright 1943)</w:t>
      </w:r>
      <w:r>
        <w:t xml:space="preserve">. What marks a social group is the excess over that expectation: interaction that narrows further than distance predicts. We call that narrowing</w:t>
      </w:r>
      <w:r>
        <w:t xml:space="preserve"> </w:t>
      </w:r>
      <w:r>
        <w:rPr>
          <w:i/>
          <w:iCs/>
        </w:rPr>
        <w:t xml:space="preserve">closure</w:t>
      </w:r>
      <w:r>
        <w:t xml:space="preserve">. It is a quantity rather than a condition, running from none, where distance fully accounts for who copied whom, up to complete, where groups are sealed off from one another. Neither extreme is expected in a real settlement system. The question for a phase is how much closure the record carries. Every comparison below therefore measures the observed structure against a model run on the real geography of the assemblages, so that whatever is left over is by construction the part geography does not explain.</w:t>
      </w:r>
    </w:p>
    <w:bookmarkEnd w:id="115"/>
    <w:bookmarkStart w:id="116" w:name="why-decorated-ceramics"/>
    <w:p>
      <w:pPr>
        <w:pStyle w:val="Heading3"/>
      </w:pPr>
      <w:r>
        <w:t xml:space="preserve">Why decorated ceramics</w:t>
      </w:r>
    </w:p>
    <w:p>
      <w:pPr>
        <w:pStyle w:val="FirstParagraph"/>
      </w:pPr>
      <w:r>
        <w:t xml:space="preserve">Under the neutral model, stylistic variants behave like selectively neutral alleles whose frequencies are governed by innovation and chance copying</w:t>
      </w:r>
      <w:r>
        <w:t xml:space="preserve"> </w:t>
      </w:r>
      <w:r>
        <w:t xml:space="preserve">(Bentley et al. 2004; Bentley 2008; Dunnell 1978; Eerkens and Lipo 2005; Neiman 1995)</w:t>
      </w:r>
      <w:r>
        <w:t xml:space="preserve">. Assemblages drawn from a single interacting community share one drifting pool of variants, and their decorated-class frequencies form one battleship-curve seriation, an ordering in which each type rises to a single peak and then declines</w:t>
      </w:r>
      <w:r>
        <w:t xml:space="preserve"> </w:t>
      </w:r>
      <w:r>
        <w:t xml:space="preserve">(Dunnell 1995b; Lipo 2001; Lipo et al. 2015; Lipo and Madsen 2001; O’Brien and Leonard 2001)</w:t>
      </w:r>
      <w:r>
        <w:t xml:space="preserve">. If copying becomes restricted within groups, and especially if potters within a group favor whatever is already common among them, each group’s range of variants narrows, the groups diverge, and the single pool breaks apart</w:t>
      </w:r>
      <w:r>
        <w:t xml:space="preserve"> </w:t>
      </w:r>
      <w:r>
        <w:t xml:space="preserve">(Crema et al. 2016; Henrich 2001; Henrich and Boyd 1998)</w:t>
      </w:r>
      <w:r>
        <w:t xml:space="preserve">. Decoration would then act as a marker of group membership rather than as neutral style.</w:t>
      </w:r>
    </w:p>
    <w:p>
      <w:pPr>
        <w:pStyle w:val="BodyText"/>
      </w:pPr>
      <w:r>
        <w:t xml:space="preserve">No single frequency pattern identifies the process that produced it. A departure from neutral copying can reflect conformity, a preference for novelty, a bias toward particular content, or the fact that durable objects rather than people accumulate in a deposit</w:t>
      </w:r>
      <w:r>
        <w:t xml:space="preserve"> </w:t>
      </w:r>
      <w:r>
        <w:t xml:space="preserve">(Crema et al. 2016, 2024; Henrich 2001)</w:t>
      </w:r>
      <w:r>
        <w:t xml:space="preserve">. Time-averaging makes the problem harder, because deposits that accumulate over a use-life inflate richness, flatten evenness, and bias neutrality statistics</w:t>
      </w:r>
      <w:r>
        <w:t xml:space="preserve"> </w:t>
      </w:r>
      <w:r>
        <w:t xml:space="preserve">(Madsen 2012; Premo 2014)</w:t>
      </w:r>
      <w:r>
        <w:t xml:space="preserve">. Several processes can therefore produce the same population-level pattern</w:t>
      </w:r>
      <w:r>
        <w:t xml:space="preserve"> </w:t>
      </w:r>
      <w:r>
        <w:t xml:space="preserve">(Carrignon et al. 2019; Kandler et al. 2017; Mesoudi 2021)</w:t>
      </w:r>
      <w:r>
        <w:t xml:space="preserve">, and where a discriminating signal survives at all it tends to lie in the rarest types</w:t>
      </w:r>
      <w:r>
        <w:t xml:space="preserve"> </w:t>
      </w:r>
      <w:r>
        <w:t xml:space="preserve">(O’Dwyer and Kandler 2017)</w:t>
      </w:r>
      <w:r>
        <w:t xml:space="preserve">. For this reason we do not rely on any one statistic. We compare processes by simulating them on the real geography and asking which one reproduces the record.</w:t>
      </w:r>
    </w:p>
    <w:bookmarkEnd w:id="116"/>
    <w:bookmarkStart w:id="117" w:name="two-readings-of-the-parkin-phase"/>
    <w:p>
      <w:pPr>
        <w:pStyle w:val="Heading3"/>
      </w:pPr>
      <w:r>
        <w:t xml:space="preserve">Two readings of the Parkin phase</w:t>
      </w:r>
    </w:p>
    <w:p>
      <w:pPr>
        <w:pStyle w:val="FirstParagraph"/>
      </w:pPr>
      <w:r>
        <w:t xml:space="preserve">The late pre-contact lower valley supports two readings of the same record. The first holds that the region was moving toward greater political complexity. The Parkin phase (ca. AD 1400 to 1650) is a dense cluster of fortified, moated St. Francis-type towns along the St. Francis and Tyronza rivers, and Parkin dominates it: a palisaded center of about 17 acres with a platform mound more than 6 m high, identified by reconstructions of the De Soto route as the seat of Casqui</w:t>
      </w:r>
      <w:r>
        <w:t xml:space="preserve"> </w:t>
      </w:r>
      <w:r>
        <w:t xml:space="preserve">(Dye and Cox 1990; Mitchem et al. 2017; Morse and Morse 1996:17; Phyllis A. Morse 1990:118–129)</w:t>
      </w:r>
      <w:r>
        <w:t xml:space="preserve">. On this reading, Parkin’s position on agriculturally poor soil implies that it drew tribute from surrounding villages, a hallmark of an emerging chiefly hierarchy</w:t>
      </w:r>
      <w:r>
        <w:t xml:space="preserve"> </w:t>
      </w:r>
      <w:r>
        <w:t xml:space="preserve">(Phyllis A. Morse 1990:123–124)</w:t>
      </w:r>
      <w:r>
        <w:t xml:space="preserve">, part of a political florescence that contact then cut short</w:t>
      </w:r>
      <w:r>
        <w:t xml:space="preserve"> </w:t>
      </w:r>
      <w:r>
        <w:t xml:space="preserve">(Morse and Morse 1996:18)</w:t>
      </w:r>
      <w:r>
        <w:t xml:space="preserve">. The second reading holds that polities in this part of the valley never achieved that kind of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The first reading predicts that the Parkin phase should show closure; the second does not require it.</w:t>
      </w:r>
    </w:p>
    <w:bookmarkEnd w:id="117"/>
    <w:bookmarkEnd w:id="118"/>
    <w:bookmarkStart w:id="125" w:name="X63a04b856a0e0f0ea4c1ac23e9bd6846a39082a"/>
    <w:p>
      <w:pPr>
        <w:pStyle w:val="Heading2"/>
      </w:pPr>
      <w:r>
        <w:t xml:space="preserve">How a social boundary would show in pottery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use four measures, each a different consequence of closure, and state each in plain terms before naming it.</w:t>
      </w:r>
    </w:p>
    <w:p>
      <w:pPr>
        <w:pStyle w:val="BodyText"/>
      </w:pPr>
      <w:r>
        <w:t xml:space="preserve">The first asks whether potters copied at random or with a bias. Under random copying, two independent measures of an assemblage’s diversity agree: one based on the chance that two sherds drawn at random share a class, the other on the number of classes present. Conformity, in which potters favor what is already common, concentrates sherds on a few classes without removing the rare ones, and the two measures come apart</w:t>
      </w:r>
      <w:r>
        <w:t xml:space="preserve"> </w:t>
      </w:r>
      <w:r>
        <w:t xml:space="preserve">(Neiman 1995; Shennan and Wilkinson 2001)</w:t>
      </w:r>
      <w:r>
        <w:t xml:space="preserve">. A group enforcing a shared decorative marker would copy conformist fashion.</w:t>
      </w:r>
    </w:p>
    <w:p>
      <w:pPr>
        <w:pStyle w:val="BodyText"/>
      </w:pPr>
      <w:r>
        <w:t xml:space="preserve">The second asks whether the assemblages belong to one interacting community or to several. It rests on frequency seriation. A set of assemblages is co-seriable when a single ordering makes every decorated class rise to one peak and then decline, which is what one continuously interacting population produces</w:t>
      </w:r>
      <w:r>
        <w:t xml:space="preserve"> </w:t>
      </w:r>
      <w:r>
        <w:t xml:space="preserve">(Dunnell 1970)</w:t>
      </w:r>
      <w:r>
        <w:t xml:space="preserve">. When learning splits into separate groups, no single ordering satisfies them all, and the assemblages break into several incompatible orderings whose number measures how divided past interaction was</w:t>
      </w:r>
      <w:r>
        <w:t xml:space="preserve"> </w:t>
      </w:r>
      <w:r>
        <w:t xml:space="preserve">(Lipo et al. 1997, 2015)</w:t>
      </w:r>
      <w:r>
        <w:t xml:space="preserve">. An assemblage that falls into several orderings links sequences rather than forming the core of a bounded community.</w:t>
      </w:r>
    </w:p>
    <w:p>
      <w:pPr>
        <w:pStyle w:val="BodyText"/>
      </w:pPr>
      <w:r>
        <w:t xml:space="preserve">The third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an index of how differentiated groups are from one another</w:t>
      </w:r>
      <w:r>
        <w:t xml:space="preserve"> </w:t>
      </w:r>
      <w:r>
        <w:t xml:space="preserve">(Bell et al. 2009)</w:t>
      </w:r>
      <w:r>
        <w:t xml:space="preserve">. We measure decorated diversity with the Gini-Simpson index, the probability that two sherds drawn at random belong to different classes.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When all groups draw on one shared pool it sits near zero, and as groups come to favor distinct repertoires it climbs</w:t>
      </w:r>
      <w:r>
        <w:t xml:space="preserve"> </w:t>
      </w:r>
      <w:r>
        <w:t xml:space="preserve">(Neiman 1995)</w:t>
      </w:r>
      <w:r>
        <w:t xml:space="preserve">. One caveat matters throughout. Copying across space produces between-group variation on its own, because small or poorly connected places drift toward depleted, idiosyncratic repertoires</w:t>
      </w:r>
      <w:r>
        <w:t xml:space="preserve"> </w:t>
      </w:r>
      <w:r>
        <w:t xml:space="preserve">(Lipo et al. 2021)</w:t>
      </w:r>
      <w:r>
        <w:t xml:space="preserve">.</w:t>
      </w:r>
      <w:r>
        <w:t xml:space="preserve"> </w:t>
      </w:r>
      <m:oMath>
        <m:sSub>
          <m:e>
            <m:r>
              <m:t>F</m:t>
            </m:r>
          </m:e>
          <m:sub>
            <m:r>
              <m:t>S</m:t>
            </m:r>
            <m:r>
              <m:t>T</m:t>
            </m:r>
          </m:sub>
        </m:sSub>
      </m:oMath>
      <w:r>
        <w:t xml:space="preserve"> </w:t>
      </w:r>
      <w:r>
        <w:t xml:space="preserve">must therefore be judged against what copying with no groups produces on the same geography, not against zero.</w:t>
      </w:r>
    </w:p>
    <w:p>
      <w:pPr>
        <w:pStyle w:val="BodyText"/>
      </w:pPr>
      <w:r>
        <w:t xml:space="preserve">The fourth asks whether assemblages on the same side of a boundary are more alike than assemblages the same distance apart on opposite sides. Similarity normally fades smoothly with distance. A real social boundary adds a step to that fade, which we measure as a boundary excess, the loss of similarity across a boundary beyond what distance predicts. Copying on a finite network can itself produce differentiation that mimics a boundary</w:t>
      </w:r>
      <w:r>
        <w:t xml:space="preserve"> </w:t>
      </w:r>
      <w:r>
        <w:t xml:space="preserve">(Lipo et al. 2021)</w:t>
      </w:r>
      <w:r>
        <w:t xml:space="preserve">, so the excess, too, has to be judged against a model.</w:t>
      </w:r>
    </w:p>
    <w:p>
      <w:pPr>
        <w:pStyle w:val="BodyText"/>
      </w:pPr>
      <w:r>
        <w:t xml:space="preserve">Only a bounded interaction group drives all four measures together (Table 1). Environmental patchiness, in which similar people occupy distinct ecological zones,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however,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 That is the difficulty the rest of the paper works around.</w:t>
      </w:r>
    </w:p>
    <w:p>
      <w:pPr>
        <w:pStyle w:val="BodyText"/>
      </w:pPr>
      <w:r>
        <w:rPr>
          <w:b/>
          <w:bCs/>
        </w:rPr>
        <w:t xml:space="preserve">Table 1.</w:t>
      </w:r>
      <w:r>
        <w:t xml:space="preserve"> </w:t>
      </w:r>
      <w:r>
        <w:t xml:space="preserve">What each process does to the four measures, and which measure this record can use. A filled circle (●) marks a measure the process drives and an open circle (○) one it does not. The last column reports the recovery experiment described below, which tests each measure against this record.</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683019"/>
            <wp:effectExtent b="0" l="0" r="0" t="0"/>
            <wp:docPr descr="Figure 2.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w:t>
      </w:r>
    </w:p>
    <w:p>
      <w:pPr>
        <w:pStyle w:val="BodyText"/>
      </w:pPr>
      <w:r>
        <w:t xml:space="preserve">Figure 2 shows these expectations on idealized data, where the four measures separate the processes cleanly. A real record is smaller, noisier, and time-averaged, so a measure that works in principle may fail in practice. We therefore test each measure against synthetic assemblages built to match the Parkin record before using it, and we treat a measure as usable only if it recovers closure that we deliberately put into those synthetic assemblages</w:t>
      </w:r>
      <w:r>
        <w:t xml:space="preserve"> </w:t>
      </w:r>
      <w:r>
        <w:t xml:space="preserve">(Holdaway and Wandsnider 2008; Perreault 2019)</w:t>
      </w:r>
      <w:r>
        <w:t xml:space="preserve">. Figure 3 previews what the test can and cannot distinguish.</w:t>
      </w:r>
    </w:p>
    <w:p>
      <w:pPr>
        <w:pStyle w:val="CaptionedFigure"/>
      </w:pPr>
      <w:r>
        <w:drawing>
          <wp:inline>
            <wp:extent cx="5334000" cy="4404980"/>
            <wp:effectExtent b="0" l="0" r="0" t="0"/>
            <wp:docPr descr="Figure 3. 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 F_{ST} along the sequence recovered from synthetic assemblages as imposed closure rises from 0 (no groups) to 1 (strong groups). The dashed line is the observed trend, a rank correlation of -0.048, not an F_{ST} value; the band around it is the range of -0.80 to +0.40 that a single random subsample returns. The shaded vertical band is the 95 percent credible interval for the closure consistent with that observation (0.00 to 0.37, median 0.15)."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w:t>
      </w:r>
      <w:r>
        <w:t xml:space="preserve"> </w:t>
      </w:r>
      <m:oMath>
        <m:sSub>
          <m:e>
            <m:r>
              <m:t>F</m:t>
            </m:r>
          </m:e>
          <m:sub>
            <m:r>
              <m:t>S</m:t>
            </m:r>
            <m:r>
              <m:t>T</m:t>
            </m:r>
          </m:sub>
        </m:sSub>
      </m:oMath>
      <w:r>
        <w:t xml:space="preserve"> </w:t>
      </w:r>
      <w:r>
        <w:t xml:space="preserve">along the sequence recovered from synthetic assemblages as imposed closure rises from 0 (no groups) to 1 (strong groups). The dashed line is the observed trend, a rank correlation of -0.048, not an</w:t>
      </w:r>
      <w:r>
        <w:t xml:space="preserve"> </w:t>
      </w:r>
      <m:oMath>
        <m:sSub>
          <m:e>
            <m:r>
              <m:t>F</m:t>
            </m:r>
          </m:e>
          <m:sub>
            <m:r>
              <m:t>S</m:t>
            </m:r>
            <m:r>
              <m:t>T</m:t>
            </m:r>
          </m:sub>
        </m:sSub>
      </m:oMath>
      <w:r>
        <w:t xml:space="preserve"> </w:t>
      </w:r>
      <w:r>
        <w:t xml:space="preserve">value; the band around it is the range of -0.80 to +0.40 that a single random subsample returns. The shaded vertical band is the 95 percent credible interval for the closure consistent with that observation (0.00 to 0.37, median 0.15).</w:t>
      </w:r>
    </w:p>
    <w:bookmarkEnd w:id="125"/>
    <w:bookmarkStart w:id="136"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on theoretical grounds. The neutral model applies to stylistic variation, variants that make no difference to how a pot performs and whose frequencies therefore change through copying and chance</w:t>
      </w:r>
      <w:r>
        <w:t xml:space="preserve"> </w:t>
      </w:r>
      <w:r>
        <w:t xml:space="preserve">(Dunnell 1978; Neiman 1995)</w:t>
      </w:r>
      <w:r>
        <w:t xml:space="preserve">. Plain wares are everything without decoration, and their abundance tracks vessel function, paste, and the activities carried out at a site, none of which a copying model represents. Mississippi Plain and Bell Plain, which differ only in paste, make up 87 percent of the typed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Each assemblage takes its counts from a single source, and no counts are summed across sources. Of the 38 assemblages in the matrix, 20 come from Lipo’s compilation, which adds controlled surface collections and limited excavation in 1996 and 1997 at seven sites, six of them recollections of sites the original survey sampled and one, Holden Lake, a new collection</w:t>
      </w:r>
      <w:r>
        <w:t xml:space="preserve"> </w:t>
      </w:r>
      <w:r>
        <w:t xml:space="preserve">(Lipo 2001)</w:t>
      </w:r>
      <w:r>
        <w:t xml:space="preserve">. The other 18 carry the original survey counts alone. Mainfort</w:t>
      </w:r>
      <w:r>
        <w:t xml:space="preserve"> </w:t>
      </w:r>
      <w:r>
        <w:t xml:space="preserve">(2003)</w:t>
      </w:r>
      <w:r>
        <w:t xml:space="preserve"> </w:t>
      </w:r>
      <w:r>
        <w:t xml:space="preserve">compiled a separate table of 39 sites, each with at least 800 sherds, drawn largely from the same survey files. His counts match the survey at 11 of the 21 sites the two tables share and exceed it at the other ten, which reflects the additional sources he lists: reanalyzed C. H. Nash Museum collections for Beck, Belle Meade, and Walls, House’s</w:t>
      </w:r>
      <w:r>
        <w:t xml:space="preserve"> </w:t>
      </w:r>
      <w:r>
        <w:t xml:space="preserve">(1991)</w:t>
      </w:r>
      <w:r>
        <w:t xml:space="preserve"> </w:t>
      </w:r>
      <w:r>
        <w:t xml:space="preserve">counts for the Kent area, and later excavated material for Parkin</w:t>
      </w:r>
      <w:r>
        <w:t xml:space="preserve"> </w:t>
      </w:r>
      <w:r>
        <w:t xml:space="preserve">(Mainfort 2003:182)</w:t>
      </w:r>
      <w:r>
        <w:t xml:space="preserve">. Because his counts are not independent of ours, we never combine them. We use his table only for a second, separate test under his own phase assignments. The wider 266-assemblage compilation of the survey counts</w:t>
      </w:r>
      <w:r>
        <w:t xml:space="preserve"> </w:t>
      </w:r>
      <w:r>
        <w:t xml:space="preserve">(Lipo 2001)</w:t>
      </w:r>
      <w:r>
        <w:t xml:space="preserve"> </w:t>
      </w:r>
      <w:r>
        <w:t xml:space="preserve">enters only regional comparisons and settlement checks.</w:t>
      </w:r>
    </w:p>
    <w:p>
      <w:pPr>
        <w:pStyle w:val="BodyText"/>
      </w:pPr>
      <w:r>
        <w:t xml:space="preserve">The phases are the unit under test, so an assemblage enters the analysis when Mainfort</w:t>
      </w:r>
      <w:r>
        <w:t xml:space="preserve"> </w:t>
      </w:r>
      <w:r>
        <w:t xml:space="preserve">(1996)</w:t>
      </w:r>
      <w:r>
        <w:t xml:space="preserve"> </w:t>
      </w:r>
      <w:r>
        <w:t xml:space="preserve">assigns it to one of the basin’s phases, or when it falls inside the territory his assignments define. Two further rules apply. The Parchman phase is excluded on geography: its three assemblages lie across the Mississippi in Coahoma County, 30 to 46 km from the nearest other assemblage. An assemblage also needs at least 75 decorated sherds. We chose that number by measurement. Sampling alone creates apparent differences between two assemblages drawn from one and the same population of pots. Drawing pairs of samples from the basin’s pooled class profile, so that everything between them is sampling, the spurious</w:t>
      </w:r>
      <w:r>
        <w:t xml:space="preserve"> </w:t>
      </w:r>
      <m:oMath>
        <m:sSub>
          <m:e>
            <m:r>
              <m:t>F</m:t>
            </m:r>
          </m:e>
          <m:sub>
            <m:r>
              <m:t>S</m:t>
            </m:r>
            <m:r>
              <m:t>T</m:t>
            </m:r>
          </m:sub>
        </m:sSub>
      </m:oMath>
      <w:r>
        <w:t xml:space="preserve"> </w:t>
      </w:r>
      <w:r>
        <w:t xml:space="preserve">has a median of about half the observed five-cluster value at 25 sherds, a quarter at 50, a seventh at 75, and a ninth at 100 (Supplemental Text). We measure against the five-cluster value because that is the scale at which the record departs from the copying model, and so the scale at which a sampling artifact could be mistaken for a real difference. At 75 sherds the artifact’s 95th percentile lies well below that value, whereas at 50 it roughly equals it; seventy-five is the smallest sample at which sampling alone could not produce the observed difference. Mainfort’s 800-sherd rule corresponds to about 100 decorated sherds, so ours is slightly more permissive.</w:t>
      </w:r>
    </w:p>
    <w:p>
      <w:pPr>
        <w:pStyle w:val="BodyText"/>
      </w:pPr>
      <w:r>
        <w:t xml:space="preserve">These rules leave 28 assemblages holding 14,101 decorated sherds (median 251 per assemblage, range 79 to 1,709) in three phases: Parkin with 11 assemblages, Kent with 8, and Walls with 9. Twenty-five carry Mainfort’s assignment and three the territory’s. Figure 1 shows seven phases, and the analysis tests three, for three reasons. Jones Bayou and Tipton, in western Tennessee, have decorated counts only in Mainfort’s table. Parchman is excluded on geography. Nodena’s three assemblages hold 47, 38, and 153 decorated sherds, so only one survives the minimum, and a phase of one assemblage has no internal variation to compare. The three phases tested are therefore the ones whose assemblages the survey and our own collections sampled well enough for a between-group measure to mean something. As drawn, they extend beyond the drainage that names them, and the farthest member lies 40.5 km from the St. Francis system.</w:t>
      </w:r>
    </w:p>
    <w:p>
      <w:pPr>
        <w:pStyle w:val="BodyText"/>
      </w:pPr>
      <w:r>
        <w:t xml:space="preserve">We georeferenced each assemblage from the Lower Mississippi Survey site files. Where a location derives from a survey coordinate, we read it in the survey’s original 1927 datum; the correction moves 13 of the 28 assemblages by 209 m and changes no result (Supplemental Text). Settlement attributes, namely site size, mound count and height, and the presence of ditches and St. Francis-type fortification, come from a regional database</w:t>
      </w:r>
      <w:r>
        <w:t xml:space="preserve"> </w:t>
      </w:r>
      <w:r>
        <w:t xml:space="preserve">(Lipo and Dunnell 2007)</w:t>
      </w:r>
      <w:r>
        <w:t xml:space="preserve">.</w:t>
      </w:r>
    </w:p>
    <w:p>
      <w:pPr>
        <w:pStyle w:val="BodyText"/>
      </w:pPr>
      <w:r>
        <w:t xml:space="preserve">Two properties of the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its expectations apply to this record only approximately</w:t>
      </w:r>
      <w:r>
        <w:t xml:space="preserve"> </w:t>
      </w:r>
      <w:r>
        <w:t xml:space="preserve">(Crema et al. 2024)</w:t>
      </w:r>
      <w:r>
        <w:t xml:space="preserve">.</w:t>
      </w:r>
    </w:p>
    <w:bookmarkEnd w:id="126"/>
    <w:bookmarkStart w:id="130" w:name="chronology"/>
    <w:p>
      <w:pPr>
        <w:pStyle w:val="Heading3"/>
      </w:pPr>
      <w:r>
        <w:t xml:space="preserve">Chronology</w:t>
      </w:r>
    </w:p>
    <w:p>
      <w:pPr>
        <w:pStyle w:val="FirstParagraph"/>
      </w:pPr>
      <w:r>
        <w:t xml:space="preserve">Mainfort’s</w:t>
      </w:r>
      <w:r>
        <w:t xml:space="preserve"> </w:t>
      </w:r>
      <w:r>
        <w:t xml:space="preserve">(2001)</w:t>
      </w:r>
      <w:r>
        <w:t xml:space="preserve"> </w:t>
      </w:r>
      <w:r>
        <w:t xml:space="preserve">compilation provides 108 radiocarbon determinations for this part of the valley, 40 of them from seven sites in and near the St. Francis basin and 19 from Parkin itself</w:t>
      </w:r>
      <w:r>
        <w:t xml:space="preserve"> </w:t>
      </w:r>
      <w:r>
        <w:t xml:space="preserve">(House 1993; Mainfort 1996)</w:t>
      </w:r>
      <w:r>
        <w:t xml:space="preserve">. Calibrated against IntCal20</w:t>
      </w:r>
      <w:r>
        <w:t xml:space="preserve"> </w:t>
      </w:r>
      <w:r>
        <w:t xml:space="preserve">(</w:t>
      </w:r>
      <w:r>
        <w:t xml:space="preserve">Reimer et al.</w:t>
      </w:r>
      <w:r>
        <w:t xml:space="preserve"> </w:t>
      </w:r>
      <w:r>
        <w:t xml:space="preserve">2020)</w:t>
      </w:r>
      <w:r>
        <w:t xml:space="preserve">, they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so we order the assemblages by seriation instead. We use the first axis of a correspondence analysis of the decorated-class frequencies, which arranges assemblages by the similarity of their frequencies, as a relative chronological order (Figure 4)</w:t>
      </w:r>
      <w:r>
        <w:t xml:space="preserve"> </w:t>
      </w:r>
      <w:r>
        <w:t xml:space="preserve">(Baxter 1994; Peeples and Schachner 2012; Smith and Neiman 2007)</w:t>
      </w:r>
      <w:r>
        <w:t xml:space="preserve">. Only four dated proveniences match our assemblages (26 dates pooled), and they cannot establish which end of the axis is later: using pooled calibrated medians, age and position correlate at Spearman 0.40 in magnitude, with Clay Hill out of order, and using one-sigma calibrated midpoints the correlation is zero. We therefore use the axis in its computed orientation, treat it as an order rather than a calendar, and report every result that depends on its direction both ways.</w:t>
      </w:r>
    </w:p>
    <w:p>
      <w:pPr>
        <w:pStyle w:val="CaptionedFigure"/>
      </w:pPr>
      <w:r>
        <w:drawing>
          <wp:inline>
            <wp:extent cx="5334000" cy="3639186"/>
            <wp:effectExtent b="0" l="0" r="0" t="0"/>
            <wp:docPr descr="Figure 4. 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 title="" id="128" name="Picture"/>
            <a:graphic>
              <a:graphicData uri="http://schemas.openxmlformats.org/drawingml/2006/picture">
                <pic:pic>
                  <pic:nvPicPr>
                    <pic:cNvPr descr="../../figures/fig4_ca_ordination.png" id="129" name="Picture"/>
                    <pic:cNvPicPr>
                      <a:picLocks noChangeArrowheads="1" noChangeAspect="1"/>
                    </pic:cNvPicPr>
                  </pic:nvPicPr>
                  <pic:blipFill>
                    <a:blip r:embed="rId12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w:t>
      </w:r>
    </w:p>
    <w:bookmarkEnd w:id="130"/>
    <w:bookmarkStart w:id="131" w:name="measuring-the-four-signals"/>
    <w:p>
      <w:pPr>
        <w:pStyle w:val="Heading3"/>
      </w:pPr>
      <w:r>
        <w:t xml:space="preserve">Measuring the four signals</w:t>
      </w:r>
    </w:p>
    <w:p>
      <w:pPr>
        <w:pStyle w:val="FirstParagraph"/>
      </w:pPr>
      <w:r>
        <w:t xml:space="preserve">The departure from neutral copying is the ratio of two estimates of Neiman’s</w:t>
      </w:r>
      <w:r>
        <w:t xml:space="preserve"> </w:t>
      </w:r>
      <w:r>
        <w:t xml:space="preserve">(1995)</w:t>
      </w:r>
      <w:r>
        <w:t xml:space="preserve"> </w:t>
      </w:r>
      <w:r>
        <w:t xml:space="preserve">transmission parameter, one from an assemblage’s homozygosity and one from its number of classes through the Ewens sampling formula</w:t>
      </w:r>
      <w:r>
        <w:t xml:space="preserve"> </w:t>
      </w:r>
      <w:r>
        <w:t xml:space="preserve">(Ewens 1972; Shennan and Wilkinson 2001)</w:t>
      </w:r>
      <w:r>
        <w:t xml:space="preserve">. Seriation structure is the number of maximal co-seriable groups returned by the iterative deterministic method of Lipo, Madsen, and Dunnell</w:t>
      </w:r>
      <w:r>
        <w:t xml:space="preserve"> </w:t>
      </w:r>
      <w:r>
        <w:t xml:space="preserve">(2015)</w:t>
      </w:r>
      <w:r>
        <w:t xml:space="preserve">, together with the number of groups each assemblage joins. Cultural</w:t>
      </w:r>
      <w:r>
        <w:t xml:space="preserve"> </w:t>
      </w:r>
      <m:oMath>
        <m:sSub>
          <m:e>
            <m:r>
              <m:t>F</m:t>
            </m:r>
          </m:e>
          <m:sub>
            <m:r>
              <m:t>S</m:t>
            </m:r>
            <m:r>
              <m:t>T</m:t>
            </m:r>
          </m:sub>
        </m:sSub>
      </m:oMath>
      <w:r>
        <w:t xml:space="preserve"> </w:t>
      </w:r>
      <w:r>
        <w:t xml:space="preserve">is computed as a partition of Gini-Simpson diversity across spatial clusters, weighted by assemblage size, which is Nei’s</w:t>
      </w:r>
      <w:r>
        <w:t xml:space="preserve"> </w:t>
      </w:r>
      <w:r>
        <w:t xml:space="preserve">(1973)</w:t>
      </w:r>
      <w:r>
        <w:t xml:space="preserve"> </w:t>
      </w:r>
      <w:r>
        <w:t xml:space="preserve">diversity form of the index that Bell, Richerson, and McElreath</w:t>
      </w:r>
      <w:r>
        <w:t xml:space="preserve"> </w:t>
      </w:r>
      <w:r>
        <w:t xml:space="preserve">(2009)</w:t>
      </w:r>
      <w:r>
        <w:t xml:space="preserve"> </w:t>
      </w:r>
      <w:r>
        <w:t xml:space="preserve">apply to cultural variation. Similarity between assemblages uses the Brainerd-Robinson coefficient</w:t>
      </w:r>
      <w:r>
        <w:t xml:space="preserve"> </w:t>
      </w:r>
      <w:r>
        <w:t xml:space="preserve">(Brainerd 1951; Robinson 1951)</w:t>
      </w:r>
      <w:r>
        <w:t xml:space="preserve">, which runs from 0 for no overlap to 200 for identical proportions, and the boundary excess is the loss of that similarity across a boundary beyond what distance predicts. Full definitions are in the Supplemental Text.</w:t>
      </w:r>
    </w:p>
    <w:p>
      <w:pPr>
        <w:pStyle w:val="BodyText"/>
      </w:pPr>
      <w:r>
        <w:t xml:space="preserve">Spatial clusters are formed by</w:t>
      </w:r>
      <w:r>
        <w:t xml:space="preserve"> </w:t>
      </w:r>
      <w:r>
        <w:rPr>
          <w:i/>
          <w:iCs/>
        </w:rPr>
        <w:t xml:space="preserve">k</w:t>
      </w:r>
      <w:r>
        <w:t xml:space="preserve">-means on the assemblage coordinates. The site layout is best described by two clusters, judged by the silhouette score, which rewards clusters that are compact and well separated. Because cultural</w:t>
      </w:r>
      <w:r>
        <w:t xml:space="preserve"> </w:t>
      </w:r>
      <m:oMath>
        <m:sSub>
          <m:e>
            <m:r>
              <m:t>F</m:t>
            </m:r>
          </m:e>
          <m:sub>
            <m:r>
              <m:t>S</m:t>
            </m:r>
            <m:r>
              <m:t>T</m:t>
            </m:r>
          </m:sub>
        </m:sSub>
      </m:oMath>
      <w:r>
        <w:t xml:space="preserve"> </w:t>
      </w:r>
      <w:r>
        <w:t xml:space="preserve">depends on how many clusters the basin is cut into, we also fit a model that uses no clusters at all. It treats decorated-class composition as a continuous surface over the map, with a separate term for whatever is specific to each site, and asks how much of the variation among assemblages follows location and how much belongs to individual sites. Bounded groups would leave site-specific character that location does not explain.</w:t>
      </w:r>
    </w:p>
    <w:p>
      <w:pPr>
        <w:pStyle w:val="BodyText"/>
      </w:pPr>
      <w:r>
        <w:t xml:space="preserve">Assemblage size rises along the seriation (Spearman +0.61), and several measures are sensitive to sample size, so a measure could move along the sequence through sampling alone. Before scoring any trend we therefore subsample every assemblage, without replacement, to a common 50 sherds, a procedure known as rarefaction</w:t>
      </w:r>
      <w:r>
        <w:t xml:space="preserve"> </w:t>
      </w:r>
      <w:r>
        <w:t xml:space="preserve">(Hurlbert 1971)</w:t>
      </w:r>
      <w:r>
        <w:t xml:space="preserve">.</w:t>
      </w:r>
    </w:p>
    <w:bookmarkEnd w:id="131"/>
    <w:bookmarkStart w:id="132" w:name="neutral-copying-on-the-real-map"/>
    <w:p>
      <w:pPr>
        <w:pStyle w:val="Heading3"/>
      </w:pPr>
      <w:r>
        <w:t xml:space="preserve">Neutral copying on the real map</w:t>
      </w:r>
    </w:p>
    <w:p>
      <w:pPr>
        <w:pStyle w:val="FirstParagraph"/>
      </w:pPr>
      <w:r>
        <w:t xml:space="preserve">The central comparison runs a model of copying with no groups on the real geography of the assemblages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along the rivers. New variants enter at a constant rate, and deposition is pooled over a trailing window of eight time steps to reproduce time-averaging. The simulated assemblages are sampled at each real assemblage’s position in the sequence and subsampled to its real sherd count. A second version adds a boundary: every copying link that crosses a cluster boundary is weakened by a factor between 0.5 and 0.03.</w:t>
      </w:r>
    </w:p>
    <w:p>
      <w:pPr>
        <w:pStyle w:val="BodyText"/>
      </w:pPr>
      <w:r>
        <w:t xml:space="preserve">Two design choices matter. The first concerns what a class is. The standard assumption lets new variants fall into any class with equal probability, which treats the ten types as interchangeable. We also run a version in which new variants fall into each class in proportion to its share of the region’s pooled counts, which reflects that the types lump unequal numbers of decorative variants. The second choice is calibration. A copying model’s predictions about differences between groups depend on population size, innovation rate, and mixing rate together, so we first tune those three to reproduce the diversity within the real assemblages: mean within-assemblage diversity, mean number of classes present, and the diversity of all assemblages pooled. None of these involves the groups being tested. We simulate a grid of 297 parameter combinations and call a combination matched when all three summaries fall within 10 percent of the observed values. Each combination is screened at six simulations, and every matched combination is then rerun at fifty to confirm the match. Among the confirmed combinations we use the one that produces the most between-group difference, so the comparison is as favorable to the no-groups model as the grid allows. That combination is run 500 times, and we report where the observed value falls among those runs.</w:t>
      </w:r>
    </w:p>
    <w:bookmarkEnd w:id="132"/>
    <w:bookmarkStart w:id="133" w:name="can-the-record-detect-a-boundary"/>
    <w:p>
      <w:pPr>
        <w:pStyle w:val="Heading3"/>
      </w:pPr>
      <w:r>
        <w:t xml:space="preserve">Can the record detect a boundary?</w:t>
      </w:r>
    </w:p>
    <w:p>
      <w:pPr>
        <w:pStyle w:val="FirstParagraph"/>
      </w:pPr>
      <w:r>
        <w:t xml:space="preserve">We ran two simulation experiments before looking at the real trend. The first used large, clean synthetic assemblages to check that the four measures can separate a bounded group from the three processes that resemble it (Figure 2). Its generator copies decorated variants in proportion to their frequency</w:t>
      </w:r>
      <w:r>
        <w:t xml:space="preserve"> </w:t>
      </w:r>
      <w:r>
        <w:t xml:space="preserve">(Bentley et al. 2004; Neiman 1995)</w:t>
      </w:r>
      <w:r>
        <w:t xml:space="preserve"> </w:t>
      </w:r>
      <w:r>
        <w:t xml:space="preserve">and has three controls: how far group profiles diverge, how strongly potters conform within groups, and how profiles are placed on the landscape</w:t>
      </w:r>
      <w:r>
        <w:t xml:space="preserve"> </w:t>
      </w:r>
      <w:r>
        <w:t xml:space="preserve">(Mesoudi 2021)</w:t>
      </w:r>
      <w:r>
        <w:t xml:space="preserve">.</w:t>
      </w:r>
    </w:p>
    <w:p>
      <w:pPr>
        <w:pStyle w:val="BodyText"/>
      </w:pPr>
      <w:r>
        <w:t xml:space="preserve">The second experiment matched the real record.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Kandler and Shennan 2015)</w:t>
      </w:r>
      <w:r>
        <w:t xml:space="preserve">. Treating the simulation series as a likelihood then turns the observed trend into a posterior distribution for how much closure the basin could contain, under a uniform prior over</w:t>
      </w:r>
      <w:r>
        <w:t xml:space="preserve"> </w:t>
      </w:r>
      <w:r>
        <w:rPr>
          <w:i/>
          <w:iCs/>
        </w:rPr>
        <w:t xml:space="preserve">s</w:t>
      </w:r>
      <w:r>
        <w:t xml:space="preserve">. This posterior refers to closure that grows along the sequence; a boundary present from the start would not produce a trend, and the comparison in the next section addresses that case.</w:t>
      </w:r>
    </w:p>
    <w:bookmarkEnd w:id="133"/>
    <w:bookmarkStart w:id="134" w:name="where-the-phase-lines-fall"/>
    <w:p>
      <w:pPr>
        <w:pStyle w:val="Heading3"/>
      </w:pPr>
      <w:r>
        <w:t xml:space="preserve">Where the phase lines fall</w:t>
      </w:r>
    </w:p>
    <w:p>
      <w:pPr>
        <w:pStyle w:val="FirstParagraph"/>
      </w:pPr>
      <w:r>
        <w:t xml:space="preserve">Five further tests ask whether the published phase boundaries behave as the edges of groups would. First, we compared the between-group</w:t>
      </w:r>
      <w:r>
        <w:t xml:space="preserve"> </w:t>
      </w:r>
      <m:oMath>
        <m:sSub>
          <m:e>
            <m:r>
              <m:t>F</m:t>
            </m:r>
          </m:e>
          <m:sub>
            <m:r>
              <m:t>S</m:t>
            </m:r>
            <m:r>
              <m:t>T</m:t>
            </m:r>
          </m:sub>
        </m:sSub>
      </m:oMath>
      <w:r>
        <w:t xml:space="preserve"> </w:t>
      </w:r>
      <w:r>
        <w:t xml:space="preserve">under the phase assignments with alternative divisions of the same assemblages into groups of the same sizes (8, 11, and 9), drawn either around randomly placed centers or to be as spatially compact as possible. We state the comparison as the posterior probability that the phase lines separate the pottery better than an alternative, drawing each assemblage’s class proportions from their posterior 2,000 times so that the uncertainty in the counts is carried through. Second, we clustered the assemblages using site coordinates and decorated-class composition together, varying how much weight composition carries, and measured agreement with Mainfort’s assignments with the adjusted Rand index, which is zero on average for unrelated divisions and one for identical ones. Third, we mapped the local rate at which composition changes across the basin and asked whether the phase boundaries fall where it changes fastest. Fourth, we ran the neutral copying model on the real map and clustered its simulated pottery exactly as we clustered the real pottery. Fifth, we asked whether the phase boundaries run through gaps in late-period settlement, using sites independent of the analyzed assemblages.</w:t>
      </w:r>
    </w:p>
    <w:bookmarkEnd w:id="134"/>
    <w:bookmarkStart w:id="135" w:name="settlement-and-exchange"/>
    <w:p>
      <w:pPr>
        <w:pStyle w:val="Heading3"/>
      </w:pPr>
      <w:r>
        <w:t xml:space="preserve">Settlement and exchange</w:t>
      </w:r>
    </w:p>
    <w:p>
      <w:pPr>
        <w:pStyle w:val="FirstParagraph"/>
      </w:pPr>
      <w:r>
        <w:t xml:space="preserve">A polity should also leave traces outside the pottery. We examined the distribution of maximum mound height within the basin, the one attribute recorded the same way at every site, to ask whether site sizes form the hierarchy of settlement types and sizes that Peebles and Kus</w:t>
      </w:r>
      <w:r>
        <w:t xml:space="preserve"> </w:t>
      </w:r>
      <w:r>
        <w:t xml:space="preserve">(1977:431)</w:t>
      </w:r>
      <w:r>
        <w:t xml:space="preserve"> </w:t>
      </w:r>
      <w:r>
        <w:t xml:space="preserve">take as a correlate of ranked society, with a single center set above the rest. For exchange we drew on Cobb’s</w:t>
      </w:r>
      <w:r>
        <w:t xml:space="preserve"> </w:t>
      </w:r>
      <w:r>
        <w:t xml:space="preserve">(2000)</w:t>
      </w:r>
      <w:r>
        <w:t xml:space="preserve"> </w:t>
      </w:r>
      <w:r>
        <w:t xml:space="preserve">analysis of the production and distribution of Mill Creek chert hoes, goods whose control would mark economic centralization.</w:t>
      </w:r>
    </w:p>
    <w:bookmarkEnd w:id="135"/>
    <w:bookmarkEnd w:id="136"/>
    <w:bookmarkStart w:id="174" w:name="results"/>
    <w:p>
      <w:pPr>
        <w:pStyle w:val="Heading2"/>
      </w:pPr>
      <w:r>
        <w:t xml:space="preserve">Results</w:t>
      </w:r>
    </w:p>
    <w:bookmarkStart w:id="137" w:name="what-spatially-structured-drift-explains"/>
    <w:p>
      <w:pPr>
        <w:pStyle w:val="Heading3"/>
      </w:pPr>
      <w:r>
        <w:t xml:space="preserve">What spatially structured drift explains</w:t>
      </w:r>
    </w:p>
    <w:p>
      <w:pPr>
        <w:pStyle w:val="FirstParagraph"/>
      </w:pPr>
      <w:r>
        <w:t xml:space="preserve">Copying across space produces differences among assemblages whatever else is happening, so the first question is how much of the observed variation it accounts for. We answer it with the neutral copying model run on the real map and tuned to the real assemblages. Tuning the model is itself informative. A model that treats the ten classes as interchangeable matches the record’s diversity at only one of the 297 parameter combinations, at the corner of the grid where mixing is highest. The obstacle is the record’s shape: two classes hold 86 percent of all sherds, yet the average assemblage contains six of the ten classes, and copying strong enough to produce that skew removes the rare classes. Letting new variants fall into each class in proportion to its regional share resolves the conflict. Fifty-six combinations then match on the six-run screen, and 49 still match when rerun fifty times (Supplemental Text, Figure S4).</w:t>
      </w:r>
    </w:p>
    <w:p>
      <w:pPr>
        <w:pStyle w:val="BodyText"/>
      </w:pPr>
      <w:r>
        <w:t xml:space="preserve">At the matched combination most favorable to it, copying with no groups produces the observed differences between the basin’s two spatial clusters (Figure S2). The observed between-cluster cultural</w:t>
      </w:r>
      <w:r>
        <w:t xml:space="preserve"> </w:t>
      </w:r>
      <m:oMath>
        <m:sSub>
          <m:e>
            <m:r>
              <m:t>F</m:t>
            </m:r>
          </m:e>
          <m:sub>
            <m:r>
              <m:t>S</m:t>
            </m:r>
            <m:r>
              <m:t>T</m:t>
            </m:r>
          </m:sub>
        </m:sSub>
      </m:oMath>
      <w:r>
        <w:t xml:space="preserve"> </w:t>
      </w:r>
      <w:r>
        <w:t xml:space="preserve">of 0.0062 lies inside the model’s 95 percent range of 0.0003 to 0.0153 (median 0.0026). Sixteen percent of simulated datasets reach the observed value when assemblages are sampled in seriation order, 16 percent in reverse order, and 22 percent when they are treated as contemporaneous. Across all 49 matched combinations, 19 include the observed value within their 95 percent range. The model also reproduces the fading of similarity with distance (observed correlation -0.21 against a simulated range of -0.29 to +0.08).</w:t>
      </w:r>
    </w:p>
    <w:p>
      <w:pPr>
        <w:pStyle w:val="BodyText"/>
      </w:pPr>
      <w:r>
        <w:t xml:space="preserve">A model with no groups also produces the clustered look of the record. When the simulated assemblages are sorted into communities by their similarity, the model returns a single community in 325 of 500 runs and two or more in the rest, so apparent communities arise a third of the time with no boundary anywhere. Where the model returns two or more, the difference between them ranges from 0.008 to 0.043, against an observed 0.039, which 1 of those 175 runs reaches. The number of apparent communities therefore says little; how different they are is the stronger evidence.</w:t>
      </w:r>
    </w:p>
    <w:p>
      <w:pPr>
        <w:pStyle w:val="BodyText"/>
      </w:pPr>
      <w:r>
        <w:t xml:space="preserve">Scored on the published phases themselves rather than on spatial clusters, the model gives the same answer. The between-phase</w:t>
      </w:r>
      <w:r>
        <w:t xml:space="preserve"> </w:t>
      </w:r>
      <m:oMath>
        <m:sSub>
          <m:e>
            <m:r>
              <m:t>F</m:t>
            </m:r>
          </m:e>
          <m:sub>
            <m:r>
              <m:t>S</m:t>
            </m:r>
            <m:r>
              <m:t>T</m:t>
            </m:r>
          </m:sub>
        </m:sSub>
      </m:oMath>
      <w:r>
        <w:t xml:space="preserve"> </w:t>
      </w:r>
      <w:r>
        <w:t xml:space="preserve">of 0.0110 lies inside the range the model produces when its runs are divided along the phase lines, 0.0012 to 0.0164 (median 0.0049, 300 runs), so copying with no groups produces as much difference between the phases as the record shows.</w:t>
      </w:r>
    </w:p>
    <w:p>
      <w:pPr>
        <w:pStyle w:val="BodyText"/>
      </w:pPr>
      <w:r>
        <w:t xml:space="preserve">One measure falls outside what the model produces. Assemblages on the same side of a line are more alike than assemblages the same distance apart across it: the boundary excess is +14.0 at the two spatial clusters, against a simulated range of -9.7 to +8.7, and +10.7 at the phase lines, against -9.2 to +8.0. This excess does not single out the phase lines. With the uncertainty in the counts carried through, the excess at the phase lines (posterior median +9.9, 95 percent credible interval +5.1 to +14.8) is no larger than at divisions of the same sizes drawn around random centers (median +7.4) or made compact (median +5.3), and the probability that it is larger is 0.59 in both cases. Any division of this map shows it. The record’s similarity falls off over short distances more steeply than the model’s does, but the phase lines do not mark a step in it.</w:t>
      </w:r>
    </w:p>
    <w:p>
      <w:pPr>
        <w:pStyle w:val="BodyText"/>
      </w:pPr>
      <w:r>
        <w:t xml:space="preserve">A model of bounded groups does not account for the excess either, even with every advantage. We gave the phases both properties a bounded group would have, copying across phase lines weakened to between half and three percent of its strength and new variants drawn in each phase from a partly reordered version of the regional profile, crossed in 16 combinations of 300 runs each (Supplemental Text). Weakening copying at the phase lines changes the statistics little, because at the calibrated mixing rate copying between sites is already rare, and the data cannot tell a copying boundary from none: the posterior probability of a boundary is 0.68, against a prior of 0.75, and in test runs with a boundary built in it rises only to 0.75 to 0.79. What moves the between-phase</w:t>
      </w:r>
      <w:r>
        <w:t xml:space="preserve"> </w:t>
      </w:r>
      <m:oMath>
        <m:sSub>
          <m:e>
            <m:r>
              <m:t>F</m:t>
            </m:r>
          </m:e>
          <m:sub>
            <m:r>
              <m:t>S</m:t>
            </m:r>
            <m:r>
              <m:t>T</m:t>
            </m:r>
          </m:sub>
        </m:sSub>
      </m:oMath>
      <w:r>
        <w:t xml:space="preserve"> </w:t>
      </w:r>
      <w:r>
        <w:t xml:space="preserve">and the boundary excess is local innovation, with or without a copying boundary. Weakening copying across the two spatial clusters tells the same story, leaving the median</w:t>
      </w:r>
      <w:r>
        <w:t xml:space="preserve"> </w:t>
      </w:r>
      <m:oMath>
        <m:sSub>
          <m:e>
            <m:r>
              <m:t>F</m:t>
            </m:r>
          </m:e>
          <m:sub>
            <m:r>
              <m:t>S</m:t>
            </m:r>
            <m:r>
              <m:t>T</m:t>
            </m:r>
          </m:sub>
        </m:sSub>
      </m:oMath>
      <w:r>
        <w:t xml:space="preserve"> </w:t>
      </w:r>
      <w:r>
        <w:t xml:space="preserve">between 0.0020 and 0.0037 and the observed value reached in 20 to 30 percent of runs, against 23 to 33 percent with no boundary. Groups in the sense the phase concept requires, people who copied mainly one another, are therefore neither required nor excluded by the copying model. The case against the phases as groups rests on the other tests: where the lines fall, what they separate, and what could have drawn them.</w:t>
      </w:r>
    </w:p>
    <w:p>
      <w:pPr>
        <w:pStyle w:val="BodyText"/>
      </w:pPr>
      <w:r>
        <w:t xml:space="preserve">The model with no clusters gives the same answer from a different direction. It assigns 99.6 percent of the variation in composition among assemblages to location (95 percent credible interval 0.972 to 1.000), leaving almost none of the site-specific character that bounded groups would produce. Without containing any groups, it also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w:t>
      </w:r>
    </w:p>
    <w:bookmarkEnd w:id="137"/>
    <w:bookmarkStart w:id="141" w:name="Xb5854cf276628e16f42312eac8ef8b0866a2b4a"/>
    <w:p>
      <w:pPr>
        <w:pStyle w:val="Heading3"/>
      </w:pPr>
      <w:r>
        <w:t xml:space="preserve">Could the record show a boundary if there were one?</w:t>
      </w:r>
    </w:p>
    <w:p>
      <w:pPr>
        <w:pStyle w:val="FirstParagraph"/>
      </w:pPr>
      <w:r>
        <w:t xml:space="preserve">Before asking whether any variation requires more than drift, we need to know whether this record could reveal it. On idealized data the four measures behave as designed. When interaction narrows toward closed groups all four rise together, whereas the three other processes each move only some of them. Under closure the four are tightly correlated (mean absolute correlation 0.88), and under the other processes they are nearly independent (0.18 to 0.28), so their joint movement carries information (Figure 2).</w:t>
      </w:r>
    </w:p>
    <w:p>
      <w:pPr>
        <w:pStyle w:val="BodyText"/>
      </w:pPr>
      <w:r>
        <w:t xml:space="preserve">On synthetic assemblages matched to the real record, only one measure survives (Figure 5). Cultural</w:t>
      </w:r>
      <w:r>
        <w:t xml:space="preserve"> </w:t>
      </w:r>
      <m:oMath>
        <m:sSub>
          <m:e>
            <m:r>
              <m:t>F</m:t>
            </m:r>
          </m:e>
          <m:sub>
            <m:r>
              <m:t>S</m:t>
            </m:r>
            <m:r>
              <m:t>T</m:t>
            </m:r>
          </m:sub>
        </m:sSub>
      </m:oMath>
      <w:r>
        <w:t xml:space="preserve"> </w:t>
      </w:r>
      <w:r>
        <w:t xml:space="preserve">rises steadily as imposed closure increases. The departure from neutral copying does not move in one direction as conformity increases, the boundary excess does not respond at all to the two spatial clusters the site layout supports, and the number of seriation groups does not rise as closure predicts. At this record’s size and time-averaging, cultural</w:t>
      </w:r>
      <w:r>
        <w:t xml:space="preserve"> </w:t>
      </w:r>
      <m:oMath>
        <m:sSub>
          <m:e>
            <m:r>
              <m:t>F</m:t>
            </m:r>
          </m:e>
          <m:sub>
            <m:r>
              <m:t>S</m:t>
            </m:r>
            <m:r>
              <m:t>T</m:t>
            </m:r>
          </m:sub>
        </m:sSub>
      </m:oMath>
      <w:r>
        <w:t xml:space="preserve"> </w:t>
      </w:r>
      <w:r>
        <w:t xml:space="preserve">is the only measure that can tell a bounded group from copying across distance. We report the other three for completeness and draw no inference from them.</w:t>
      </w:r>
    </w:p>
    <w:p>
      <w:pPr>
        <w:pStyle w:val="CaptionedFigure"/>
      </w:pPr>
      <w:r>
        <w:drawing>
          <wp:inline>
            <wp:extent cx="5334000" cy="2692949"/>
            <wp:effectExtent b="0" l="0" r="0" t="0"/>
            <wp:docPr descr="Figure 5.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39" name="Picture"/>
            <a:graphic>
              <a:graphicData uri="http://schemas.openxmlformats.org/drawingml/2006/picture">
                <pic:pic>
                  <pic:nvPicPr>
                    <pic:cNvPr descr="../../figures/fig5_recovery.png" id="140" name="Picture"/>
                    <pic:cNvPicPr>
                      <a:picLocks noChangeArrowheads="1" noChangeAspect="1"/>
                    </pic:cNvPicPr>
                  </pic:nvPicPr>
                  <pic:blipFill>
                    <a:blip r:embed="rId138"/>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bookmarkEnd w:id="141"/>
    <w:bookmarkStart w:id="145" w:name="did-interaction-narrow-over-time"/>
    <w:p>
      <w:pPr>
        <w:pStyle w:val="Heading3"/>
      </w:pPr>
      <w:r>
        <w:t xml:space="preserve">Did interaction narrow over time?</w:t>
      </w:r>
    </w:p>
    <w:p>
      <w:pPr>
        <w:pStyle w:val="FirstParagraph"/>
      </w:pPr>
      <w:r>
        <w:t xml:space="preserve">If phases were becoming bounded groups, differences between them should grow as interaction narrows. They do not (Figure 6).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Once every assemblage is subsampled to a common count, the trend averages -0.048 over 4,000 subsamples, and a single subsample returns anything from -0.80 to +0.40. The record resolves no trend at all. Two of the six periods hold assemblages from a single spatial cluster and carry no between-cluster variance, so the trend rests on four.</w:t>
      </w:r>
    </w:p>
    <w:p>
      <w:pPr>
        <w:pStyle w:val="BodyText"/>
      </w:pPr>
      <w:r>
        <w:t xml:space="preserve">Read against the recovery experiment, a trend this small corresponds to closure with a posterior median of 0.15 and a 95 percent credible interval of 0.00 to 0.37, with a probability of 0.001 on closure of 0.5 or more. Once the record’s time-averaging is built into the simulations, the posterior widens to a median of 0.22 and an interval of 0.00 to 0.57, and 9 percent of it lies at 0.5 or above. Reversing the order, in case its later end is the other one, barely changes this: the median becomes 0.17 (0.00 to 0.39), or 0.25 (0.00 to 0.60) with time-averaging. The record is consistent with no closure and with weak closure. It shows no moderate or strong closure of the kind that would register as growing divergence.</w:t>
      </w:r>
    </w:p>
    <w:p>
      <w:pPr>
        <w:pStyle w:val="CaptionedFigure"/>
      </w:pPr>
      <w:r>
        <w:drawing>
          <wp:inline>
            <wp:extent cx="5334000" cy="3952347"/>
            <wp:effectExtent b="0" l="0" r="0" t="0"/>
            <wp:docPr descr="Figure 6.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 title="" id="143" name="Picture"/>
            <a:graphic>
              <a:graphicData uri="http://schemas.openxmlformats.org/drawingml/2006/picture">
                <pic:pic>
                  <pic:nvPicPr>
                    <pic:cNvPr descr="../../figures/fig6_empirical_trajectory.png" id="144" name="Picture"/>
                    <pic:cNvPicPr>
                      <a:picLocks noChangeArrowheads="1" noChangeAspect="1"/>
                    </pic:cNvPicPr>
                  </pic:nvPicPr>
                  <pic:blipFill>
                    <a:blip r:embed="rId142"/>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w:t>
      </w:r>
    </w:p>
    <w:p>
      <w:pPr>
        <w:pStyle w:val="BodyText"/>
      </w:pPr>
      <w:r>
        <w:t xml:space="preserve">Three checks in the time domain agree (Supplemental Text). A hierarchical model of the frequency changes of all ten classes finds no population-level departure from unbiased copying (posterior median +0.008, 95 percent credible interval -0.040 to +0.081, where unbiased copying implies zero)</w:t>
      </w:r>
      <w:r>
        <w:t xml:space="preserve"> </w:t>
      </w:r>
      <w:r>
        <w:t xml:space="preserve">(Feder et al. 2014)</w:t>
      </w:r>
      <w:r>
        <w:t xml:space="preserve">. A neutral model whose parameters are drawn from the fitted posterior reproduces the observed diversity in all six periods (Bayesian predictive p 0.885)</w:t>
      </w:r>
      <w:r>
        <w:t xml:space="preserve"> </w:t>
      </w:r>
      <w:r>
        <w:t xml:space="preserve">(Kandler and Shennan 2013)</w:t>
      </w:r>
      <w:r>
        <w:t xml:space="preserve">. Neiman’s distance between assemblages shows no trend toward divergence, and within-assemblage diversity is weakly and negatively related to distance from the other assemblages (posterior median rank correlation -0.14, 95 percent credible interval -0.44 to +0.20), the direction a single shared community produces (Figure S1)</w:t>
      </w:r>
      <w:r>
        <w:t xml:space="preserve"> </w:t>
      </w:r>
      <w:r>
        <w:t xml:space="preserve">(Neiman 1995)</w:t>
      </w:r>
      <w:r>
        <w:t xml:space="preserve">.</w:t>
      </w:r>
    </w:p>
    <w:bookmarkEnd w:id="145"/>
    <w:bookmarkStart w:id="146" w:name="variation-beyond-what-drift-produces"/>
    <w:p>
      <w:pPr>
        <w:pStyle w:val="Heading3"/>
      </w:pPr>
      <w:r>
        <w:t xml:space="preserve">Variation beyond what drift produces</w:t>
      </w:r>
    </w:p>
    <w:p>
      <w:pPr>
        <w:pStyle w:val="FirstParagraph"/>
      </w:pPr>
      <w:r>
        <w:t xml:space="preserve">The comparison above uses the two clusters the site layout supports. Cutting the basin into more pieces isolates smaller neighborhoods, and the observed differences then grow faster than the model’s (Table 2). This is the one place where the frequencies show variation that spatially structured drift, as first modeled, does not produce. The model covers the observed value with two, three, and four clusters, the scales that span the three published phases, and falls short from five clusters on, where each group spans about 10 km or less.</w:t>
      </w:r>
    </w:p>
    <w:p>
      <w:pPr>
        <w:pStyle w:val="BodyText"/>
      </w:pPr>
      <w:r>
        <w:rPr>
          <w:b/>
          <w:bCs/>
        </w:rPr>
        <w:t xml:space="preserve">Table 2.</w:t>
      </w:r>
      <w:r>
        <w:t xml:space="preserve"> </w:t>
      </w:r>
      <w:r>
        <w:t xml:space="preserve">Observed between-cluster cultural</w:t>
      </w:r>
      <w:r>
        <w:t xml:space="preserve"> </w:t>
      </w:r>
      <m:oMath>
        <m:sSub>
          <m:e>
            <m:r>
              <m:t>F</m:t>
            </m:r>
          </m:e>
          <m:sub>
            <m:r>
              <m:t>S</m:t>
            </m:r>
            <m:r>
              <m:t>T</m:t>
            </m:r>
          </m:sub>
        </m:sSub>
      </m:oMath>
      <w:r>
        <w:t xml:space="preserve"> </w:t>
      </w:r>
      <w:r>
        <w:t xml:space="preserve">and the neutral copying model as the basin is divided into more clusters, over 300 simulations at the calibrated combination. Radius is the median distance from an assemblage to its cluster center.</w:t>
      </w:r>
    </w:p>
    <w:tbl>
      <w:tblPr>
        <w:tblStyle w:val="Table"/>
        <w:tblW w:type="pct" w:w="5000"/>
        <w:tblLayout w:type="fixed"/>
        <w:tblLook w:firstRow="1" w:lastRow="0" w:firstColumn="0" w:lastColumn="0" w:noHBand="0" w:noVBand="0" w:val="0020"/>
      </w:tblPr>
      <w:tblGrid>
        <w:gridCol w:w="1320"/>
        <w:gridCol w:w="1320"/>
        <w:gridCol w:w="1320"/>
        <w:gridCol w:w="1320"/>
        <w:gridCol w:w="990"/>
        <w:gridCol w:w="1650"/>
      </w:tblGrid>
      <w:tr>
        <w:trPr>
          <w:tblHeader w:val="on"/>
        </w:trPr>
        <w:tc>
          <w:tcPr/>
          <w:p>
            <w:pPr>
              <w:pStyle w:val="Compact"/>
              <w:jc w:val="right"/>
            </w:pPr>
            <w:r>
              <w:t xml:space="preserve">Clusters</w:t>
            </w:r>
          </w:p>
        </w:tc>
        <w:tc>
          <w:tcPr/>
          <w:p>
            <w:pPr>
              <w:pStyle w:val="Compact"/>
              <w:jc w:val="right"/>
            </w:pPr>
            <w:r>
              <w:t xml:space="preserve">Radius (km)</w:t>
            </w:r>
          </w:p>
        </w:tc>
        <w:tc>
          <w:tcPr/>
          <w:p>
            <w:pPr>
              <w:pStyle w:val="Compact"/>
              <w:jc w:val="right"/>
            </w:pPr>
            <w:r>
              <w:t xml:space="preserve">Observed</w:t>
            </w:r>
          </w:p>
        </w:tc>
        <w:tc>
          <w:tcPr/>
          <w:p>
            <w:pPr>
              <w:pStyle w:val="Compact"/>
              <w:jc w:val="right"/>
            </w:pPr>
            <w:r>
              <w:t xml:space="preserve">Model median</w:t>
            </w:r>
          </w:p>
        </w:tc>
        <w:tc>
          <w:tcPr/>
          <w:p>
            <w:pPr>
              <w:pStyle w:val="Compact"/>
            </w:pPr>
            <w:r>
              <w:t xml:space="preserve">Model 95 percent range</w:t>
            </w:r>
          </w:p>
        </w:tc>
        <w:tc>
          <w:tcPr/>
          <w:p>
            <w:pPr>
              <w:pStyle w:val="Compact"/>
              <w:jc w:val="center"/>
            </w:pPr>
            <w:r>
              <w:t xml:space="preserve">Observed inside?</w:t>
            </w:r>
          </w:p>
        </w:tc>
      </w:tr>
      <w:tr>
        <w:tc>
          <w:tcPr/>
          <w:p>
            <w:pPr>
              <w:pStyle w:val="Compact"/>
              <w:jc w:val="right"/>
            </w:pPr>
            <w:r>
              <w:t xml:space="preserve">2</w:t>
            </w:r>
          </w:p>
        </w:tc>
        <w:tc>
          <w:tcPr/>
          <w:p>
            <w:pPr>
              <w:pStyle w:val="Compact"/>
              <w:jc w:val="right"/>
            </w:pPr>
            <w:r>
              <w:t xml:space="preserve">17.5</w:t>
            </w:r>
          </w:p>
        </w:tc>
        <w:tc>
          <w:tcPr/>
          <w:p>
            <w:pPr>
              <w:pStyle w:val="Compact"/>
              <w:jc w:val="right"/>
            </w:pPr>
            <w:r>
              <w:t xml:space="preserve">0.0062</w:t>
            </w:r>
          </w:p>
        </w:tc>
        <w:tc>
          <w:tcPr/>
          <w:p>
            <w:pPr>
              <w:pStyle w:val="Compact"/>
              <w:jc w:val="right"/>
            </w:pPr>
            <w:r>
              <w:t xml:space="preserve">0.0025</w:t>
            </w:r>
          </w:p>
        </w:tc>
        <w:tc>
          <w:tcPr/>
          <w:p>
            <w:pPr>
              <w:pStyle w:val="Compact"/>
            </w:pPr>
            <w:r>
              <w:t xml:space="preserve">0.0002 to 0.0157</w:t>
            </w:r>
          </w:p>
        </w:tc>
        <w:tc>
          <w:tcPr/>
          <w:p>
            <w:pPr>
              <w:pStyle w:val="Compact"/>
              <w:jc w:val="center"/>
            </w:pPr>
            <w:r>
              <w:t xml:space="preserve">yes</w:t>
            </w:r>
          </w:p>
        </w:tc>
      </w:tr>
      <w:tr>
        <w:tc>
          <w:tcPr/>
          <w:p>
            <w:pPr>
              <w:pStyle w:val="Compact"/>
              <w:jc w:val="right"/>
            </w:pPr>
            <w:r>
              <w:t xml:space="preserve">3</w:t>
            </w:r>
          </w:p>
        </w:tc>
        <w:tc>
          <w:tcPr/>
          <w:p>
            <w:pPr>
              <w:pStyle w:val="Compact"/>
              <w:jc w:val="right"/>
            </w:pPr>
            <w:r>
              <w:t xml:space="preserve">13.7</w:t>
            </w:r>
          </w:p>
        </w:tc>
        <w:tc>
          <w:tcPr/>
          <w:p>
            <w:pPr>
              <w:pStyle w:val="Compact"/>
              <w:jc w:val="right"/>
            </w:pPr>
            <w:r>
              <w:t xml:space="preserve">0.0156</w:t>
            </w:r>
          </w:p>
        </w:tc>
        <w:tc>
          <w:tcPr/>
          <w:p>
            <w:pPr>
              <w:pStyle w:val="Compact"/>
              <w:jc w:val="right"/>
            </w:pPr>
            <w:r>
              <w:t xml:space="preserve">0.0047</w:t>
            </w:r>
          </w:p>
        </w:tc>
        <w:tc>
          <w:tcPr/>
          <w:p>
            <w:pPr>
              <w:pStyle w:val="Compact"/>
            </w:pPr>
            <w:r>
              <w:t xml:space="preserve">0.0011 to 0.0186</w:t>
            </w:r>
          </w:p>
        </w:tc>
        <w:tc>
          <w:tcPr/>
          <w:p>
            <w:pPr>
              <w:pStyle w:val="Compact"/>
              <w:jc w:val="center"/>
            </w:pPr>
            <w:r>
              <w:t xml:space="preserve">yes</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jc w:val="right"/>
            </w:pPr>
            <w:r>
              <w:t xml:space="preserve">0.0057</w:t>
            </w:r>
          </w:p>
        </w:tc>
        <w:tc>
          <w:tcPr/>
          <w:p>
            <w:pPr>
              <w:pStyle w:val="Compact"/>
            </w:pPr>
            <w:r>
              <w:t xml:space="preserve">0.0016 to 0.0210</w:t>
            </w:r>
          </w:p>
        </w:tc>
        <w:tc>
          <w:tcPr/>
          <w:p>
            <w:pPr>
              <w:pStyle w:val="Compact"/>
              <w:jc w:val="center"/>
            </w:pPr>
            <w:r>
              <w:t xml:space="preserve">yes</w:t>
            </w:r>
          </w:p>
        </w:tc>
      </w:tr>
      <w:tr>
        <w:tc>
          <w:tcPr/>
          <w:p>
            <w:pPr>
              <w:pStyle w:val="Compact"/>
              <w:jc w:val="right"/>
            </w:pPr>
            <w:r>
              <w:t xml:space="preserve">5</w:t>
            </w:r>
          </w:p>
        </w:tc>
        <w:tc>
          <w:tcPr/>
          <w:p>
            <w:pPr>
              <w:pStyle w:val="Compact"/>
              <w:jc w:val="right"/>
            </w:pPr>
            <w:r>
              <w:t xml:space="preserve">10.6</w:t>
            </w:r>
          </w:p>
        </w:tc>
        <w:tc>
          <w:tcPr/>
          <w:p>
            <w:pPr>
              <w:pStyle w:val="Compact"/>
              <w:jc w:val="right"/>
            </w:pPr>
            <w:r>
              <w:t xml:space="preserve">0.0307</w:t>
            </w:r>
          </w:p>
        </w:tc>
        <w:tc>
          <w:tcPr/>
          <w:p>
            <w:pPr>
              <w:pStyle w:val="Compact"/>
              <w:jc w:val="right"/>
            </w:pPr>
            <w:r>
              <w:t xml:space="preserve">0.0067</w:t>
            </w:r>
          </w:p>
        </w:tc>
        <w:tc>
          <w:tcPr/>
          <w:p>
            <w:pPr>
              <w:pStyle w:val="Compact"/>
            </w:pPr>
            <w:r>
              <w:t xml:space="preserve">0.0022 to 0.0214</w:t>
            </w:r>
          </w:p>
        </w:tc>
        <w:tc>
          <w:tcPr/>
          <w:p>
            <w:pPr>
              <w:pStyle w:val="Compact"/>
              <w:jc w:val="center"/>
            </w:pPr>
            <w:r>
              <w:t xml:space="preserve">no</w:t>
            </w:r>
          </w:p>
        </w:tc>
      </w:tr>
    </w:tbl>
    <w:p>
      <w:pPr>
        <w:pStyle w:val="BodyText"/>
      </w:pPr>
      <w:r>
        <w:t xml:space="preserve">That finer-scale difference is not spread evenly, and it is not centered on Parkin. Dividing the basin into five clusters and comparing each cluster’s contribution with 300 simulations, the two most thinly sampled clusters, five Kent-phase assemblages around Kent Place holding 765 sherds and five around Walls holding 918, exceed the model 30-fold and 7-fold and together supply 63 percent of the observed statistic. The cluster containing Parkin and nine neighbors, the best sampled in the basin at 6,555 sherds, exceeds it 4-fold, and the two clusters along the Mississippi exceed it 2.3- and 2.2-fold. The excess is not a product of small samples. Redrawing every assemblage from the basin’s pooled profile at its own sherd count gives each cluster a contribution near zero (at most 0.0003). Carrying the uncertainty in the observed counts through leaves the Kent Place cluster 24 to 35 times above the model and the Walls cluster 5 to 8 times, and dropping any one of its assemblages leaves the Kent Place cluster 23 to 30 times above it, so no single collection carries the difference. It does not follow which source the counts came from either (Supplemental Text). At these scales, though, the clusters approach the spacing of the assemblages themselves, a median of 4.3 km to the nearest neighbor, which is as fine as the record can resolve.</w:t>
      </w:r>
    </w:p>
    <w:p>
      <w:pPr>
        <w:pStyle w:val="BodyText"/>
      </w:pPr>
      <w:r>
        <w:t xml:space="preserve">We tested four ways the model could be too simple (Table 3). Unequal site populations raise differentiation about fivefold across the range we tried, but they also lower the average population, which speeds drift everywhere and pulls within-assemblage diversity below what the record shows. Changing how copying falls off with distance, whether along rivers or in a straight line, with exponential, Gaussian, or power-law decay, over lengths from 6 to 96 km, moves the median by no more than a few thousandths while diversity stays matched. Letting deposits accumulate over unequal spans barely moves the statistic. Only one change reproduces the finer-scale difference while keeping diversity matched. When each cluster draws its new variants from a slightly different version of the regional profile, with a fifth of the classes reordered, the median</w:t>
      </w:r>
      <w:r>
        <w:t xml:space="preserve"> </w:t>
      </w:r>
      <m:oMath>
        <m:sSub>
          <m:e>
            <m:r>
              <m:t>F</m:t>
            </m:r>
          </m:e>
          <m:sub>
            <m:r>
              <m:t>S</m:t>
            </m:r>
            <m:r>
              <m:t>T</m:t>
            </m:r>
          </m:sub>
        </m:sSub>
      </m:oMath>
      <w:r>
        <w:t xml:space="preserve"> </w:t>
      </w:r>
      <w:r>
        <w:t xml:space="preserve">is 0.0059 against the observed 0.0062, and diversity stays matched as the reordered share rises to 0.3. This is still neutral copying. Nothing in it restricts who copies whom; it only lets new styles arise locally rather than at the same rates everywhere. Individual simulations under it are very widely spread, with a 95 percent range of 0.0004 to 0.16, so it is consistent with the record rather than demonstrated by it.</w:t>
      </w:r>
    </w:p>
    <w:p>
      <w:pPr>
        <w:pStyle w:val="BodyText"/>
      </w:pPr>
      <w:r>
        <w:rPr>
          <w:b/>
          <w:bCs/>
        </w:rPr>
        <w:t xml:space="preserve">Table 3.</w:t>
      </w:r>
      <w:r>
        <w:t xml:space="preserve"> </w:t>
      </w:r>
      <w:r>
        <w:t xml:space="preserve">Every account of the basin’s decorated-type frequencies tested here, what it predicts, and how it fared. The first row is the baseline that operates whatever else happens. The second is the process that would give phases the qualities of groups. The rest are candidate additional processes for the finer-scale difference the baseline leaves. An account meets the standard only if it reaches the observed between-cluster</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within-assemblage diversity summaries within 10 percent of the observed values. Full grids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the fade of similarity with distance, and the phases themselves, with no group anywhere</w:t>
            </w:r>
          </w:p>
        </w:tc>
        <w:tc>
          <w:tcPr/>
          <w:p>
            <w:pPr>
              <w:pStyle w:val="Compact"/>
            </w:pPr>
            <w:r>
              <w:t xml:space="preserve">Neutral copying on the real map, tuned to the assemblages’ diversity (Figure S2)</w:t>
            </w:r>
          </w:p>
        </w:tc>
        <w:tc>
          <w:tcPr/>
          <w:p>
            <w:pPr>
              <w:pStyle w:val="Compact"/>
            </w:pPr>
            <w:r>
              <w:rPr>
                <w:b/>
                <w:bCs/>
              </w:rPr>
              <w:t xml:space="preserve">Explains most of the record.</w:t>
            </w:r>
            <w:r>
              <w:t xml:space="preserve"> </w:t>
            </w:r>
            <w:r>
              <w:t xml:space="preserve">Observed</w:t>
            </w:r>
            <w:r>
              <w:t xml:space="preserve"> </w:t>
            </w:r>
            <m:oMath>
              <m:sSub>
                <m:e>
                  <m:r>
                    <m:t>F</m:t>
                  </m:r>
                </m:e>
                <m:sub>
                  <m:r>
                    <m:t>S</m:t>
                  </m:r>
                  <m:r>
                    <m:t>T</m:t>
                  </m:r>
                </m:sub>
              </m:sSub>
            </m:oMath>
            <w:r>
              <w:t xml:space="preserve"> </w:t>
            </w:r>
            <w:r>
              <w:t xml:space="preserve">inside the model’s range with two to four clusters; simulated pottery sorts into the phases as readily as real pottery; falls short from five clusters on</w:t>
            </w:r>
          </w:p>
        </w:tc>
      </w:tr>
      <w:tr>
        <w:tc>
          <w:tcPr/>
          <w:p>
            <w:pPr>
              <w:pStyle w:val="Compact"/>
            </w:pPr>
            <w:r>
              <w:t xml:space="preserve">Bounded groups, giving phases the qualities of communities or polities</w:t>
            </w:r>
          </w:p>
        </w:tc>
        <w:tc>
          <w:tcPr/>
          <w:p>
            <w:pPr>
              <w:pStyle w:val="Compact"/>
            </w:pPr>
            <w:r>
              <w:t xml:space="preserve">Divergence that grows as interaction narrows; boundaries where the pottery changes; pottery rather than location recovers the phases</w:t>
            </w:r>
          </w:p>
        </w:tc>
        <w:tc>
          <w:tcPr/>
          <w:p>
            <w:pPr>
              <w:pStyle w:val="Compact"/>
            </w:pPr>
            <w:r>
              <w:t xml:space="preserve">Recovery experiment and the observed trend (Figures 5, 6); the phase-line tests reported below</w:t>
            </w:r>
          </w:p>
        </w:tc>
        <w:tc>
          <w:tcPr/>
          <w:p>
            <w:pPr>
              <w:pStyle w:val="Compact"/>
            </w:pPr>
            <w:r>
              <w:rPr>
                <w:b/>
                <w:bCs/>
              </w:rPr>
              <w:t xml:space="preserve">Not supported.</w:t>
            </w:r>
            <w:r>
              <w:t xml:space="preserve"> </w:t>
            </w:r>
            <w:r>
              <w:t xml:space="preserve">No resolvable trend (closure 0.15, 0.00 to 0.37); boundaries fall where pottery changes least; the step in similarity at the phase lines is no larger than at arbitrary divisions; location alone recovers the phases</w:t>
            </w:r>
          </w:p>
        </w:tc>
      </w:tr>
      <w:tr>
        <w:tc>
          <w:tcPr/>
          <w:p>
            <w:pPr>
              <w:pStyle w:val="Compact"/>
            </w:pPr>
            <w:r>
              <w:t xml:space="preserve">Restricted copying across boundaries</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t xml:space="preserve">Copying across phase lines weakened to 0.5, 0.1, and 0.03 of its strength, crossed with local innovation (16 combinations, 300 runs each); the same weakening across the spatial clusters</w:t>
            </w:r>
          </w:p>
        </w:tc>
        <w:tc>
          <w:tcPr/>
          <w:p>
            <w:pPr>
              <w:pStyle w:val="Compact"/>
            </w:pPr>
            <w:r>
              <w:rPr>
                <w:b/>
                <w:bCs/>
              </w:rPr>
              <w:t xml:space="preserve">Not identifiable.</w:t>
            </w:r>
            <w:r>
              <w:t xml:space="preserve"> </w:t>
            </w:r>
            <w:r>
              <w:t xml:space="preserve">At the calibrated mixing rate a copying boundary changes the statistics little; its posterior is 0.68 against a prior of 0.75, and 0.75 to 0.79 when one is built in</w:t>
            </w:r>
          </w:p>
        </w:tc>
      </w:tr>
      <w:tr>
        <w:tc>
          <w:tcPr/>
          <w:p>
            <w:pPr>
              <w:pStyle w:val="Compact"/>
            </w:pPr>
            <w:r>
              <w:t xml:space="preserve">Unequal site populations</w:t>
            </w:r>
          </w:p>
        </w:tc>
        <w:tc>
          <w:tcPr/>
          <w:p>
            <w:pPr>
              <w:pStyle w:val="Compact"/>
            </w:pPr>
            <w:r>
              <w:t xml:space="preserve">Small settlements drift faster, raising differentiation</w:t>
            </w:r>
          </w:p>
        </w:tc>
        <w:tc>
          <w:tcPr/>
          <w:p>
            <w:pPr>
              <w:pStyle w:val="Compact"/>
            </w:pPr>
            <w:r>
              <w:t xml:space="preserve">Populations varied with a coefficient of variation of 0 to 3, against the 0.9 to 1.8 implied by mound height</w:t>
            </w:r>
          </w:p>
        </w:tc>
        <w:tc>
          <w:tcPr/>
          <w:p>
            <w:pPr>
              <w:pStyle w:val="Compact"/>
            </w:pPr>
            <w:r>
              <w:rPr>
                <w:b/>
                <w:bCs/>
              </w:rPr>
              <w:t xml:space="preserve">Fails.</w:t>
            </w:r>
            <w:r>
              <w:t xml:space="preserve"> </w:t>
            </w:r>
            <m:oMath>
              <m:sSub>
                <m:e>
                  <m:r>
                    <m:t>F</m:t>
                  </m:r>
                </m:e>
                <m:sub>
                  <m:r>
                    <m:t>S</m:t>
                  </m:r>
                  <m:r>
                    <m:t>T</m:t>
                  </m:r>
                </m:sub>
              </m:sSub>
            </m:oMath>
            <w:r>
              <w:t xml:space="preserve"> </w:t>
            </w:r>
            <w:r>
              <w:t xml:space="preserve">rises from 0.0026 to 0.0122, but diversity no longer matches from a coefficient of variation of 1.0</w:t>
            </w:r>
          </w:p>
        </w:tc>
      </w:tr>
      <w:tr>
        <w:tc>
          <w:tcPr/>
          <w:p>
            <w:pPr>
              <w:pStyle w:val="Compact"/>
            </w:pPr>
            <w:r>
              <w:t xml:space="preserve">A different transport geography</w:t>
            </w:r>
          </w:p>
        </w:tc>
        <w:tc>
          <w:tcPr/>
          <w:p>
            <w:pPr>
              <w:pStyle w:val="Compact"/>
            </w:pPr>
            <w:r>
              <w:t xml:space="preserve">Copying that isolates distant sites raises differentiation</w:t>
            </w:r>
          </w:p>
        </w:tc>
        <w:tc>
          <w:tcPr/>
          <w:p>
            <w:pPr>
              <w:pStyle w:val="Compact"/>
            </w:pPr>
            <w:r>
              <w:t xml:space="preserve">River and straight-line distance, lengths of 6 to 96 km, three decay shapes</w:t>
            </w:r>
          </w:p>
        </w:tc>
        <w:tc>
          <w:tcPr/>
          <w:p>
            <w:pPr>
              <w:pStyle w:val="Compact"/>
            </w:pPr>
            <w:r>
              <w:rPr>
                <w:b/>
                <w:bCs/>
              </w:rPr>
              <w:t xml:space="preserve">Fails.</w:t>
            </w:r>
            <w:r>
              <w:t xml:space="preserve"> </w:t>
            </w:r>
            <w:r>
              <w:t xml:space="preserve">The best matched setting, straight-line exponential decay at 6 km, leaves a 2.1-fold shortfall; a Gaussian at 6 km reaches 1.5-fold but breaks the match</w:t>
            </w:r>
          </w:p>
        </w:tc>
      </w:tr>
      <w:tr>
        <w:tc>
          <w:tcPr/>
          <w:p>
            <w:pPr>
              <w:pStyle w:val="Compact"/>
            </w:pPr>
            <w:r>
              <w:t xml:space="preserve">Unequal accumulation spans</w:t>
            </w:r>
          </w:p>
        </w:tc>
        <w:tc>
          <w:tcPr/>
          <w:p>
            <w:pPr>
              <w:pStyle w:val="Compact"/>
            </w:pPr>
            <w:r>
              <w:t xml:space="preserve">Deposits from narrow time slices look more distinct</w:t>
            </w:r>
          </w:p>
        </w:tc>
        <w:tc>
          <w:tcPr/>
          <w:p>
            <w:pPr>
              <w:pStyle w:val="Compact"/>
            </w:pPr>
            <w:r>
              <w:t xml:space="preserve">Accumulation windows varied around eight steps by up to six</w:t>
            </w:r>
          </w:p>
        </w:tc>
        <w:tc>
          <w:tcPr/>
          <w:p>
            <w:pPr>
              <w:pStyle w:val="Compact"/>
            </w:pPr>
            <w:r>
              <w:rPr>
                <w:b/>
                <w:bCs/>
              </w:rPr>
              <w:t xml:space="preserve">Fails.</w:t>
            </w:r>
            <w:r>
              <w:t xml:space="preserve"> </w:t>
            </w:r>
            <w:r>
              <w:t xml:space="preserve">The median stays at 0.0023 to 0.0026</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t xml:space="preserve">Each cluster innovates from a partly reordered regional profile, share reordered 0 to 1, 1,200 simulations per setting</w:t>
            </w:r>
          </w:p>
        </w:tc>
        <w:tc>
          <w:tcPr/>
          <w:p>
            <w:pPr>
              <w:pStyle w:val="Compact"/>
            </w:pPr>
            <w:r>
              <w:rPr>
                <w:b/>
                <w:bCs/>
              </w:rPr>
              <w:t xml:space="preserve">Meets the standard.</w:t>
            </w:r>
            <w:r>
              <w:t xml:space="preserve"> </w:t>
            </w:r>
            <w:r>
              <w:t xml:space="preserve">At a reordered share of 0.2 the median is 0.0059; diversity stays matched through 0.3; simulations are widely spread</w:t>
            </w:r>
          </w:p>
        </w:tc>
      </w:tr>
    </w:tbl>
    <w:bookmarkEnd w:id="146"/>
    <w:bookmarkStart w:id="153" w:name="X3dc28483acd424ad0147c5be504e1fec0e13650"/>
    <w:p>
      <w:pPr>
        <w:pStyle w:val="Heading3"/>
      </w:pPr>
      <w:r>
        <w:t xml:space="preserve">Does Parkin have the properties of a polity center?</w:t>
      </w:r>
    </w:p>
    <w:p>
      <w:pPr>
        <w:pStyle w:val="FirstParagraph"/>
      </w:pPr>
      <w:r>
        <w:t xml:space="preserve">A phase read as a polity implies a center around which the pattern is organized. Parkin sits between seriation orderings rather than at the center of one. Deterministic seriation of the basin assemblages returns 34 maximal co-seriable groups at a continuity threshold of 0.1, none larger than four assemblages, and 18 of the 28 assemblages belong to more than one (Figure 7). Groups that had actually closed would give orderings that are incompatible and separate, whereas here most assemblages belong to several at once. That overlap is what a continuous field too varied to fit one ordering produces, not a set of bounded traditions. Parkin belongs to three groups, a bridge between orderings, though not the most connected one: Barton Ranch and Williamson each belong to six. Lipo, Madsen, and Dunnell</w:t>
      </w:r>
      <w:r>
        <w:t xml:space="preserve"> </w:t>
      </w:r>
      <w:r>
        <w:t xml:space="preserve">(2015)</w:t>
      </w:r>
      <w:r>
        <w:t xml:space="preserve"> </w:t>
      </w:r>
      <w:r>
        <w:t xml:space="preserve">found the same position and read it as a possible sign of emerging hierarchy; we read it as a place where interaction concentrated.</w:t>
      </w:r>
    </w:p>
    <w:p>
      <w:pPr>
        <w:pStyle w:val="CaptionedFigure"/>
      </w:pPr>
      <w:r>
        <w:drawing>
          <wp:inline>
            <wp:extent cx="5334000" cy="3603744"/>
            <wp:effectExtent b="0" l="0" r="0" t="0"/>
            <wp:docPr descr="Figure 7.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itle="" id="148" name="Picture"/>
            <a:graphic>
              <a:graphicData uri="http://schemas.openxmlformats.org/drawingml/2006/picture">
                <pic:pic>
                  <pic:nvPicPr>
                    <pic:cNvPr descr="../../figures/fig7_idss_structure.png" id="149" name="Picture"/>
                    <pic:cNvPicPr>
                      <a:picLocks noChangeArrowheads="1" noChangeAspect="1"/>
                    </pic:cNvPicPr>
                  </pic:nvPicPr>
                  <pic:blipFill>
                    <a:blip r:embed="rId147"/>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w:t>
      </w:r>
    </w:p>
    <w:p>
      <w:pPr>
        <w:pStyle w:val="BodyText"/>
      </w:pPr>
      <w:r>
        <w:t xml:space="preserve">The settlement record tells the same story.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8). Parkin’s height comes from excavation reports, whereas the others come from a regional compilation without per-site sources, which we cannot correct. Mound heights form a graded series with a prominent center, not a separate administrative tier. The chert-hoe economy points the same way: Mill Creek hoes were made by autonomous workshops at the source and moved largely down the line, with elites at most gaining privileged access</w:t>
      </w:r>
      <w:r>
        <w:t xml:space="preserve"> </w:t>
      </w:r>
      <w:r>
        <w:t xml:space="preserve">(Cobb 2000:75, 154, 198)</w:t>
      </w:r>
      <w:r>
        <w:t xml:space="preserve">, although that evidence is regional rather than specific to the basin.</w:t>
      </w:r>
    </w:p>
    <w:p>
      <w:pPr>
        <w:pStyle w:val="CaptionedFigure"/>
      </w:pPr>
      <w:r>
        <w:drawing>
          <wp:inline>
            <wp:extent cx="5334000" cy="3332419"/>
            <wp:effectExtent b="0" l="0" r="0" t="0"/>
            <wp:docPr descr="Figure 8. 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 title="" id="151" name="Picture"/>
            <a:graphic>
              <a:graphicData uri="http://schemas.openxmlformats.org/drawingml/2006/picture">
                <pic:pic>
                  <pic:nvPicPr>
                    <pic:cNvPr descr="../../figures/fig8_ranksize.png" id="152" name="Picture"/>
                    <pic:cNvPicPr>
                      <a:picLocks noChangeArrowheads="1" noChangeAspect="1"/>
                    </pic:cNvPicPr>
                  </pic:nvPicPr>
                  <pic:blipFill>
                    <a:blip r:embed="rId150"/>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w:t>
      </w:r>
    </w:p>
    <w:bookmarkEnd w:id="153"/>
    <w:bookmarkStart w:id="169" w:name="why-the-phases-look-like-groups"/>
    <w:p>
      <w:pPr>
        <w:pStyle w:val="Heading3"/>
      </w:pPr>
      <w:r>
        <w:t xml:space="preserve">Why the phases look like groups</w:t>
      </w:r>
    </w:p>
    <w:p>
      <w:pPr>
        <w:pStyle w:val="FirstParagraph"/>
      </w:pPr>
      <w:r>
        <w:t xml:space="preserve">If spatially structured drift explains the frequencies, the phases themselves should be what that structure looks like when sites are sorted by resemblance and proximity. If the phases were groups instead, their boundaries should be where the pottery changes. They are not. With the uncertainty in every assemblage’s counts carried through, the between-phase</w:t>
      </w:r>
      <w:r>
        <w:t xml:space="preserve"> </w:t>
      </w:r>
      <m:oMath>
        <m:sSub>
          <m:e>
            <m:r>
              <m:t>F</m:t>
            </m:r>
          </m:e>
          <m:sub>
            <m:r>
              <m:t>S</m:t>
            </m:r>
            <m:r>
              <m:t>T</m:t>
            </m:r>
          </m:sub>
        </m:sSub>
      </m:oMath>
      <w:r>
        <w:t xml:space="preserve"> </w:t>
      </w:r>
      <w:r>
        <w:t xml:space="preserve">has a posterior median of 0.0109 (95 percent credible interval 0.0091 to 0.0128). Divisions of the same assemblages into groups of the same sizes around randomly placed centers give a median of 0.0146, and divisions drawn to be as compact as possible give 0.0162. The posterior probability that the phase lines separate the pottery better than a division around random centers is 0.20, and better than a compact division 0.05 (Figure 9B, C). Arbitrary lines separate the pottery better than the phase lines do.</w:t>
      </w:r>
    </w:p>
    <w:p>
      <w:pPr>
        <w:pStyle w:val="BodyText"/>
      </w:pPr>
      <w:r>
        <w:t xml:space="preserve">What the phase lines do follow is the map. Their within-group spread, 190.5 km² per assemblage, is the tightest three-way division of these assemblages at these group sizes that our search found. A search that minimizes spatial spread and never sees a potsherd returned the phase division exactly in 154 of 1,000 random starts and found nothing tighter in any of them. The phases are the most compact way to divide the sites into groups of those sizes. The same comparison across scales, plotted in Figure 9A, shows the observed differences staying inside the model’s range through four clusters.</w:t>
      </w:r>
    </w:p>
    <w:p>
      <w:pPr>
        <w:pStyle w:val="CaptionedFigure"/>
      </w:pPr>
      <w:r>
        <w:drawing>
          <wp:inline>
            <wp:extent cx="5334000" cy="2584123"/>
            <wp:effectExtent b="0" l="0" r="0" t="0"/>
            <wp:docPr descr="Figure 9. Scale and boundaries. (A) Observed between-cluster cultural F_{ST} against the neutral copying model as the basin is divided into two through six clusters. The model’s range rises slowly; the observed values stay inside it through four clusters and leave it from five. (B) Within-group spatial spread against cultural F_{ST} 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 F_{ST} (solid line) against the compact divisions, among which it sits at the 5th percentile." title="" id="155" name="Picture"/>
            <a:graphic>
              <a:graphicData uri="http://schemas.openxmlformats.org/drawingml/2006/picture">
                <pic:pic>
                  <pic:nvPicPr>
                    <pic:cNvPr descr="../../figures/fig12_phase_partition.png" id="156" name="Picture"/>
                    <pic:cNvPicPr>
                      <a:picLocks noChangeArrowheads="1" noChangeAspect="1"/>
                    </pic:cNvPicPr>
                  </pic:nvPicPr>
                  <pic:blipFill>
                    <a:blip r:embed="rId154"/>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model’s range rises slowly; the observed values stay inside it through four clusters and leave it from five. (B) Within-group spatial spread against cultural</w:t>
      </w:r>
      <w:r>
        <w:t xml:space="preserve"> </w:t>
      </w:r>
      <m:oMath>
        <m:sSub>
          <m:e>
            <m:r>
              <m:t>F</m:t>
            </m:r>
          </m:e>
          <m:sub>
            <m:r>
              <m:t>S</m:t>
            </m:r>
            <m:r>
              <m:t>T</m:t>
            </m:r>
          </m:sub>
        </m:sSub>
      </m:oMath>
      <w:r>
        <w:t xml:space="preserve"> </w:t>
      </w:r>
      <w:r>
        <w:t xml:space="preserve">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among which it sits at the 5th percentile.</w:t>
      </w:r>
    </w:p>
    <w:p>
      <w:pPr>
        <w:pStyle w:val="BodyText"/>
      </w:pPr>
      <w:r>
        <w:t xml:space="preserve">The boundaries also fall where composition changes slowly. Mapping the local rate at which composition changes across the basin (Figure 10A), an edge between communities should appear as a ridge of fast change. The phase boundaries do not follow ridges. Median change along them is 0.0104 per kilometer, against 0.0124 along boundaries built the same way from 200 same-size divisions around randomly placed centers, and none of those 200 runs through slower-changing country than the phase boundaries do (Figure 10B). We report that matched comparison rather than one against the whole mapped area, which would place the phase boundaries at the 24th percentile but is misleading, because boundaries of this kind necessarily fall in the interior of the site distribution, where the surface is best supported and changes least.</w:t>
      </w:r>
    </w:p>
    <w:p>
      <w:pPr>
        <w:pStyle w:val="CaptionedFigure"/>
      </w:pPr>
      <w:r>
        <w:drawing>
          <wp:inline>
            <wp:extent cx="5334000" cy="3028550"/>
            <wp:effectExtent b="0" l="0" r="0" t="0"/>
            <wp:docPr descr="Figure 10. 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 F_{ST} 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 title="" id="158" name="Picture"/>
            <a:graphic>
              <a:graphicData uri="http://schemas.openxmlformats.org/drawingml/2006/picture">
                <pic:pic>
                  <pic:nvPicPr>
                    <pic:cNvPr descr="../../figures/fig13_groupness_surface.png" id="159" name="Picture"/>
                    <pic:cNvPicPr>
                      <a:picLocks noChangeArrowheads="1" noChangeAspect="1"/>
                    </pic:cNvPicPr>
                  </pic:nvPicPr>
                  <pic:blipFill>
                    <a:blip r:embed="rId157"/>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w:t>
      </w:r>
    </w:p>
    <w:p>
      <w:pPr>
        <w:pStyle w:val="BodyText"/>
      </w:pPr>
      <w:r>
        <w:t xml:space="preserve">The site map alone recovers the phases. Clustering the assemblages on their coordinates alone reproduces Mainfort’s assignments exactly, with an adjusted Rand index of 1.000 as the median over 40 starting configurations (Figure 11). Adding composition lowers the agreement at every weight: from a tenth of the coordinates’ weight up to equal weight the median is 0.607, and composition alone reaches 0.215. Divisions with the phases’ group sizes around random centers reach 0.566, which is what three groups of these sizes produce by chance. The three assemblages placed by territory rather than by Mainfort are left out of this score, since measuring a geographic rule against geography would build in the agreement. The pottery, when it enters, moves the answer away from the published phases rather than toward them. We report the chi-square transform of composition because it has no free parameter; 38 percent of the matrix cells are zero, and log-ratio transforms move the agreement at half weight between 0.53 and 0.77 depending on how zeros are treated (Supplemental Text).</w:t>
      </w:r>
    </w:p>
    <w:p>
      <w:pPr>
        <w:pStyle w:val="CaptionedFigure"/>
      </w:pPr>
      <w:r>
        <w:drawing>
          <wp:inline>
            <wp:extent cx="3412944" cy="2730967"/>
            <wp:effectExtent b="0" l="0" r="0" t="0"/>
            <wp:docPr descr="Figure 11.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61" name="Picture"/>
            <a:graphic>
              <a:graphicData uri="http://schemas.openxmlformats.org/drawingml/2006/picture">
                <pic:pic>
                  <pic:nvPicPr>
                    <pic:cNvPr descr="../../figures/fig14_phase_recovery.png" id="162" name="Picture"/>
                    <pic:cNvPicPr>
                      <a:picLocks noChangeArrowheads="1" noChangeAspect="1"/>
                    </pic:cNvPicPr>
                  </pic:nvPicPr>
                  <pic:blipFill>
                    <a:blip r:embed="rId160"/>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Pottery made by copying with no groups sorts into the phases as readily as the real pottery. We ran the neutral copying model on the real site map 300 times, sampled its pottery at the real sherd counts, and clustered each simulated record the same way as the real one, taking the median over 10 starting configurations rather than 40 (Figure 12). Wherever site location enters the clustering, the simulated pottery matches the phases as well as the real pottery does, and usually better. With a quarter weight on composition, the real record’s agreement of 0.607 is at or below every one of the 300 simulated records (median 0.938); at equal weight it sits at the 53rd percentile (median 0.581). With pottery alone, where location cannot help, the real record agrees with the phases somewhat better than the simulations, 0.237 against a median of 0.031, a level that 3 percent of simulated records reach. That small margin is the same finer-scale difference described above, seen from another side.</w:t>
      </w:r>
    </w:p>
    <w:p>
      <w:pPr>
        <w:pStyle w:val="CaptionedFigure"/>
      </w:pPr>
      <w:r>
        <w:drawing>
          <wp:inline>
            <wp:extent cx="3272267" cy="2715676"/>
            <wp:effectExtent b="0" l="0" r="0" t="0"/>
            <wp:docPr descr="Figure 12. 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 title="" id="164" name="Picture"/>
            <a:graphic>
              <a:graphicData uri="http://schemas.openxmlformats.org/drawingml/2006/picture">
                <pic:pic>
                  <pic:nvPicPr>
                    <pic:cNvPr descr="../../figures/fig15_phases_under_drift.png" id="165" name="Picture"/>
                    <pic:cNvPicPr>
                      <a:picLocks noChangeArrowheads="1" noChangeAspect="1"/>
                    </pic:cNvPicPr>
                  </pic:nvPicPr>
                  <pic:blipFill>
                    <a:blip r:embed="rId163"/>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phase boundaries do not follow gaps in settlement either. The settlement compilation records 83 sites with a late pre-contact component in the mapped area, and dropping the 27 within a kilometer of an analyzed assemblage leaves 56 whose positions are independent of the pottery. Measuring the density of those sites along the phase boundaries and along the boundaries of 300 same-size divisions (Figure 13), 64 percent of divisions around random centers and 61 percent of compact divisions run through denser settlement than the phase boundaries at an 8 km bandwidth; at 5 km the figures are 40 and 14 percent, and at 3 km 18 and 15 percent. Apart from the coarsest bandwidth, then, the two boundaries between the tested phases, Parkin against Kent and Kent against Walls, run through country no emptier than a boundary drawn elsewhere. Empty country is what separates the untested Nodena and Parchman phases from these three.</w:t>
      </w:r>
    </w:p>
    <w:p>
      <w:pPr>
        <w:pStyle w:val="BodyText"/>
      </w:pPr>
      <w:r>
        <w:t xml:space="preserve">What makes the settlement clumped is partly the rivers. Late-period sites lie a median 1.8 km from a major river, against 3.6 km for random points in the same area, so the rivers set the band in which people lived. Points placed as close to the rivers as the sites are, however, come out randomly spaced (Clark-Evans ratio 0.99 against the sites’ 0.64), so the clusters form on particular reaches of river for reasons proximity alone does not supply. Ceramic similarity between phases follows straight-line distance rather than distance along the rivers, and we therefore report both measures of distance; the river measure is the one more favorable to the no-groups model (Supplemental Text).</w:t>
      </w:r>
    </w:p>
    <w:p>
      <w:pPr>
        <w:pStyle w:val="CaptionedFigure"/>
      </w:pPr>
      <w:r>
        <w:drawing>
          <wp:inline>
            <wp:extent cx="5238686" cy="3223336"/>
            <wp:effectExtent b="0" l="0" r="0" t="0"/>
            <wp:docPr descr="Figure 13. 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 title="" id="167" name="Picture"/>
            <a:graphic>
              <a:graphicData uri="http://schemas.openxmlformats.org/drawingml/2006/picture">
                <pic:pic>
                  <pic:nvPicPr>
                    <pic:cNvPr descr="../../figures/fig16_settlement_gaps.png" id="168" name="Picture"/>
                    <pic:cNvPicPr>
                      <a:picLocks noChangeArrowheads="1" noChangeAspect="1"/>
                    </pic:cNvPicPr>
                  </pic:nvPicPr>
                  <pic:blipFill>
                    <a:blip r:embed="rId166"/>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w:t>
      </w:r>
    </w:p>
    <w:bookmarkEnd w:id="169"/>
    <w:bookmarkStart w:id="173" w:name="Xb4a0a395e221470d8befd6776e147cfdc236abc"/>
    <w:p>
      <w:pPr>
        <w:pStyle w:val="Heading3"/>
      </w:pPr>
      <w:r>
        <w:t xml:space="preserve">A second phase scheme drawn from the pottery</w:t>
      </w:r>
    </w:p>
    <w:p>
      <w:pPr>
        <w:pStyle w:val="FirstParagraph"/>
      </w:pPr>
      <w:r>
        <w:t xml:space="preserve">Mainfort</w:t>
      </w:r>
      <w:r>
        <w:t xml:space="preserve"> </w:t>
      </w:r>
      <w:r>
        <w:t xml:space="preserve">(2003)</w:t>
      </w:r>
      <w:r>
        <w:t xml:space="preserve"> </w:t>
      </w:r>
      <w:r>
        <w:t xml:space="preserve">drew his phase lines through much the same sites after ordinating their pottery. He adopted Smith’s</w:t>
      </w:r>
      <w:r>
        <w:t xml:space="preserve"> </w:t>
      </w:r>
      <w:r>
        <w:t xml:space="preserve">(1990)</w:t>
      </w:r>
      <w:r>
        <w:t xml:space="preserve"> </w:t>
      </w:r>
      <w:r>
        <w:t xml:space="preserve">Horseshoe Lake phase, which gathers Beck, Belle Meade, Mound Place, and Young</w:t>
      </w:r>
      <w:r>
        <w:t xml:space="preserve"> </w:t>
      </w:r>
      <w:r>
        <w:t xml:space="preserve">(Mainfort 2003:177)</w:t>
      </w:r>
      <w:r>
        <w:t xml:space="preserve">. Compared with the scheme of Figure 1, his table also places Hollywood and Commerce in Kent rather than Walls, Castile Landing in Parkin rather than Kent, and Carson Lake in Walls rather than Nodena, although his text treats Carson Lake as a Nodena site</w:t>
      </w:r>
      <w:r>
        <w:t xml:space="preserve"> </w:t>
      </w:r>
      <w:r>
        <w:t xml:space="preserve">(Mainfort 2003:176–181)</w:t>
      </w:r>
      <w:r>
        <w:t xml:space="preserve">. Nine sites are assigned differently in the two schemes. A second scheme drawn through the same ground is a useful check. If phases were groups, both schemes should track the same boundaries. If they are what a spatial gradient looks like when sites are sorted, a scheme drawn by proximity and a scheme drawn from the pottery should behave differently.</w:t>
      </w:r>
    </w:p>
    <w:p>
      <w:pPr>
        <w:pStyle w:val="BodyText"/>
      </w:pPr>
      <w:r>
        <w:t xml:space="preserve">We ran the phase-line tests on Mainfort’s own counts, using decorated types only and his assignments, with a minimum of 100 decorated sherds. That leaves 29 sites and 13,296 decorated sherds in five phases: Kent with 9 sites, Parkin with 7, Walls with 6, Horseshoe Lake with 4, and Jones Bayou with 3 (Figure 14). Tipton keeps only one site and is not carried. His table shares collections with ours at 21 sites, so this is a second tally of largely the same material rather than an independent record, and we do not repeat the copying model, which is tuned to our own matrix.</w:t>
      </w:r>
    </w:p>
    <w:p>
      <w:pPr>
        <w:pStyle w:val="BodyText"/>
      </w:pPr>
      <w:r>
        <w:t xml:space="preserve">Location again carries most of the scheme. The site map alone recovers Mainfort’s assignments with an adjusted Rand index of 0.51, the pottery alone 0.25, and same-size divisions around random centers 0.29. His boundaries, however, separate the pottery far better than the earlier scheme’s do.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0.027 for same-size divisions around random centers and 0.028 for compact ones, and the posterior probability that his lines separate the pottery better than such a division is 0.99 and 1.00. The compactness search never returns his division. Giving composition half the weight of the coordinates also raises the agreement with his scheme, to 0.60, above the map alone, whereas for the earlier scheme composition lowers the agreement at every weight.</w:t>
      </w:r>
    </w:p>
    <w:p>
      <w:pPr>
        <w:pStyle w:val="BodyText"/>
      </w:pPr>
      <w:r>
        <w:t xml:space="preserve">The sites the two schemes assign differently show why. For each, we measured how far its decorated profile lies from each candidate phase’s pooled profile, leaving the site itself out. Beck lies at 0.33 from Horseshoe Lake and 0.71 from Walls, Belle Meade at 0.26 and 0.68, Hollywood at 0.33 from Kent and 0.91 from Walls, and Commerce at 0.61 and 1.10. Young and Castile Landing sit about equally close to their two candidates, and Mound Place leans toward Horseshoe Lake like its neighbors. Where the two schemes disagree, the pottery sides with Mainfort’s assignment, usually by a wide margin.</w:t>
      </w:r>
    </w:p>
    <w:p>
      <w:pPr>
        <w:pStyle w:val="BodyText"/>
      </w:pPr>
      <w:r>
        <w:t xml:space="preserve">That is what the two schemes’ origins predict. Phillips drew phases by inspection and proximity, and his lines divide the map. Mainfort redrew them after ordering the pottery, and a scheme drawn from the pottery will sit where the pottery differs. The comparison does not show that Mainfort’s phases are bounded groups: they sit on the same continuous gradient, and location still recovers most of them. It shows that phase lines can be made to follow the pottery if the pottery draws them, and that the inherited scheme was not drawn that way.</w:t>
      </w:r>
    </w:p>
    <w:p>
      <w:pPr>
        <w:pStyle w:val="CaptionedFigure"/>
      </w:pPr>
      <w:r>
        <w:drawing>
          <wp:inline>
            <wp:extent cx="5334000" cy="2684917"/>
            <wp:effectExtent b="0" l="0" r="0" t="0"/>
            <wp:docPr descr="Figure 14. 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71" name="Picture"/>
            <a:graphic>
              <a:graphicData uri="http://schemas.openxmlformats.org/drawingml/2006/picture">
                <pic:pic>
                  <pic:nvPicPr>
                    <pic:cNvPr descr="../../figures/fig17_mainfort_replication.png" id="172" name="Picture"/>
                    <pic:cNvPicPr>
                      <a:picLocks noChangeArrowheads="1" noChangeAspect="1"/>
                    </pic:cNvPicPr>
                  </pic:nvPicPr>
                  <pic:blipFill>
                    <a:blip r:embed="rId17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73"/>
    <w:bookmarkEnd w:id="174"/>
    <w:bookmarkStart w:id="180" w:name="discussion"/>
    <w:p>
      <w:pPr>
        <w:pStyle w:val="Heading2"/>
      </w:pPr>
      <w:r>
        <w:t xml:space="preserve">Discussion</w:t>
      </w:r>
    </w:p>
    <w:bookmarkStart w:id="175" w:name="X3991c311b3367494d15d093182f3c17f43585c1"/>
    <w:p>
      <w:pPr>
        <w:pStyle w:val="Heading3"/>
      </w:pPr>
      <w:r>
        <w:t xml:space="preserve">What explains the decorated-type frequencies</w:t>
      </w:r>
    </w:p>
    <w:p>
      <w:pPr>
        <w:pStyle w:val="FirstParagraph"/>
      </w:pPr>
      <w:r>
        <w:t xml:space="preserve">Spatially structured drift explains nearly all of the variation in the basin’s decorated-type frequencies. Neutral copying on the real map, tuned to the assemblages’ diversity, reproduces the differences among assemblages at the scales at which the phases were drawn, the difference between the phases themselves, the fade of similarity with distance, and the phase assignments, and a model with no groups assigns 99.6 percent of the variation to location. Nothing in the frequencies grows over the sequence as closure would require. The variability that drift does not produce is small and lies at finer scales, from five clusters on, where clusters shrink toward the spacing of the assemblages themselves.</w:t>
      </w:r>
    </w:p>
    <w:p>
      <w:pPr>
        <w:pStyle w:val="BodyText"/>
      </w:pPr>
      <w:r>
        <w:t xml:space="preserve">The remaining difference lies mostly in the two most thinly sampled clusters, not around Parkin, and it appears only where clusters shrink toward the spacing of the assemblages themselves. Restricted copying across boundaries, which these data cannot detect at the calibrated mixing rate, does not produce it either. Of the four simplifications we relaxed, only one reproduces it while keeping diversity matched: new styles arising somewhat locally rather than at the same rates across the whole basin. That account is still neutral copying, and it is itself geographic, since the local innovation profiles follow the same spatial clusters as everything else. It does not require a social frontier.</w:t>
      </w:r>
    </w:p>
    <w:p>
      <w:pPr>
        <w:pStyle w:val="BodyText"/>
      </w:pPr>
      <w:r>
        <w:t xml:space="preserve">We treat this as a mechanism the record is consistent with rather than one it demonstrates. The local profiles in the test are random reorderings of the regional profile, not the profiles the groups actually have, since using the actual profiles would guarantee the result. Individual simulations are also widely spread. A center just beginning to separate from its neighbors could leave a small excess of this kind too, and contact and depopulation would have cut any such process short. These data cannot tell locally patterned innovation from an incipient social boundary, and the difference in question lies below the scale at which the phases were drawn in any case.</w:t>
      </w:r>
    </w:p>
    <w:bookmarkEnd w:id="175"/>
    <w:bookmarkStart w:id="176" w:name="why-the-phases-looked-like-groups"/>
    <w:p>
      <w:pPr>
        <w:pStyle w:val="Heading3"/>
      </w:pPr>
      <w:r>
        <w:t xml:space="preserve">Why the phases looked like groups</w:t>
      </w:r>
    </w:p>
    <w:p>
      <w:pPr>
        <w:pStyle w:val="FirstParagraph"/>
      </w:pPr>
      <w:r>
        <w:t xml:space="preserve">The phases are not places where groups show up in the pottery. They are lines drawn across a smooth pattern, and at the scale at which they were drawn, copying between neighbors accounts for everything they capture. The culture historians who drew them were responding to something real. Decorated-class composition does change with distance across the basin, and nearby potters did copy one another more than distant ones. Settlement is clumped, on particular reaches of the rivers. On a gradient with no edges, how alike two assemblages look depends mostly on how near they are, so sorting assemblages in good faith by resemblance and proximity recovers clusters of sites. The tests bear this out from four directions: the site map alone reproduces the phase assignments, the boundaries fall where the pottery changes least, arbitrary lines separate the pottery better than the phase lines do, and pottery made by copying with no groups sorts into the same phases.</w:t>
      </w:r>
    </w:p>
    <w:p>
      <w:pPr>
        <w:pStyle w:val="BodyText"/>
      </w:pPr>
      <w:r>
        <w:t xml:space="preserve">This also explains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pottery. His own redrawn phases make the same point from the other side. Drawn after the ordination, they sit where the pottery differs and no longer form the tightest division of the map. Together the two schemes show one gradient read two ways, once by proximity and once by the pottery, with a boundary in neither. We therefore read a phase as a length scale on a continuous gradient, made visible by where settlement happened to cluster, rather than as a bounded unit. These data cannot say what that length is: sherd counts that differ more than twentyfold, unequal accumulation spans, and an order derived from the same frequencies together limit what any spatial measure can resolve here.</w:t>
      </w:r>
    </w:p>
    <w:p>
      <w:pPr>
        <w:pStyle w:val="BodyText"/>
      </w:pPr>
      <w:r>
        <w:t xml:space="preserve">The region’s own history offers a precedent for separating polity from ceramic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The reading is not new to the regional literature either.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The comparison here tests that characterization for the Parkin, Kent, and Walls phases and finds it describes most of the record.</w:t>
      </w:r>
    </w:p>
    <w:bookmarkEnd w:id="176"/>
    <w:bookmarkStart w:id="177" w:name="parkin-and-the-polity"/>
    <w:p>
      <w:pPr>
        <w:pStyle w:val="Heading3"/>
      </w:pPr>
      <w:r>
        <w:t xml:space="preserve">Parkin and the polity</w:t>
      </w:r>
    </w:p>
    <w:p>
      <w:pPr>
        <w:pStyle w:val="FirstParagraph"/>
      </w:pPr>
      <w:r>
        <w:t xml:space="preserve">Parkin was the basin’s largest town and had one of its tallest mounds, and its prominence was real. The polity that prominence is taken to imply does not appear in the transmission of decoration. The pottery shows no closure that the record can resolve, Parkin links several seriation orderings rather than anchoring one, mound heights form a graded series with no separate top tier, and hoes reached their consumers largely down the line.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and a difference in health between two sites need not arise from an extractive hierarchy. Neither argument supplies the regional signal that the comparisons here look for and do not find. If the polity the De Soto expedition met was at Parkin, it is registered in ceremony, fortification, and settlement size rather than in a boundary written into the pottery.</w:t>
      </w:r>
    </w:p>
    <w:bookmarkEnd w:id="177"/>
    <w:bookmarkStart w:id="178" w:name="limits"/>
    <w:p>
      <w:pPr>
        <w:pStyle w:val="Heading3"/>
      </w:pPr>
      <w:r>
        <w:t xml:space="preserve">Limits</w:t>
      </w:r>
    </w:p>
    <w:p>
      <w:pPr>
        <w:pStyle w:val="FirstParagraph"/>
      </w:pPr>
      <w:r>
        <w:t xml:space="preserve">Five limits bound these conclusions. The first is resolution. On a record of this size only cultural</w:t>
      </w:r>
      <w:r>
        <w:t xml:space="preserve"> </w:t>
      </w:r>
      <m:oMath>
        <m:sSub>
          <m:e>
            <m:r>
              <m:t>F</m:t>
            </m:r>
          </m:e>
          <m:sub>
            <m:r>
              <m:t>S</m:t>
            </m:r>
            <m:r>
              <m:t>T</m:t>
            </m:r>
          </m:sub>
        </m:sSub>
      </m:oMath>
      <w:r>
        <w:t xml:space="preserve"> </w:t>
      </w:r>
      <w:r>
        <w:t xml:space="preserve">can detect closure, and only closure expressed as growing divergence between spatial groups. Weaker closure, closure carried purely by conformity within groups, and closure along social divisions that do not follow geography would all escape detection (Supplemental Text). The second is chronology. Radiocarbon dates pool to four matched proveniences across a calibration plateau, and cannot establish which end of the order is later; reversing the order changes the closure posterior only slightly, the copying-model comparison is reported both ways, and the settlement and exchange evidence does not depend on it. The third is time-averaging, which damps differences between assemblages</w:t>
      </w:r>
      <w:r>
        <w:t xml:space="preserve"> </w:t>
      </w:r>
      <w:r>
        <w:t xml:space="preserve">(Coco and Iovita 2020; Kidwell and Tomašových 2013; Perreault 2018; Tomašových and Kidwell 2009, 2010; Youngblood et al. 2023)</w:t>
      </w:r>
      <w:r>
        <w:t xml:space="preserve">. We built it into both the recovery experiment and the copying model, so its cost is already in the reported ranges rather than an argument for discounting them. The fourth is the copying model itself. A difference from a model is only as meaningful as the model, and a more complete model might absorb the finer-scale difference, as one of our four relaxations does. The fifth is what the copying model can see. At the calibrated mixing rate copying between sites is rare, so restricting it at a line changes little, and the model cannot distinguish a copying boundary from none. Our conclusion that the phases were not bounded groups therefore rests on where their lines fall, what the lines separate, and what could have drawn them, not on the copying model’s failure to find restricted copying.</w:t>
      </w:r>
    </w:p>
    <w:bookmarkEnd w:id="178"/>
    <w:bookmarkStart w:id="179" w:name="what-this-approach-contributes"/>
    <w:p>
      <w:pPr>
        <w:pStyle w:val="Heading3"/>
      </w:pPr>
      <w:r>
        <w:t xml:space="preserve">What this approach contributes</w:t>
      </w:r>
    </w:p>
    <w:p>
      <w:pPr>
        <w:pStyle w:val="FirstParagraph"/>
      </w:pPr>
      <w:r>
        <w:t xml:space="preserve">The method rests on two requirements that apply beyond this case. Before a similarity pattern is read as social, the record must be shown able to detect a social boundary, which the recovery experiment establishes and which here leaves one usable measure out of four. Before a model of copying with no groups is credited with reproducing a record, it must be shown to fit that record’s own diversity. The second requirement changed our own results. An earlier, uncalibrated version of the comparison ran at a within-assemblage diversity well above the record’s, which widened its ranges and made it look as if copying across distance explained everything; the calibrated model is narrower and more informative. A model run at the wrong diversity is easily credited with structure it cannot produce, just as a localized neutral process is easily mistaken for biased copying when diversity is taken at face value</w:t>
      </w:r>
      <w:r>
        <w:t xml:space="preserve"> </w:t>
      </w:r>
      <w:r>
        <w:t xml:space="preserve">(Barton 1996; Premo 2016; Premo and Scholnick 2011; Schneider et al. 2016)</w:t>
      </w:r>
      <w:r>
        <w:t xml:space="preserve">. Two tests in the time domain, a frequency-dependent copying model fitted to the whole sequence with time-averaging built in (transmission bias interval -0.035 to +0.039, including zero) and a comparison of evolutionary modes that is consistent with an unbiased random walk and excludes neither directional change nor mean reversion, find no transition the other analyses missed</w:t>
      </w:r>
      <w:r>
        <w:t xml:space="preserve"> </w:t>
      </w:r>
      <w:r>
        <w:t xml:space="preserve">(Crema et al. 2016; Hunt 2006; Hunt et al. 2008)</w:t>
      </w:r>
      <w:r>
        <w:t xml:space="preserve">. These requirements are a standard of measurement for an evolutionary archaeology that has long been clearer about what evolves than about how to measure it</w:t>
      </w:r>
      <w:r>
        <w:t xml:space="preserve"> </w:t>
      </w:r>
      <w:r>
        <w:t xml:space="preserve">(Dunnell 1995a; Lipo et al. 2015; Neiman 1995)</w:t>
      </w:r>
      <w:r>
        <w:t xml:space="preserve">.</w:t>
      </w:r>
    </w:p>
    <w:p>
      <w:pPr>
        <w:pStyle w:val="BodyText"/>
      </w:pPr>
      <w:r>
        <w:t xml:space="preserve">The analysis is narrow in one further respect. It asks whether interaction closed into bounded groups. It does not address group-level fitness or new units of selection</w:t>
      </w:r>
      <w:r>
        <w:t xml:space="preserve"> </w:t>
      </w:r>
      <w:r>
        <w:t xml:space="preserve">(Richerson et al. 2016)</w:t>
      </w:r>
      <w:r>
        <w:t xml:space="preserve">, and it does not isolate demographic effects on diversity that are independent of closure</w:t>
      </w:r>
      <w:r>
        <w:t xml:space="preserve"> </w:t>
      </w:r>
      <w:r>
        <w:t xml:space="preserve">(Henrich 2004; Powell et al. 2009)</w:t>
      </w:r>
      <w:r>
        <w:t xml:space="preserve">. The finer-scale difference and Parkin’s role would be better tested on stratified, excavated assemblages with independent radiocarbon dates, on compositional and petrographic evidence for where pottery was made, and on exchange, mortuary, and dietary records</w:t>
      </w:r>
      <w:r>
        <w:t xml:space="preserve"> </w:t>
      </w:r>
      <w:r>
        <w:t xml:space="preserve">(Cobb 2000; Ross-Stallings 2017)</w:t>
      </w:r>
      <w:r>
        <w:t xml:space="preserve">.</w:t>
      </w:r>
    </w:p>
    <w:bookmarkEnd w:id="179"/>
    <w:bookmarkEnd w:id="180"/>
    <w:bookmarkStart w:id="181" w:name="conclusion"/>
    <w:p>
      <w:pPr>
        <w:pStyle w:val="Heading2"/>
      </w:pPr>
      <w:r>
        <w:t xml:space="preserve">Conclusion</w:t>
      </w:r>
    </w:p>
    <w:p>
      <w:pPr>
        <w:pStyle w:val="FirstParagraph"/>
      </w:pPr>
      <w:r>
        <w:t xml:space="preserve">The phase is the unit on which lower Mississippi Valley culture history is built, and it carries an unstated claim: that assemblages grouped by seriation and proximity record a community, and at Parkin a polity. A phase can have those qualities only if its stylistic frequencies show properties that copying across space cannot produce, since that copying structures the record no matter what else happens. For the phases of the St. Francis basin, including the Parkin phase, spatially structured drift explains nearly all of the variation in decorated-type frequencies. No boundary develops through the sequence, the small excess at finer scales lies in thin samples rather than around Parkin, and new styles arising locally reproduce it without any restriction on who copied whom.</w:t>
      </w:r>
    </w:p>
    <w:p>
      <w:pPr>
        <w:pStyle w:val="BodyText"/>
      </w:pPr>
      <w:r>
        <w:t xml:space="preserve">What culture historians saw was real, but it was not a social boundary. It was where settlements clustered and the fact that potters copied near neighbors more than distant ones. Sorting assemblages by resemblance and proximity turns that gradient into what looks like a set of groups even when there are none. A similarity cluster is not, by itself, a society, and before a phase is read as one the record must be shown able to tell a boundary from distance, and the model of distance must be shown to fit the record it is compared with.</w:t>
      </w:r>
    </w:p>
    <w:bookmarkEnd w:id="181"/>
    <w:bookmarkStart w:id="18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82"/>
    <w:bookmarkStart w:id="333" w:name="references"/>
    <w:p>
      <w:pPr>
        <w:pStyle w:val="Heading2"/>
      </w:pPr>
      <w:r>
        <w:t xml:space="preserve">References</w:t>
      </w:r>
    </w:p>
    <w:bookmarkStart w:id="332" w:name="refs"/>
    <w:bookmarkStart w:id="18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83"/>
    <w:bookmarkStart w:id="18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84">
        <w:r>
          <w:rPr>
            <w:rStyle w:val="Hyperlink"/>
          </w:rPr>
          <w:t xml:space="preserve">https://doi.org/10.1098/rstb.1996.0073</w:t>
        </w:r>
      </w:hyperlink>
      <w:r>
        <w:t xml:space="preserve">.</w:t>
      </w:r>
    </w:p>
    <w:bookmarkEnd w:id="185"/>
    <w:bookmarkStart w:id="18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86"/>
    <w:bookmarkStart w:id="18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87">
        <w:r>
          <w:rPr>
            <w:rStyle w:val="Hyperlink"/>
          </w:rPr>
          <w:t xml:space="preserve">https://doi.org/10.2307/3557066</w:t>
        </w:r>
      </w:hyperlink>
      <w:r>
        <w:t xml:space="preserve">.</w:t>
      </w:r>
    </w:p>
    <w:bookmarkEnd w:id="188"/>
    <w:bookmarkStart w:id="19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9">
        <w:r>
          <w:rPr>
            <w:rStyle w:val="Hyperlink"/>
          </w:rPr>
          <w:t xml:space="preserve">https://doi.org/10.1073/pnas.0903232106</w:t>
        </w:r>
      </w:hyperlink>
      <w:r>
        <w:t xml:space="preserve">.</w:t>
      </w:r>
    </w:p>
    <w:bookmarkEnd w:id="190"/>
    <w:bookmarkStart w:id="192"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91">
        <w:r>
          <w:rPr>
            <w:rStyle w:val="Hyperlink"/>
          </w:rPr>
          <w:t xml:space="preserve">https://doi.org/10.1371/journal.pone.0003057</w:t>
        </w:r>
      </w:hyperlink>
      <w:r>
        <w:t xml:space="preserve">.</w:t>
      </w:r>
    </w:p>
    <w:bookmarkEnd w:id="192"/>
    <w:bookmarkStart w:id="19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93">
        <w:r>
          <w:rPr>
            <w:rStyle w:val="Hyperlink"/>
          </w:rPr>
          <w:t xml:space="preserve">https://doi.org/10.1098/rspb.2004.2746</w:t>
        </w:r>
      </w:hyperlink>
      <w:r>
        <w:t xml:space="preserve">.</w:t>
      </w:r>
    </w:p>
    <w:bookmarkEnd w:id="194"/>
    <w:bookmarkStart w:id="19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5">
        <w:r>
          <w:rPr>
            <w:rStyle w:val="Hyperlink"/>
          </w:rPr>
          <w:t xml:space="preserve">https://doi.org/10.2307/2694206</w:t>
        </w:r>
      </w:hyperlink>
      <w:r>
        <w:t xml:space="preserve">.</w:t>
      </w:r>
    </w:p>
    <w:bookmarkEnd w:id="196"/>
    <w:bookmarkStart w:id="19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7"/>
    <w:bookmarkStart w:id="19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8">
        <w:r>
          <w:rPr>
            <w:rStyle w:val="Hyperlink"/>
          </w:rPr>
          <w:t xml:space="preserve">https://doi.org/10.1057/s41599-019-0295-9</w:t>
        </w:r>
      </w:hyperlink>
      <w:r>
        <w:t xml:space="preserve">.</w:t>
      </w:r>
    </w:p>
    <w:bookmarkEnd w:id="199"/>
    <w:bookmarkStart w:id="20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200"/>
    <w:bookmarkStart w:id="202"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201">
        <w:r>
          <w:rPr>
            <w:rStyle w:val="Hyperlink"/>
          </w:rPr>
          <w:t xml:space="preserve">https://doi.org/10.1057/s41599-020-00635-3</w:t>
        </w:r>
      </w:hyperlink>
      <w:r>
        <w:t xml:space="preserve">.</w:t>
      </w:r>
    </w:p>
    <w:bookmarkEnd w:id="202"/>
    <w:bookmarkStart w:id="20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203">
        <w:r>
          <w:rPr>
            <w:rStyle w:val="Hyperlink"/>
          </w:rPr>
          <w:t xml:space="preserve">https://doi.org/10.1007/s10816-022-09599-x</w:t>
        </w:r>
      </w:hyperlink>
      <w:r>
        <w:t xml:space="preserve">.</w:t>
      </w:r>
    </w:p>
    <w:bookmarkEnd w:id="204"/>
    <w:bookmarkStart w:id="20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5">
        <w:r>
          <w:rPr>
            <w:rStyle w:val="Hyperlink"/>
          </w:rPr>
          <w:t xml:space="preserve">https://doi.org/10.1016/j.jas.2014.07.014</w:t>
        </w:r>
      </w:hyperlink>
      <w:r>
        <w:t xml:space="preserve">.</w:t>
      </w:r>
    </w:p>
    <w:bookmarkEnd w:id="206"/>
    <w:bookmarkStart w:id="20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7">
        <w:r>
          <w:rPr>
            <w:rStyle w:val="Hyperlink"/>
          </w:rPr>
          <w:t xml:space="preserve">https://doi.org/10.1038/srep39122</w:t>
        </w:r>
      </w:hyperlink>
      <w:r>
        <w:t xml:space="preserve">.</w:t>
      </w:r>
    </w:p>
    <w:bookmarkEnd w:id="208"/>
    <w:bookmarkStart w:id="21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9">
        <w:r>
          <w:rPr>
            <w:rStyle w:val="Hyperlink"/>
          </w:rPr>
          <w:t xml:space="preserve">https://doi.org/10.2307/278341</w:t>
        </w:r>
      </w:hyperlink>
      <w:r>
        <w:t xml:space="preserve">.</w:t>
      </w:r>
    </w:p>
    <w:bookmarkEnd w:id="210"/>
    <w:bookmarkStart w:id="21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11">
        <w:r>
          <w:rPr>
            <w:rStyle w:val="Hyperlink"/>
          </w:rPr>
          <w:t xml:space="preserve">https://doi.org/10.2307/279244</w:t>
        </w:r>
      </w:hyperlink>
      <w:r>
        <w:t xml:space="preserve">.</w:t>
      </w:r>
    </w:p>
    <w:bookmarkEnd w:id="212"/>
    <w:bookmarkStart w:id="213"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13"/>
    <w:bookmarkStart w:id="214"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4"/>
    <w:bookmarkStart w:id="215" w:name="ref-dunnell_1995b"/>
    <w:p>
      <w:pPr>
        <w:pStyle w:val="Bibliography"/>
      </w:pPr>
      <w:r>
        <w:t xml:space="preserve">Dunnell, Robert C. 1995b. Style: Concepts and Practice.</w:t>
      </w:r>
    </w:p>
    <w:bookmarkEnd w:id="215"/>
    <w:bookmarkStart w:id="216"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6"/>
    <w:bookmarkStart w:id="218"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7">
        <w:r>
          <w:rPr>
            <w:rStyle w:val="Hyperlink"/>
          </w:rPr>
          <w:t xml:space="preserve">https://doi.org/10.1016/j.jaa.2005.08.001</w:t>
        </w:r>
      </w:hyperlink>
      <w:r>
        <w:t xml:space="preserve">.</w:t>
      </w:r>
    </w:p>
    <w:bookmarkEnd w:id="218"/>
    <w:bookmarkStart w:id="220"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9">
        <w:r>
          <w:rPr>
            <w:rStyle w:val="Hyperlink"/>
          </w:rPr>
          <w:t xml:space="preserve">https://doi.org/10.1007/s10814-007-9013-z</w:t>
        </w:r>
      </w:hyperlink>
      <w:r>
        <w:t xml:space="preserve">.</w:t>
      </w:r>
    </w:p>
    <w:bookmarkEnd w:id="220"/>
    <w:bookmarkStart w:id="221"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21"/>
    <w:bookmarkStart w:id="223"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22">
        <w:r>
          <w:rPr>
            <w:rStyle w:val="Hyperlink"/>
          </w:rPr>
          <w:t xml:space="preserve">https://doi.org/10.1534/genetics.113.158220</w:t>
        </w:r>
      </w:hyperlink>
      <w:r>
        <w:t xml:space="preserve">.</w:t>
      </w:r>
    </w:p>
    <w:bookmarkEnd w:id="223"/>
    <w:bookmarkStart w:id="225"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4">
        <w:r>
          <w:rPr>
            <w:rStyle w:val="Hyperlink"/>
          </w:rPr>
          <w:t xml:space="preserve">https://doi.org/10.1073/pnas.2418106121</w:t>
        </w:r>
      </w:hyperlink>
      <w:r>
        <w:t xml:space="preserve">.</w:t>
      </w:r>
    </w:p>
    <w:bookmarkEnd w:id="225"/>
    <w:bookmarkStart w:id="22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6"/>
    <w:bookmarkStart w:id="22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7">
        <w:r>
          <w:rPr>
            <w:rStyle w:val="Hyperlink"/>
          </w:rPr>
          <w:t xml:space="preserve">https://doi.org/10.1525/aa.2001.103.4.992</w:t>
        </w:r>
      </w:hyperlink>
      <w:r>
        <w:t xml:space="preserve">.</w:t>
      </w:r>
    </w:p>
    <w:bookmarkEnd w:id="228"/>
    <w:bookmarkStart w:id="23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9">
        <w:r>
          <w:rPr>
            <w:rStyle w:val="Hyperlink"/>
          </w:rPr>
          <w:t xml:space="preserve">https://doi.org/10.2307/4128416</w:t>
        </w:r>
      </w:hyperlink>
      <w:r>
        <w:t xml:space="preserve">.</w:t>
      </w:r>
    </w:p>
    <w:bookmarkEnd w:id="230"/>
    <w:bookmarkStart w:id="23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31">
        <w:r>
          <w:rPr>
            <w:rStyle w:val="Hyperlink"/>
          </w:rPr>
          <w:t xml:space="preserve">https://doi.org/10.1016/S1090-5138(98)00018-X</w:t>
        </w:r>
      </w:hyperlink>
      <w:r>
        <w:t xml:space="preserve">.</w:t>
      </w:r>
    </w:p>
    <w:bookmarkEnd w:id="232"/>
    <w:bookmarkStart w:id="23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3"/>
    <w:bookmarkStart w:id="23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4">
        <w:r>
          <w:rPr>
            <w:rStyle w:val="Hyperlink"/>
          </w:rPr>
          <w:t xml:space="preserve">https://doi.org/10.1017/aap.2021.10</w:t>
        </w:r>
      </w:hyperlink>
      <w:r>
        <w:t xml:space="preserve">.</w:t>
      </w:r>
    </w:p>
    <w:bookmarkEnd w:id="235"/>
    <w:bookmarkStart w:id="23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236"/>
    <w:bookmarkStart w:id="23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7"/>
    <w:bookmarkStart w:id="23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8"/>
    <w:bookmarkStart w:id="24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9">
        <w:r>
          <w:rPr>
            <w:rStyle w:val="Hyperlink"/>
          </w:rPr>
          <w:t xml:space="preserve">https://doi.org/10.1666/05070.1</w:t>
        </w:r>
      </w:hyperlink>
      <w:r>
        <w:t xml:space="preserve">.</w:t>
      </w:r>
    </w:p>
    <w:bookmarkEnd w:id="240"/>
    <w:bookmarkStart w:id="24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41">
        <w:r>
          <w:rPr>
            <w:rStyle w:val="Hyperlink"/>
          </w:rPr>
          <w:t xml:space="preserve">https://doi.org/10.1111/j.1558-5646.2007.00310.x</w:t>
        </w:r>
      </w:hyperlink>
      <w:r>
        <w:t xml:space="preserve">.</w:t>
      </w:r>
    </w:p>
    <w:bookmarkEnd w:id="242"/>
    <w:bookmarkStart w:id="24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3"/>
    <w:bookmarkStart w:id="24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4">
        <w:r>
          <w:rPr>
            <w:rStyle w:val="Hyperlink"/>
          </w:rPr>
          <w:t xml:space="preserve">https://doi.org/10.1016/j.jtbi.2013.03.006</w:t>
        </w:r>
      </w:hyperlink>
      <w:r>
        <w:t xml:space="preserve">.</w:t>
      </w:r>
    </w:p>
    <w:bookmarkEnd w:id="245"/>
    <w:bookmarkStart w:id="24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6">
        <w:r>
          <w:rPr>
            <w:rStyle w:val="Hyperlink"/>
          </w:rPr>
          <w:t xml:space="preserve">https://doi.org/10.1098/rsif.2015.0905</w:t>
        </w:r>
      </w:hyperlink>
      <w:r>
        <w:t xml:space="preserve">.</w:t>
      </w:r>
    </w:p>
    <w:bookmarkEnd w:id="247"/>
    <w:bookmarkStart w:id="24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8">
        <w:r>
          <w:rPr>
            <w:rStyle w:val="Hyperlink"/>
          </w:rPr>
          <w:t xml:space="preserve">https://doi.org/10.1098/rsos.170949</w:t>
        </w:r>
      </w:hyperlink>
      <w:r>
        <w:t xml:space="preserve">.</w:t>
      </w:r>
    </w:p>
    <w:bookmarkEnd w:id="249"/>
    <w:bookmarkStart w:id="25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50">
        <w:r>
          <w:rPr>
            <w:rStyle w:val="Hyperlink"/>
          </w:rPr>
          <w:t xml:space="preserve">https://doi.org/10.1146/annurev-ecolsys-110512-135838</w:t>
        </w:r>
      </w:hyperlink>
      <w:r>
        <w:t xml:space="preserve">.</w:t>
      </w:r>
    </w:p>
    <w:bookmarkEnd w:id="251"/>
    <w:bookmarkStart w:id="25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4"/>
    <w:bookmarkStart w:id="25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5">
        <w:r>
          <w:rPr>
            <w:rStyle w:val="Hyperlink"/>
          </w:rPr>
          <w:t xml:space="preserve">https://doi.org/10.1371/journal.pone.0250690</w:t>
        </w:r>
      </w:hyperlink>
      <w:r>
        <w:t xml:space="preserve">.</w:t>
      </w:r>
    </w:p>
    <w:bookmarkEnd w:id="256"/>
    <w:bookmarkStart w:id="25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7"/>
    <w:bookmarkStart w:id="258"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58"/>
    <w:bookmarkStart w:id="2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59">
        <w:r>
          <w:rPr>
            <w:rStyle w:val="Hyperlink"/>
          </w:rPr>
          <w:t xml:space="preserve">https://doi.org/10.1371/journal.pone.0124942</w:t>
        </w:r>
      </w:hyperlink>
      <w:r>
        <w:t xml:space="preserve">.</w:t>
      </w:r>
    </w:p>
    <w:bookmarkEnd w:id="260"/>
    <w:bookmarkStart w:id="2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1">
        <w:r>
          <w:rPr>
            <w:rStyle w:val="Hyperlink"/>
          </w:rPr>
          <w:t xml:space="preserve">https://doi.org/10.1006/jaar.1997.0314</w:t>
        </w:r>
      </w:hyperlink>
      <w:r>
        <w:t xml:space="preserve">.</w:t>
      </w:r>
    </w:p>
    <w:bookmarkEnd w:id="262"/>
    <w:bookmarkStart w:id="263" w:name="ref-madsen_2012"/>
    <w:p>
      <w:pPr>
        <w:pStyle w:val="Bibliography"/>
      </w:pPr>
      <w:r>
        <w:t xml:space="preserve">Madsen, Mark E. 2012. Neutral Cultural Transmission in Time-Averaged Archaeological Assemblages. arXiv preprint arXiv:1204.2043 [physics.soc-ph].</w:t>
      </w:r>
    </w:p>
    <w:bookmarkEnd w:id="263"/>
    <w:bookmarkStart w:id="264"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64"/>
    <w:bookmarkStart w:id="26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65"/>
    <w:bookmarkStart w:id="266"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66"/>
    <w:bookmarkStart w:id="267"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67"/>
    <w:bookmarkStart w:id="268"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68"/>
    <w:bookmarkStart w:id="269"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69"/>
    <w:bookmarkStart w:id="271"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0">
        <w:r>
          <w:rPr>
            <w:rStyle w:val="Hyperlink"/>
          </w:rPr>
          <w:t xml:space="preserve">https://doi.org/10.1080/20548923.2018.1504490</w:t>
        </w:r>
      </w:hyperlink>
      <w:r>
        <w:t xml:space="preserve">.</w:t>
      </w:r>
    </w:p>
    <w:bookmarkEnd w:id="271"/>
    <w:bookmarkStart w:id="2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72"/>
    <w:bookmarkStart w:id="273"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73"/>
    <w:bookmarkStart w:id="274"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74"/>
    <w:bookmarkStart w:id="2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75"/>
    <w:bookmarkStart w:id="276"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76"/>
    <w:bookmarkStart w:id="277"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77"/>
    <w:bookmarkStart w:id="279"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78">
        <w:r>
          <w:rPr>
            <w:rStyle w:val="Hyperlink"/>
          </w:rPr>
          <w:t xml:space="preserve">https://doi.org/10.1073/pnas.70.12.3321</w:t>
        </w:r>
      </w:hyperlink>
      <w:r>
        <w:t xml:space="preserve">.</w:t>
      </w:r>
    </w:p>
    <w:bookmarkEnd w:id="279"/>
    <w:bookmarkStart w:id="2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0"/>
    <w:bookmarkStart w:id="281"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1"/>
    <w:bookmarkStart w:id="283"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2">
        <w:r>
          <w:rPr>
            <w:rStyle w:val="Hyperlink"/>
          </w:rPr>
          <w:t xml:space="preserve">https://doi.org/10.1098/rstb.2016.0426</w:t>
        </w:r>
      </w:hyperlink>
      <w:r>
        <w:t xml:space="preserve">.</w:t>
      </w:r>
    </w:p>
    <w:bookmarkEnd w:id="283"/>
    <w:bookmarkStart w:id="285"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4">
        <w:r>
          <w:rPr>
            <w:rStyle w:val="Hyperlink"/>
          </w:rPr>
          <w:t xml:space="preserve">https://doi.org/10.2307/279066</w:t>
        </w:r>
      </w:hyperlink>
      <w:r>
        <w:t xml:space="preserve">.</w:t>
      </w:r>
    </w:p>
    <w:bookmarkEnd w:id="285"/>
    <w:bookmarkStart w:id="287"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86">
        <w:r>
          <w:rPr>
            <w:rStyle w:val="Hyperlink"/>
          </w:rPr>
          <w:t xml:space="preserve">https://doi.org/10.1016/j.jas.2012.04.040</w:t>
        </w:r>
      </w:hyperlink>
      <w:r>
        <w:t xml:space="preserve">.</w:t>
      </w:r>
    </w:p>
    <w:bookmarkEnd w:id="287"/>
    <w:bookmarkStart w:id="289"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88">
        <w:r>
          <w:rPr>
            <w:rStyle w:val="Hyperlink"/>
          </w:rPr>
          <w:t xml:space="preserve">https://doi.org/10.1007/s10816-018-9364-4</w:t>
        </w:r>
      </w:hyperlink>
      <w:r>
        <w:t xml:space="preserve">.</w:t>
      </w:r>
    </w:p>
    <w:bookmarkEnd w:id="289"/>
    <w:bookmarkStart w:id="29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0"/>
    <w:bookmarkStart w:id="29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1"/>
    <w:bookmarkStart w:id="29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2"/>
    <w:bookmarkStart w:id="294"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93">
        <w:r>
          <w:rPr>
            <w:rStyle w:val="Hyperlink"/>
          </w:rPr>
          <w:t xml:space="preserve">https://doi.org/10.1525/aa.1953.55.5.02a00030</w:t>
        </w:r>
      </w:hyperlink>
      <w:r>
        <w:t xml:space="preserve">.</w:t>
      </w:r>
    </w:p>
    <w:bookmarkEnd w:id="294"/>
    <w:bookmarkStart w:id="296"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5">
        <w:r>
          <w:rPr>
            <w:rStyle w:val="Hyperlink"/>
          </w:rPr>
          <w:t xml:space="preserve">https://doi.org/10.1126/science.1170165</w:t>
        </w:r>
      </w:hyperlink>
      <w:r>
        <w:t xml:space="preserve">.</w:t>
      </w:r>
    </w:p>
    <w:bookmarkEnd w:id="296"/>
    <w:bookmarkStart w:id="298"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97">
        <w:r>
          <w:rPr>
            <w:rStyle w:val="Hyperlink"/>
          </w:rPr>
          <w:t xml:space="preserve">https://doi.org/10.1086/674873</w:t>
        </w:r>
      </w:hyperlink>
      <w:r>
        <w:t xml:space="preserve">.</w:t>
      </w:r>
    </w:p>
    <w:bookmarkEnd w:id="298"/>
    <w:bookmarkStart w:id="300"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99">
        <w:r>
          <w:rPr>
            <w:rStyle w:val="Hyperlink"/>
          </w:rPr>
          <w:t xml:space="preserve">https://doi.org/10.7183/0002-7316.81.4.605</w:t>
        </w:r>
      </w:hyperlink>
      <w:r>
        <w:t xml:space="preserve">.</w:t>
      </w:r>
    </w:p>
    <w:bookmarkEnd w:id="300"/>
    <w:bookmarkStart w:id="302"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1">
        <w:r>
          <w:rPr>
            <w:rStyle w:val="Hyperlink"/>
          </w:rPr>
          <w:t xml:space="preserve">https://doi.org/10.7183/0002-7316.76.1.163</w:t>
        </w:r>
      </w:hyperlink>
      <w:r>
        <w:t xml:space="preserve">.</w:t>
      </w:r>
    </w:p>
    <w:bookmarkEnd w:id="302"/>
    <w:bookmarkStart w:id="30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03"/>
    <w:bookmarkStart w:id="30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4">
        <w:r>
          <w:rPr>
            <w:rStyle w:val="Hyperlink"/>
          </w:rPr>
          <w:t xml:space="preserve">https://doi.org/10.1017/RDC.2020.41</w:t>
        </w:r>
      </w:hyperlink>
      <w:r>
        <w:t xml:space="preserve">.</w:t>
      </w:r>
    </w:p>
    <w:bookmarkEnd w:id="305"/>
    <w:bookmarkStart w:id="30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06">
        <w:r>
          <w:rPr>
            <w:rStyle w:val="Hyperlink"/>
          </w:rPr>
          <w:t xml:space="preserve">https://doi.org/10.1017/S0140525X1400106X</w:t>
        </w:r>
      </w:hyperlink>
      <w:r>
        <w:t xml:space="preserve">.</w:t>
      </w:r>
    </w:p>
    <w:bookmarkEnd w:id="307"/>
    <w:bookmarkStart w:id="30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08">
        <w:r>
          <w:rPr>
            <w:rStyle w:val="Hyperlink"/>
          </w:rPr>
          <w:t xml:space="preserve">https://doi.org/10.1057/s41599-019-0260-7</w:t>
        </w:r>
      </w:hyperlink>
      <w:r>
        <w:t xml:space="preserve">.</w:t>
      </w:r>
    </w:p>
    <w:bookmarkEnd w:id="309"/>
    <w:bookmarkStart w:id="31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0"/>
    <w:bookmarkStart w:id="31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1"/>
    <w:bookmarkStart w:id="312"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2"/>
    <w:bookmarkStart w:id="314"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13">
        <w:r>
          <w:rPr>
            <w:rStyle w:val="Hyperlink"/>
          </w:rPr>
          <w:t xml:space="preserve">https://doi.org/10.1016/j.jtbi.2016.04.024</w:t>
        </w:r>
      </w:hyperlink>
      <w:r>
        <w:t xml:space="preserve">.</w:t>
      </w:r>
    </w:p>
    <w:bookmarkEnd w:id="314"/>
    <w:bookmarkStart w:id="316"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5">
        <w:r>
          <w:rPr>
            <w:rStyle w:val="Hyperlink"/>
          </w:rPr>
          <w:t xml:space="preserve">https://doi.org/10.1016/j.evolhumbehav.2014.09.006</w:t>
        </w:r>
      </w:hyperlink>
      <w:r>
        <w:t xml:space="preserve">.</w:t>
      </w:r>
    </w:p>
    <w:bookmarkEnd w:id="316"/>
    <w:bookmarkStart w:id="317"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17"/>
    <w:bookmarkStart w:id="318"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18"/>
    <w:bookmarkStart w:id="319"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19"/>
    <w:bookmarkStart w:id="320"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0"/>
    <w:bookmarkStart w:id="3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1"/>
    <w:bookmarkStart w:id="3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2">
        <w:r>
          <w:rPr>
            <w:rStyle w:val="Hyperlink"/>
          </w:rPr>
          <w:t xml:space="preserve">https://doi.org/10.1086/651661</w:t>
        </w:r>
      </w:hyperlink>
      <w:r>
        <w:t xml:space="preserve">.</w:t>
      </w:r>
    </w:p>
    <w:bookmarkEnd w:id="323"/>
    <w:bookmarkStart w:id="3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24"/>
    <w:bookmarkStart w:id="325" w:name="ref-williams_1954"/>
    <w:p>
      <w:pPr>
        <w:pStyle w:val="Bibliography"/>
      </w:pPr>
      <w:r>
        <w:t xml:space="preserve">Williams, Stephen. 1954. An Archeological Study of the Mississippian Culture in Southeast Missouri. PhD thesis, Yale University, New Haven.</w:t>
      </w:r>
    </w:p>
    <w:bookmarkEnd w:id="325"/>
    <w:bookmarkStart w:id="3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26">
        <w:r>
          <w:rPr>
            <w:rStyle w:val="Hyperlink"/>
          </w:rPr>
          <w:t xml:space="preserve">https://doi.org/10.1093/genetics/28.2.114</w:t>
        </w:r>
      </w:hyperlink>
      <w:r>
        <w:t xml:space="preserve">.</w:t>
      </w:r>
    </w:p>
    <w:bookmarkEnd w:id="327"/>
    <w:bookmarkStart w:id="3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28">
        <w:r>
          <w:rPr>
            <w:rStyle w:val="Hyperlink"/>
          </w:rPr>
          <w:t xml:space="preserve">https://doi.org/10.1111/j.1469-1809.1949.tb02451.x</w:t>
        </w:r>
      </w:hyperlink>
      <w:r>
        <w:t xml:space="preserve">.</w:t>
      </w:r>
    </w:p>
    <w:bookmarkEnd w:id="329"/>
    <w:bookmarkStart w:id="3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0">
        <w:r>
          <w:rPr>
            <w:rStyle w:val="Hyperlink"/>
          </w:rPr>
          <w:t xml:space="preserve">https://doi.org/10.1017/ehs.2023.5</w:t>
        </w:r>
      </w:hyperlink>
      <w:r>
        <w:t xml:space="preserve">.</w:t>
      </w:r>
    </w:p>
    <w:bookmarkEnd w:id="331"/>
    <w:bookmarkEnd w:id="332"/>
    <w:bookmarkEnd w:id="333"/>
    <w:bookmarkEnd w:id="33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hyperlink" Id="rId261"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88"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1" Target="https://doi.org/10.1016/S1090-5138(98)00018-X" TargetMode="External" /><Relationship Type="http://schemas.openxmlformats.org/officeDocument/2006/relationships/hyperlink" Id="rId315"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86"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44" Target="https://doi.org/10.1016/j.jtbi.2013.03.006" TargetMode="External" /><Relationship Type="http://schemas.openxmlformats.org/officeDocument/2006/relationships/hyperlink" Id="rId313" Target="https://doi.org/10.1016/j.jtbi.2016.04.024" TargetMode="External" /><Relationship Type="http://schemas.openxmlformats.org/officeDocument/2006/relationships/hyperlink" Id="rId304" Target="https://doi.org/10.1017/RDC.2020.41" TargetMode="External" /><Relationship Type="http://schemas.openxmlformats.org/officeDocument/2006/relationships/hyperlink" Id="rId306" Target="https://doi.org/10.1017/S0140525X1400106X" TargetMode="External" /><Relationship Type="http://schemas.openxmlformats.org/officeDocument/2006/relationships/hyperlink" Id="rId234" Target="https://doi.org/10.1017/aap.2021.10" TargetMode="External" /><Relationship Type="http://schemas.openxmlformats.org/officeDocument/2006/relationships/hyperlink" Id="rId330"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08"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24" Target="https://doi.org/10.1073/pnas.2418106121" TargetMode="External" /><Relationship Type="http://schemas.openxmlformats.org/officeDocument/2006/relationships/hyperlink" Id="rId278" Target="https://doi.org/10.1073/pnas.70.12.3321" TargetMode="External" /><Relationship Type="http://schemas.openxmlformats.org/officeDocument/2006/relationships/hyperlink" Id="rId270"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7"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46" Target="https://doi.org/10.1098/rsif.2015.0905" TargetMode="External" /><Relationship Type="http://schemas.openxmlformats.org/officeDocument/2006/relationships/hyperlink" Id="rId248"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2"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41" Target="https://doi.org/10.1111/j.1558-5646.2007.00310.x" TargetMode="External" /><Relationship Type="http://schemas.openxmlformats.org/officeDocument/2006/relationships/hyperlink" Id="rId295" Target="https://doi.org/10.1126/science.1170165" TargetMode="External" /><Relationship Type="http://schemas.openxmlformats.org/officeDocument/2006/relationships/hyperlink" Id="rId250"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59" Target="https://doi.org/10.1371/journal.pone.0124942" TargetMode="External" /><Relationship Type="http://schemas.openxmlformats.org/officeDocument/2006/relationships/hyperlink" Id="rId255" Target="https://doi.org/10.1371/journal.pone.0250690" TargetMode="External" /><Relationship Type="http://schemas.openxmlformats.org/officeDocument/2006/relationships/hyperlink" Id="rId293" Target="https://doi.org/10.1525/aa.1953.55.5.02a00030" TargetMode="External" /><Relationship Type="http://schemas.openxmlformats.org/officeDocument/2006/relationships/hyperlink" Id="rId227"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39"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4"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29" Target="https://doi.org/10.2307/4128416" TargetMode="External" /><Relationship Type="http://schemas.openxmlformats.org/officeDocument/2006/relationships/hyperlink" Id="rId301" Target="https://doi.org/10.7183/0002-7316.76.1.163" TargetMode="External" /><Relationship Type="http://schemas.openxmlformats.org/officeDocument/2006/relationships/hyperlink" Id="rId299"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1"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88"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1" Target="https://doi.org/10.1016/S1090-5138(98)00018-X" TargetMode="External" /><Relationship Type="http://schemas.openxmlformats.org/officeDocument/2006/relationships/hyperlink" Id="rId315"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86"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44" Target="https://doi.org/10.1016/j.jtbi.2013.03.006" TargetMode="External" /><Relationship Type="http://schemas.openxmlformats.org/officeDocument/2006/relationships/hyperlink" Id="rId313" Target="https://doi.org/10.1016/j.jtbi.2016.04.024" TargetMode="External" /><Relationship Type="http://schemas.openxmlformats.org/officeDocument/2006/relationships/hyperlink" Id="rId304" Target="https://doi.org/10.1017/RDC.2020.41" TargetMode="External" /><Relationship Type="http://schemas.openxmlformats.org/officeDocument/2006/relationships/hyperlink" Id="rId306" Target="https://doi.org/10.1017/S0140525X1400106X" TargetMode="External" /><Relationship Type="http://schemas.openxmlformats.org/officeDocument/2006/relationships/hyperlink" Id="rId234" Target="https://doi.org/10.1017/aap.2021.10" TargetMode="External" /><Relationship Type="http://schemas.openxmlformats.org/officeDocument/2006/relationships/hyperlink" Id="rId330"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08"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24" Target="https://doi.org/10.1073/pnas.2418106121" TargetMode="External" /><Relationship Type="http://schemas.openxmlformats.org/officeDocument/2006/relationships/hyperlink" Id="rId278" Target="https://doi.org/10.1073/pnas.70.12.3321" TargetMode="External" /><Relationship Type="http://schemas.openxmlformats.org/officeDocument/2006/relationships/hyperlink" Id="rId270"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7"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46" Target="https://doi.org/10.1098/rsif.2015.0905" TargetMode="External" /><Relationship Type="http://schemas.openxmlformats.org/officeDocument/2006/relationships/hyperlink" Id="rId248"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2"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41" Target="https://doi.org/10.1111/j.1558-5646.2007.00310.x" TargetMode="External" /><Relationship Type="http://schemas.openxmlformats.org/officeDocument/2006/relationships/hyperlink" Id="rId295" Target="https://doi.org/10.1126/science.1170165" TargetMode="External" /><Relationship Type="http://schemas.openxmlformats.org/officeDocument/2006/relationships/hyperlink" Id="rId250"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59" Target="https://doi.org/10.1371/journal.pone.0124942" TargetMode="External" /><Relationship Type="http://schemas.openxmlformats.org/officeDocument/2006/relationships/hyperlink" Id="rId255" Target="https://doi.org/10.1371/journal.pone.0250690" TargetMode="External" /><Relationship Type="http://schemas.openxmlformats.org/officeDocument/2006/relationships/hyperlink" Id="rId293" Target="https://doi.org/10.1525/aa.1953.55.5.02a00030" TargetMode="External" /><Relationship Type="http://schemas.openxmlformats.org/officeDocument/2006/relationships/hyperlink" Id="rId227"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39"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4"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29" Target="https://doi.org/10.2307/4128416" TargetMode="External" /><Relationship Type="http://schemas.openxmlformats.org/officeDocument/2006/relationships/hyperlink" Id="rId301" Target="https://doi.org/10.7183/0002-7316.76.1.163" TargetMode="External" /><Relationship Type="http://schemas.openxmlformats.org/officeDocument/2006/relationships/hyperlink" Id="rId299"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2026-09-23T11:04:09Z</dcterms:created>
  <dcterms:modified xsi:type="dcterms:W3CDTF">2026-09-23T11:04:09Z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