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so falls, while the richness-based estimate tracks the nearly unchanged class count and holds steady. A taste for novelty does the reverse. The disagreement between the two estimates, expressed as their ratio, therefore detects a departure from random copying and shows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must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mimic conditions.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2026-06-19T14:38:23Z</dcterms:created>
  <dcterms:modified xsi:type="dcterms:W3CDTF">2026-06-19T14:38:23Z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