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5"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set out in the Introduction,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native category assumed in advance.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 requirement, though the existing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S4).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S5).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The record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the resolution of the LMV’s record, only one of them registers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but the structure it returns still characterizes Parkin’s position directly.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any one assemblage joins, measures that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but cannot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S4).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reading, faintly, and deserves a closer look. Within the valley, the Parkin phase is the only grouping that hints at structure beyond drift. As the test against the other named phases showed (Figure 9), the contrast survives dropping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simply sits where drift on the river network happens to concentrate interaction, is a question this analysis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w:t>
      </w:r>
      <w:r>
        <w:rPr>
          <w:b/>
          <w:bCs/>
        </w:rPr>
        <w:t xml:space="preserve">ford_1936?</w:t>
      </w:r>
      <w:r>
        <w:t xml:space="preserve">)</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marks it as the apex of a polity. The greater similarity among nearby assemblages that defines the phase is reproduced by neutral drift over the basin’s geography, the ordinary result of continuous interaction structured by where sites are located.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and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4" w:name="references"/>
    <w:p>
      <w:pPr>
        <w:pStyle w:val="Heading2"/>
      </w:pPr>
      <w:r>
        <w:t xml:space="preserve">References</w:t>
      </w:r>
    </w:p>
    <w:bookmarkStart w:id="233"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3"/>
    <w:bookmarkStart w:id="114"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4"/>
    <w:bookmarkStart w:id="115"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5"/>
    <w:bookmarkStart w:id="117"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6">
        <w:r>
          <w:rPr>
            <w:rStyle w:val="Hyperlink"/>
          </w:rPr>
          <w:t xml:space="preserve">https://doi.org/10.1525/aa.2001.103.4.992</w:t>
        </w:r>
      </w:hyperlink>
      <w:r>
        <w:t xml:space="preserve">.</w:t>
      </w:r>
    </w:p>
    <w:bookmarkEnd w:id="117"/>
    <w:bookmarkStart w:id="119"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8">
        <w:r>
          <w:rPr>
            <w:rStyle w:val="Hyperlink"/>
          </w:rPr>
          <w:t xml:space="preserve">https://doi.org/10.2307/4128416</w:t>
        </w:r>
      </w:hyperlink>
      <w:r>
        <w:t xml:space="preserve">.</w:t>
      </w:r>
    </w:p>
    <w:bookmarkEnd w:id="119"/>
    <w:bookmarkStart w:id="121"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0">
        <w:r>
          <w:rPr>
            <w:rStyle w:val="Hyperlink"/>
          </w:rPr>
          <w:t xml:space="preserve">https://doi.org/10.1016/S1090-5138(98)00018-X</w:t>
        </w:r>
      </w:hyperlink>
      <w:r>
        <w:t xml:space="preserve">.</w:t>
      </w:r>
    </w:p>
    <w:bookmarkEnd w:id="121"/>
    <w:bookmarkStart w:id="122"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2"/>
    <w:bookmarkStart w:id="124"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3">
        <w:r>
          <w:rPr>
            <w:rStyle w:val="Hyperlink"/>
          </w:rPr>
          <w:t xml:space="preserve">https://doi.org/10.1017/aap.2021.10</w:t>
        </w:r>
      </w:hyperlink>
      <w:r>
        <w:t xml:space="preserve">.</w:t>
      </w:r>
    </w:p>
    <w:bookmarkEnd w:id="124"/>
    <w:bookmarkStart w:id="125"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5"/>
    <w:bookmarkStart w:id="126"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6"/>
    <w:bookmarkStart w:id="127"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7"/>
    <w:bookmarkStart w:id="129"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8">
        <w:r>
          <w:rPr>
            <w:rStyle w:val="Hyperlink"/>
          </w:rPr>
          <w:t xml:space="preserve">https://doi.org/10.1666/05070.1</w:t>
        </w:r>
      </w:hyperlink>
      <w:r>
        <w:t xml:space="preserve">.</w:t>
      </w:r>
    </w:p>
    <w:bookmarkEnd w:id="129"/>
    <w:bookmarkStart w:id="131"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0">
        <w:r>
          <w:rPr>
            <w:rStyle w:val="Hyperlink"/>
          </w:rPr>
          <w:t xml:space="preserve">https://doi.org/10.1111/j.1558-5646.2007.00310.x</w:t>
        </w:r>
      </w:hyperlink>
      <w:r>
        <w:t xml:space="preserve">.</w:t>
      </w:r>
    </w:p>
    <w:bookmarkEnd w:id="131"/>
    <w:bookmarkStart w:id="132"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2"/>
    <w:bookmarkStart w:id="134"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3">
        <w:r>
          <w:rPr>
            <w:rStyle w:val="Hyperlink"/>
          </w:rPr>
          <w:t xml:space="preserve">https://doi.org/10.1016/j.jtbi.2013.03.006</w:t>
        </w:r>
      </w:hyperlink>
      <w:r>
        <w:t xml:space="preserve">.</w:t>
      </w:r>
    </w:p>
    <w:bookmarkEnd w:id="134"/>
    <w:bookmarkStart w:id="136"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5">
        <w:r>
          <w:rPr>
            <w:rStyle w:val="Hyperlink"/>
          </w:rPr>
          <w:t xml:space="preserve">https://doi.org/10.1098/rsif.2015.0905</w:t>
        </w:r>
      </w:hyperlink>
      <w:r>
        <w:t xml:space="preserve">.</w:t>
      </w:r>
    </w:p>
    <w:bookmarkEnd w:id="136"/>
    <w:bookmarkStart w:id="138"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7">
        <w:r>
          <w:rPr>
            <w:rStyle w:val="Hyperlink"/>
          </w:rPr>
          <w:t xml:space="preserve">https://doi.org/10.1098/rsos.170949</w:t>
        </w:r>
      </w:hyperlink>
      <w:r>
        <w:t xml:space="preserve">.</w:t>
      </w:r>
    </w:p>
    <w:bookmarkEnd w:id="138"/>
    <w:bookmarkStart w:id="140"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9">
        <w:r>
          <w:rPr>
            <w:rStyle w:val="Hyperlink"/>
          </w:rPr>
          <w:t xml:space="preserve">https://doi.org/10.1146/annurev-ecolsys-110512-135838</w:t>
        </w:r>
      </w:hyperlink>
      <w:r>
        <w:t xml:space="preserve">.</w:t>
      </w:r>
    </w:p>
    <w:bookmarkEnd w:id="140"/>
    <w:bookmarkStart w:id="141"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1"/>
    <w:bookmarkStart w:id="143"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2">
        <w:r>
          <w:rPr>
            <w:rStyle w:val="Hyperlink"/>
          </w:rPr>
          <w:t xml:space="preserve">https://doi.org/10.2307/2694529</w:t>
        </w:r>
      </w:hyperlink>
      <w:r>
        <w:t xml:space="preserve">.</w:t>
      </w:r>
    </w:p>
    <w:bookmarkEnd w:id="143"/>
    <w:bookmarkStart w:id="14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4"/>
    <w:bookmarkStart w:id="14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5"/>
    <w:bookmarkStart w:id="14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6">
        <w:r>
          <w:rPr>
            <w:rStyle w:val="Hyperlink"/>
          </w:rPr>
          <w:t xml:space="preserve">https://doi.org/10.1371/journal.pone.0250690</w:t>
        </w:r>
      </w:hyperlink>
      <w:r>
        <w:t xml:space="preserve">.</w:t>
      </w:r>
    </w:p>
    <w:bookmarkEnd w:id="147"/>
    <w:bookmarkStart w:id="14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8"/>
    <w:bookmarkStart w:id="15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9">
        <w:r>
          <w:rPr>
            <w:rStyle w:val="Hyperlink"/>
          </w:rPr>
          <w:t xml:space="preserve">https://doi.org/10.1016/j.jas.2010.05.015</w:t>
        </w:r>
      </w:hyperlink>
      <w:r>
        <w:t xml:space="preserve">.</w:t>
      </w:r>
    </w:p>
    <w:bookmarkEnd w:id="150"/>
    <w:bookmarkStart w:id="15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1"/>
    <w:bookmarkStart w:id="15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2">
        <w:r>
          <w:rPr>
            <w:rStyle w:val="Hyperlink"/>
          </w:rPr>
          <w:t xml:space="preserve">https://doi.org/10.1371/journal.pone.0124942</w:t>
        </w:r>
      </w:hyperlink>
      <w:r>
        <w:t xml:space="preserve">.</w:t>
      </w:r>
    </w:p>
    <w:bookmarkEnd w:id="153"/>
    <w:bookmarkStart w:id="15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4">
        <w:r>
          <w:rPr>
            <w:rStyle w:val="Hyperlink"/>
          </w:rPr>
          <w:t xml:space="preserve">https://doi.org/10.1006/jaar.1997.0314</w:t>
        </w:r>
      </w:hyperlink>
      <w:r>
        <w:t xml:space="preserve">.</w:t>
      </w:r>
    </w:p>
    <w:bookmarkEnd w:id="155"/>
    <w:bookmarkStart w:id="15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6">
        <w:r>
          <w:rPr>
            <w:rStyle w:val="Hyperlink"/>
          </w:rPr>
          <w:t xml:space="preserve">https://doi.org/10.1073/pnas.1818346116</w:t>
        </w:r>
      </w:hyperlink>
      <w:r>
        <w:t xml:space="preserve">.</w:t>
      </w:r>
    </w:p>
    <w:bookmarkEnd w:id="157"/>
    <w:bookmarkStart w:id="15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8">
        <w:r>
          <w:rPr>
            <w:rStyle w:val="Hyperlink"/>
          </w:rPr>
          <w:t xml:space="preserve">https://doi.org/10.1016/j.jas.2021.105412</w:t>
        </w:r>
      </w:hyperlink>
      <w:r>
        <w:t xml:space="preserve">.</w:t>
      </w:r>
    </w:p>
    <w:bookmarkEnd w:id="159"/>
    <w:bookmarkStart w:id="160" w:name="ref-madsen_2012"/>
    <w:p>
      <w:pPr>
        <w:pStyle w:val="Bibliography"/>
      </w:pPr>
      <w:r>
        <w:t xml:space="preserve">Madsen, Mark E. 2012. Neutral Cultural Transmission in Time-Averaged Archaeological Assemblages. arXiv preprint arXiv:1204.2043 [physics.soc-ph].</w:t>
      </w:r>
    </w:p>
    <w:bookmarkEnd w:id="160"/>
    <w:bookmarkStart w:id="16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1"/>
    <w:bookmarkStart w:id="16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2"/>
    <w:bookmarkStart w:id="16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3"/>
    <w:bookmarkStart w:id="16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4"/>
    <w:bookmarkStart w:id="165"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6"/>
    <w:bookmarkStart w:id="22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7">
        <w:r>
          <w:rPr>
            <w:rStyle w:val="Hyperlink"/>
          </w:rPr>
          <w:t xml:space="preserve">https://doi.org/10.1093/genetics/28.2.114</w:t>
        </w:r>
      </w:hyperlink>
      <w:r>
        <w:t xml:space="preserve">.</w:t>
      </w:r>
    </w:p>
    <w:bookmarkEnd w:id="228"/>
    <w:bookmarkStart w:id="23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9">
        <w:r>
          <w:rPr>
            <w:rStyle w:val="Hyperlink"/>
          </w:rPr>
          <w:t xml:space="preserve">https://doi.org/10.1111/j.1469-1809.1949.tb02451.x</w:t>
        </w:r>
      </w:hyperlink>
      <w:r>
        <w:t xml:space="preserve">.</w:t>
      </w:r>
    </w:p>
    <w:bookmarkEnd w:id="230"/>
    <w:bookmarkStart w:id="23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1">
        <w:r>
          <w:rPr>
            <w:rStyle w:val="Hyperlink"/>
          </w:rPr>
          <w:t xml:space="preserve">https://doi.org/10.1017/ehs.2023.5</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4"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0"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9"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3"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3"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1"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6"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7" Target="https://doi.org/10.1093/genetics/28.2.114" TargetMode="External" /><Relationship Type="http://schemas.openxmlformats.org/officeDocument/2006/relationships/hyperlink" Id="rId135" Target="https://doi.org/10.1098/rsif.2015.0905" TargetMode="External" /><Relationship Type="http://schemas.openxmlformats.org/officeDocument/2006/relationships/hyperlink" Id="rId137"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9" Target="https://doi.org/10.1111/j.1469-1809.1949.tb02451.x" TargetMode="External" /><Relationship Type="http://schemas.openxmlformats.org/officeDocument/2006/relationships/hyperlink" Id="rId130"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9"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2" Target="https://doi.org/10.1371/journal.pone.0124942" TargetMode="External" /><Relationship Type="http://schemas.openxmlformats.org/officeDocument/2006/relationships/hyperlink" Id="rId146"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6"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8"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2"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8"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0"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9"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3"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3"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1"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6"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7" Target="https://doi.org/10.1093/genetics/28.2.114" TargetMode="External" /><Relationship Type="http://schemas.openxmlformats.org/officeDocument/2006/relationships/hyperlink" Id="rId135" Target="https://doi.org/10.1098/rsif.2015.0905" TargetMode="External" /><Relationship Type="http://schemas.openxmlformats.org/officeDocument/2006/relationships/hyperlink" Id="rId137"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9" Target="https://doi.org/10.1111/j.1469-1809.1949.tb02451.x" TargetMode="External" /><Relationship Type="http://schemas.openxmlformats.org/officeDocument/2006/relationships/hyperlink" Id="rId130"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9"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2" Target="https://doi.org/10.1371/journal.pone.0124942" TargetMode="External" /><Relationship Type="http://schemas.openxmlformats.org/officeDocument/2006/relationships/hyperlink" Id="rId146"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6"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8"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2"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8"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2026-06-18T00:48:06Z</dcterms:created>
  <dcterms:modified xsi:type="dcterms:W3CDTF">2026-06-18T00:48:06Z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