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1.png" ContentType="image/png"/>
  <Override PartName="/word/media/rId114.png" ContentType="image/png"/>
  <Override PartName="/word/media/rId117.png" ContentType="image/png"/>
  <Override PartName="/word/media/rId125.png" ContentType="image/png"/>
  <Override PartName="/word/media/rId130.png" ContentType="image/png"/>
  <Override PartName="/word/media/rId134.png" ContentType="image/png"/>
  <Override PartName="/word/media/rId138.png" ContentType="image/png"/>
  <Override PartName="/word/media/rId145.png" ContentType="image/png"/>
  <Override PartName="/word/media/rId153.png" ContentType="image/png"/>
  <Override PartName="/word/media/rId161.png" ContentType="image/png"/>
  <Override PartName="/word/media/rId1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7" w:name="supplemental-material"/>
    <w:p>
      <w:pPr>
        <w:pStyle w:val="Heading1"/>
      </w:pPr>
      <w:r>
        <w:t xml:space="preserve">Supplemental Material</w:t>
      </w:r>
    </w:p>
    <w:p>
      <w:pPr>
        <w:pStyle w:val="FirstParagraph"/>
      </w:pPr>
      <w:r>
        <w:rPr>
          <w:b/>
          <w:bCs/>
        </w:rPr>
        <w:t xml:space="preserve">Explaining the Spatial Structure of Phases: An Example from the Lower Mississippi River Valley</w:t>
      </w:r>
    </w:p>
    <w:p>
      <w:pPr>
        <w:pStyle w:val="BodyText"/>
      </w:pPr>
      <w:r>
        <w:rPr>
          <w:b/>
          <w:bCs/>
        </w:rPr>
        <w:t xml:space="preserve">Carl P. Lipo, Beau J. DiNapoli, and Mark E. Madsen</w:t>
      </w:r>
    </w:p>
    <w:p>
      <w:pPr>
        <w:pStyle w:val="BodyText"/>
      </w:pPr>
      <w:r>
        <w:rPr>
          <w:i/>
          <w:iCs/>
        </w:rPr>
        <w:t xml:space="preserve">Supplement to the main text. References to numbered figures without an</w:t>
      </w:r>
      <w:r>
        <w:rPr>
          <w:i/>
          <w:iCs/>
        </w:rPr>
        <w:t xml:space="preserve"> </w:t>
      </w:r>
      <w:r>
        <w:rPr>
          <w:i/>
          <w:iCs/>
        </w:rPr>
        <w:t xml:space="preserve">“S”</w:t>
      </w:r>
      <w:r>
        <w:rPr>
          <w:i/>
          <w:iCs/>
        </w:rPr>
        <w:t xml:space="preserve"> </w:t>
      </w:r>
      <w:r>
        <w:rPr>
          <w:i/>
          <w:iCs/>
        </w:rPr>
        <w:t xml:space="preserve">(for example, Figure 3) point to the main article.</w:t>
      </w:r>
    </w:p>
    <w:bookmarkStart w:id="109" w:name="the-four-measures-in-full"/>
    <w:p>
      <w:pPr>
        <w:pStyle w:val="Heading2"/>
      </w:pPr>
      <w:r>
        <w:t xml:space="preserve">The four measures in full</w:t>
      </w:r>
    </w:p>
    <w:p>
      <w:pPr>
        <w:pStyle w:val="FirstParagraph"/>
      </w:pPr>
      <w:r>
        <w:rPr>
          <w:b/>
          <w:bCs/>
        </w:rPr>
        <w:t xml:space="preserve">Departure from neutral copying.</w:t>
      </w:r>
      <w:r>
        <w:t xml:space="preserve"> </w:t>
      </w:r>
      <w:r>
        <w:t xml:space="preserve">Following Neiman</w:t>
      </w:r>
      <w:r>
        <w:t xml:space="preserve"> </w:t>
      </w:r>
      <w:r>
        <w:t xml:space="preserve">(1995)</w:t>
      </w:r>
      <w:r>
        <w:t xml:space="preserve">, we estimate the transmission parameter</w:t>
      </w:r>
      <w:r>
        <w:t xml:space="preserve"> </w:t>
      </w:r>
      <m:oMath>
        <m:r>
          <m:t>θ</m:t>
        </m:r>
      </m:oMath>
      <w:r>
        <w:t xml:space="preserve"> </w:t>
      </w:r>
      <w:r>
        <w:t xml:space="preserve">two ways for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copying the two agree. Conformist copying concentrates sherds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and a preference for novelty does the reverse. The measure is the ratio</w:t>
      </w:r>
      <w:r>
        <w:t xml:space="preserve"> </w:t>
      </w:r>
      <m:oMath>
        <m:sSub>
          <m:e>
            <m:r>
              <m:t>θ</m:t>
            </m:r>
          </m:e>
          <m:sub>
            <m:r>
              <m:t>F</m:t>
            </m:r>
          </m:sub>
        </m:sSub>
        <m:r>
          <m:rPr>
            <m:sty m:val="p"/>
          </m:rPr>
          <m:t>/</m:t>
        </m:r>
        <m:sSub>
          <m:e>
            <m:r>
              <m:t>θ</m:t>
            </m:r>
          </m:e>
          <m:sub>
            <m:r>
              <m:t>E</m:t>
            </m:r>
          </m:sub>
        </m:sSub>
      </m:oMath>
      <w:r>
        <w:t xml:space="preserve">, computed within spatial clusters and averaged across them, since pooling assemblages from divergent groups would cancel the effect.</w:t>
      </w:r>
    </w:p>
    <w:p>
      <w:pPr>
        <w:pStyle w:val="BodyText"/>
      </w:pPr>
      <w:r>
        <w:rPr>
          <w:b/>
          <w:bCs/>
        </w:rPr>
        <w:t xml:space="preserve">Seriation structure.</w:t>
      </w:r>
      <w:r>
        <w:t xml:space="preserve"> </w:t>
      </w:r>
      <w:r>
        <w:t xml:space="preserve">We use the iterative deterministic 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makes every decorated class’s frequency curve single-peaked and without gaps. We enumerate the maximal co-seriable groups, the largest subsets for which a valid ordering exists, and report their number, their maximum size, and the number of groups each assemblage joins. A single group indicates one interacting community; many small, overlapping groups indicate a field too varied to fit one ordering; many small, separate groups indicate divided learning. Checking every ordering is intractable beyond about fourteen assemblages, so the method builds solutions upward from valid three-assemblage orderings, adding assemblages while every class stays single-peaked and continuous. An ordering breaks when a class is not single-peaked along it or when a class’s relative frequency jumps between adjacent assemblages by more than a continuity threshold, which we set at 0.10. The overlapping structure reported in the main text holds across a range of thresholds. In the recovery experiment and the observed trajectory the statistic is the number of maximal groups per assemblage within each period, computed the same way. The idealized validation (Figure S1) uses a simpler proxy, the number of fall-then-rise reversals in each class along the supplied order. Neither version includes the bootstrap significance step of the published method.</w:t>
      </w:r>
    </w:p>
    <w:p>
      <w:pPr>
        <w:pStyle w:val="BodyText"/>
      </w:pPr>
      <w:r>
        <w:rPr>
          <w:b/>
          <w:bCs/>
        </w:rPr>
        <w:t xml:space="preserve">Between- and within-group variance.</w:t>
      </w:r>
      <w:r>
        <w:t xml:space="preserve"> </w:t>
      </w:r>
      <w:r>
        <w:t xml:space="preserve">Cultural</w:t>
      </w:r>
      <w:r>
        <w:t xml:space="preserve"> </w:t>
      </w:r>
      <m:oMath>
        <m:sSub>
          <m:e>
            <m:r>
              <m:t>F</m:t>
            </m:r>
          </m:e>
          <m:sub>
            <m:r>
              <m:t>S</m:t>
            </m:r>
            <m:r>
              <m:t>T</m:t>
            </m:r>
          </m:sub>
        </m:sSub>
      </m:oMath>
      <w:r>
        <w:t xml:space="preserve"> </w:t>
      </w:r>
      <w:r>
        <w:t xml:space="preserve">is 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 </w:t>
      </w:r>
      <w:r>
        <w:t xml:space="preserve">as</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diversity within clusters, which is Nei’s</w:t>
      </w:r>
      <w:r>
        <w:t xml:space="preserve"> </w:t>
      </w:r>
      <w:r>
        <w:t xml:space="preserve">(1973)</w:t>
      </w:r>
      <w:r>
        <w:t xml:space="preserve"> </w:t>
      </w:r>
      <w:r>
        <w:t xml:space="preserve">diversity form of the cultural</w:t>
      </w:r>
      <w:r>
        <w:t xml:space="preserve"> </w:t>
      </w:r>
      <m:oMath>
        <m:sSub>
          <m:e>
            <m:r>
              <m:t>F</m:t>
            </m:r>
          </m:e>
          <m:sub>
            <m:r>
              <m:t>S</m:t>
            </m:r>
            <m:r>
              <m:t>T</m:t>
            </m:r>
          </m:sub>
        </m:sSub>
      </m:oMath>
      <w:r>
        <w:t xml:space="preserve"> </w:t>
      </w:r>
      <w:r>
        <w:t xml:space="preserve">of Bell, Richerson, and McElreath</w:t>
      </w:r>
      <w:r>
        <w:t xml:space="preserve"> </w:t>
      </w:r>
      <w:r>
        <w:t xml:space="preserve">(2009)</w:t>
      </w:r>
      <w:r>
        <w:t xml:space="preserve">. It is zero when clusters share a repertoire and rises as they hold distinct ones.</w:t>
      </w:r>
    </w:p>
    <w:p>
      <w:pPr>
        <w:pStyle w:val="BodyText"/>
      </w:pPr>
      <w:r>
        <w:rPr>
          <w:b/>
          <w:bCs/>
        </w:rPr>
        <w:t xml:space="preserve">Boundary excess.</w:t>
      </w:r>
      <w:r>
        <w:t xml:space="preserve"> </w:t>
      </w:r>
      <w:r>
        <w:t xml:space="preserve">We measure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A Mantel correlation cannot separate a sharp boundary from a smooth fade with distance, so within each band of pairwise distance we take mean within-cluster similarity minus mean between-cluster similarity and average over bands. Under pure isolation by distance the excess is near zero; a sharp social boundary makes it large and positive. Spatial clusters come from</w:t>
      </w:r>
      <w:r>
        <w:t xml:space="preserve"> </w:t>
      </w:r>
      <m:oMath>
        <m:r>
          <m:t>k</m:t>
        </m:r>
      </m:oMath>
      <w:r>
        <w:t xml:space="preserve">-means on site coordinates with multiple restarts, with the number of clusters chosen by the mean silhouette.</w:t>
      </w:r>
    </w:p>
    <w:p>
      <w:pPr>
        <w:pStyle w:val="BodyText"/>
      </w:pPr>
      <w:r>
        <w:rPr>
          <w:b/>
          <w:bCs/>
        </w:rPr>
        <w:t xml:space="preserve">Trends and subsampling.</w:t>
      </w:r>
      <w:r>
        <w:t xml:space="preserve"> </w:t>
      </w:r>
      <w:r>
        <w:t xml:space="preserve">Each measure’s trend along the sequence is its rank correlation with position. All size control draws 50 sherds from each assemblage without replacement; an assemblage of exactly 50 is unchanged. The three measures the recovery experiment shows to be unusable are averaged over 400 draws. The</w:t>
      </w:r>
      <w:r>
        <w:t xml:space="preserve"> </w:t>
      </w:r>
      <m:oMath>
        <m:sSub>
          <m:e>
            <m:r>
              <m:t>F</m:t>
            </m:r>
          </m:e>
          <m:sub>
            <m:r>
              <m:t>S</m:t>
            </m:r>
            <m:r>
              <m:t>T</m:t>
            </m:r>
          </m:sub>
        </m:sSub>
      </m:oMath>
      <w:r>
        <w:t xml:space="preserve"> </w:t>
      </w:r>
      <w:r>
        <w:t xml:space="preserve">trend is averaged over 4,000 draws, and we quote the spread of single draws (2.5th to 97.5th percentiles, -0.80 to +0.40) rather than the Monte Carlo error of the mean, because a single draw has a standard deviation of 0.42 and the spread is what says whether the record resolves the trend. All of these condition on the observed assemblages, clusters, and order rather than on uncertainty about deposits, chronology, or model choice.</w:t>
      </w:r>
    </w:p>
    <w:bookmarkEnd w:id="109"/>
    <w:bookmarkStart w:id="110" w:name="the-idealized-validation-model"/>
    <w:p>
      <w:pPr>
        <w:pStyle w:val="Heading2"/>
      </w:pPr>
      <w:r>
        <w:t xml:space="preserve">The idealized validation model</w:t>
      </w:r>
    </w:p>
    <w:p>
      <w:pPr>
        <w:pStyle w:val="FirstParagraph"/>
      </w:pPr>
      <w:r>
        <w:t xml:space="preserve">The validation generator copies decorated variants under neutral transmission</w:t>
      </w:r>
      <w:r>
        <w:t xml:space="preserve"> </w:t>
      </w:r>
      <w:r>
        <w:t xml:space="preserve">(Bentley et al. 2004; Neiman 1995)</w:t>
      </w:r>
      <w:r>
        <w:t xml:space="preserve"> </w:t>
      </w:r>
      <w:r>
        <w:t xml:space="preserve">and has three controls: how far group class profiles diverge, how strongly potters conform within groups (a frequency-dependent copying bias after Henrich</w:t>
      </w:r>
      <w:r>
        <w:t xml:space="preserve"> </w:t>
      </w:r>
      <w:r>
        <w:t xml:space="preserve">(2001)</w:t>
      </w:r>
      <w:r>
        <w:t xml:space="preserve">), and how group profiles are placed on the landscape. Four settings produce the four processes of Table S1. Bounded groups raise divergence and conformity together across spatially bounded groups. Environmental patchiness holds a fixed difference between groups under neutral copying, keyed to an environmental layout. Conformity in one community raises conformity in a single undivided pool with no divergence. Smooth distance-limited copying produces a gradient under neutral copying. Each setting emits a sequence of group-by-class samples along an order, and the four-measure procedure is run on each without knowledge of its source, across 500 random seeds. On the bounded-group runs we also compute the correlations among the four measures, to confirm that their joint movement is not redundancy. These assemblages are large and clean (12 groups, several hundred sherds each), so the test shows what the measures can do in principle; the record-matched recovery (Figure S2) shows what survives on the real record.</w:t>
      </w:r>
    </w:p>
    <w:bookmarkEnd w:id="110"/>
    <w:bookmarkStart w:id="120" w:name="can-the-record-detect-a-boundary"/>
    <w:p>
      <w:pPr>
        <w:pStyle w:val="Heading2"/>
      </w:pPr>
      <w:r>
        <w:t xml:space="preserve">Can the record detect a boundary?</w:t>
      </w:r>
    </w:p>
    <w:p>
      <w:pPr>
        <w:pStyle w:val="FirstParagraph"/>
      </w:pPr>
      <w:r>
        <w:t xml:space="preserve">A process that genuinely divides a population into groups should leave its mark on every aspect of how decoration was copied, whereas a process that only resembles it leaves a mark on some aspects and not others. We therefore began with four measures, each a different consequence of restricted interaction (defined above), and asked which of them this record can use. Only a bounded interaction group drives all four together (Table S1). Environmental patchiness produces spatial structure without departing from neutral copying or breaking the seriation. Conformity within a single community departs from neutral copying without creating any boundaries. Smooth distance-limited copying produces only a fading of similarity with distance. Copying on a finite network is less tidy than that smooth ideal, because chance divergence among places raises</w:t>
      </w:r>
      <w:r>
        <w:t xml:space="preserve"> </w:t>
      </w:r>
      <m:oMath>
        <m:sSub>
          <m:e>
            <m:r>
              <m:t>F</m:t>
            </m:r>
          </m:e>
          <m:sub>
            <m:r>
              <m:t>S</m:t>
            </m:r>
            <m:r>
              <m:t>T</m:t>
            </m:r>
          </m:sub>
        </m:sSub>
      </m:oMath>
      <w:r>
        <w:t xml:space="preserve"> </w:t>
      </w:r>
      <w:r>
        <w:t xml:space="preserve">and the boundary excess with no social boundary present</w:t>
      </w:r>
      <w:r>
        <w:t xml:space="preserve"> </w:t>
      </w:r>
      <w:r>
        <w:t xml:space="preserve">(Lipo et al. 2021)</w:t>
      </w:r>
      <w:r>
        <w:t xml:space="preserve">.</w:t>
      </w:r>
    </w:p>
    <w:p>
      <w:pPr>
        <w:pStyle w:val="BodyText"/>
      </w:pPr>
      <w:r>
        <w:rPr>
          <w:b/>
          <w:bCs/>
        </w:rPr>
        <w:t xml:space="preserve">Table S1.</w:t>
      </w:r>
      <w:r>
        <w:t xml:space="preserve"> </w:t>
      </w:r>
      <w:r>
        <w:t xml:space="preserve">What each process does to the four measures, and which measure this record can use. A filled circle (●) marks a measure the process drives and an open circle (○) one it does not. The last column reports the record-matched recovery experiment.</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Measure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Conformity in one community</w:t>
            </w:r>
          </w:p>
        </w:tc>
        <w:tc>
          <w:tcPr/>
          <w:p>
            <w:pPr>
              <w:pStyle w:val="Compact"/>
              <w:jc w:val="center"/>
            </w:pPr>
            <w:r>
              <w:t xml:space="preserve">Smooth distance-limited copying</w:t>
            </w:r>
          </w:p>
        </w:tc>
        <w:tc>
          <w:tcPr/>
          <w:p>
            <w:pPr>
              <w:pStyle w:val="Compact"/>
              <w:jc w:val="center"/>
            </w:pPr>
            <w:r>
              <w:t xml:space="preserve">Copying on a finite network</w:t>
            </w:r>
          </w:p>
        </w:tc>
        <w:tc>
          <w:tcPr/>
          <w:p>
            <w:pPr>
              <w:pStyle w:val="Compact"/>
              <w:jc w:val="center"/>
            </w:pPr>
            <w:r>
              <w:t xml:space="preserve">Usable on this record?</w:t>
            </w:r>
          </w:p>
        </w:tc>
      </w:tr>
      <w:tr>
        <w:tc>
          <w:tcPr/>
          <w:p>
            <w:pPr>
              <w:pStyle w:val="Compact"/>
            </w:pPr>
            <w:r>
              <w:t xml:space="preserve">Departure from neutral copying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Breakdown of a single seriation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On idealized data the four measures behave as designed (Figure S1). When interaction narrows toward closed groups all four rise together, whereas the three other processes each move only some of them. Under closure the four are tightly correlated (mean absolute correlation 0.88), and under the other processes they are nearly independent (0.14 to 0.28), so their joint movement carries information.</w:t>
      </w:r>
    </w:p>
    <w:p>
      <w:pPr>
        <w:pStyle w:val="CaptionedFigure"/>
      </w:pPr>
      <w:r>
        <w:drawing>
          <wp:inline>
            <wp:extent cx="5334000" cy="4683019"/>
            <wp:effectExtent b="0" l="0" r="0" t="0"/>
            <wp:docPr descr="Figure S1. The four measures on idealized data. Trajectories of the four measures along the sequence under each of four simulated processes, using large, clean synthetic assemblages. Only a bounded interaction group drives all four together (starred). Across 500 random seeds the bounded-group case was identified in 492 (95 percent interval 0.97 to 0.99), and none of the three other processes was identified at all (95 percent upper bound 0.007). Right panel: the mean absolute correlation among the four measures, about 0.88 under closure and 0.14 to 0.28 under the other processes, so their joint movement is informative rather than redundant." title="" id="112" name="Picture"/>
            <a:graphic>
              <a:graphicData uri="http://schemas.openxmlformats.org/drawingml/2006/picture">
                <pic:pic>
                  <pic:nvPicPr>
                    <pic:cNvPr descr="../../figures/fig2_validation.png" id="113" name="Picture"/>
                    <pic:cNvPicPr>
                      <a:picLocks noChangeArrowheads="1" noChangeAspect="1"/>
                    </pic:cNvPicPr>
                  </pic:nvPicPr>
                  <pic:blipFill>
                    <a:blip r:embed="rId111"/>
                    <a:stretch>
                      <a:fillRect/>
                    </a:stretch>
                  </pic:blipFill>
                  <pic:spPr bwMode="auto">
                    <a:xfrm>
                      <a:off x="0" y="0"/>
                      <a:ext cx="5334000" cy="4683019"/>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The four measures on idealized data. Trajectories of the four measures along the sequence under each of four simulated processes, using large, clean synthetic assemblages. Only a bounded interaction group drives all four together (starred). Across 500 random seeds the bounded-group case was identified in 492 (95 percent interval 0.97 to 0.99), and none of the three other processes was identified at all (95 percent upper bound 0.007). Right panel: the mean absolute correlation among the four measures, about 0.88 under closure and 0.14 to 0.28 under the other processes, so their joint movement is informative rather than redundant.</w:t>
      </w:r>
    </w:p>
    <w:p>
      <w:pPr>
        <w:pStyle w:val="BodyText"/>
      </w:pPr>
      <w:r>
        <w:t xml:space="preserve">A real record is smaller, noisier, and time-averaged, so a measure that works in principle may fail in practice. We built one synthetic assemblage for each real one, at its real sample size, spatial cluster, and position in the sequence, and imposed closure of a known strength</w:t>
      </w:r>
      <w:r>
        <w:t xml:space="preserve"> </w:t>
      </w:r>
      <w:r>
        <w:rPr>
          <w:i/>
          <w:iCs/>
        </w:rPr>
        <w:t xml:space="preserve">s</w:t>
      </w:r>
      <w:r>
        <w:t xml:space="preserve">, from 0 (no groups) to 1 (sharply separated groups), rising along the sequence. We time-averaged the synthetic assemblages by blending neighboring periods, subsampled them exactly as we did the real ones, and asked which measures recovered the imposed closure</w:t>
      </w:r>
      <w:r>
        <w:t xml:space="preserve"> </w:t>
      </w:r>
      <w:r>
        <w:t xml:space="preserve">(Crema et al. 2014; Holdaway and Wandsnider 2008; Kandler and Shennan 2015; Perreault 2019)</w:t>
      </w:r>
      <w:r>
        <w:t xml:space="preserve">. Only cultural</w:t>
      </w:r>
      <w:r>
        <w:t xml:space="preserve"> </w:t>
      </w:r>
      <m:oMath>
        <m:sSub>
          <m:e>
            <m:r>
              <m:t>F</m:t>
            </m:r>
          </m:e>
          <m:sub>
            <m:r>
              <m:t>S</m:t>
            </m:r>
            <m:r>
              <m:t>T</m:t>
            </m:r>
          </m:sub>
        </m:sSub>
      </m:oMath>
      <w:r>
        <w:t xml:space="preserve"> </w:t>
      </w:r>
      <w:r>
        <w:t xml:space="preserve">survives (Figure S2). It rises steadily as imposed closure increases. The departure from neutral copying does not move in one direction as conformity increases, the boundary excess does not respond to the two spatial clusters the site layout supports, and the number of seriation groups does not rise as closure predicts. The section</w:t>
      </w:r>
      <w:r>
        <w:t xml:space="preserve"> </w:t>
      </w:r>
      <w:r>
        <w:t xml:space="preserve">“Why only cultural</w:t>
      </w:r>
      <w:r>
        <w:t xml:space="preserve"> </w:t>
      </w:r>
      <m:oMath>
        <m:sSub>
          <m:e>
            <m:r>
              <m:t>F</m:t>
            </m:r>
          </m:e>
          <m:sub>
            <m:r>
              <m:t>S</m:t>
            </m:r>
            <m:r>
              <m:t>T</m:t>
            </m:r>
          </m:sub>
        </m:sSub>
      </m:oMath>
      <w:r>
        <w:t xml:space="preserve"> </w:t>
      </w:r>
      <w:r>
        <w:t xml:space="preserve">survives”</w:t>
      </w:r>
      <w:r>
        <w:t xml:space="preserve"> </w:t>
      </w:r>
      <w:r>
        <w:t xml:space="preserve">below shows that this reduction is a property of the record rather than of how closure was imposed.</w:t>
      </w:r>
    </w:p>
    <w:p>
      <w:pPr>
        <w:pStyle w:val="CaptionedFigure"/>
      </w:pPr>
      <w:r>
        <w:drawing>
          <wp:inline>
            <wp:extent cx="5334000" cy="2692949"/>
            <wp:effectExtent b="0" l="0" r="0" t="0"/>
            <wp:docPr descr="Figure S2. Which measures can detect a boundary on a record like this one. Left: each measure’s response (its rank-correlation trend along the sequence) to closure of known strength imposed on synthetic assemblages built to the real record’s 28 sample sizes, clusters, and sequence positions, subsampled to a common count. Only cultural F_{ST} tracks the imposed closure steadily. Right: the posterior over closure strength given the observed trend, with and without the record’s time-averaging. The median is 0.15 (interval 0.00 to 0.37) without time-averaging and 0.22 (0.00 to 0.57) with it, and the probability of closure of 0.5 or more is 0.001 and 0.088. The observed trend is a rank correlation of -0.048, averaged over 4,000 subsamples, against a draw-to-draw spread of -0.80 to +0.40." title="" id="115" name="Picture"/>
            <a:graphic>
              <a:graphicData uri="http://schemas.openxmlformats.org/drawingml/2006/picture">
                <pic:pic>
                  <pic:nvPicPr>
                    <pic:cNvPr descr="../../figures/fig5_recovery.png" id="116" name="Picture"/>
                    <pic:cNvPicPr>
                      <a:picLocks noChangeArrowheads="1" noChangeAspect="1"/>
                    </pic:cNvPicPr>
                  </pic:nvPicPr>
                  <pic:blipFill>
                    <a:blip r:embed="rId114"/>
                    <a:stretch>
                      <a:fillRect/>
                    </a:stretch>
                  </pic:blipFill>
                  <pic:spPr bwMode="auto">
                    <a:xfrm>
                      <a:off x="0" y="0"/>
                      <a:ext cx="5334000" cy="2692949"/>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Which measures can detect a boundary on a record like this one. Left: each measure’s response (its rank-correlation trend along the sequence) to closure of known strength imposed on synthetic assemblages built to the real record’s 28 sample sizes, clusters, and sequence positions, subsampled to a common count. Only cultural</w:t>
      </w:r>
      <w:r>
        <w:t xml:space="preserve"> </w:t>
      </w:r>
      <m:oMath>
        <m:sSub>
          <m:e>
            <m:r>
              <m:t>F</m:t>
            </m:r>
          </m:e>
          <m:sub>
            <m:r>
              <m:t>S</m:t>
            </m:r>
            <m:r>
              <m:t>T</m:t>
            </m:r>
          </m:sub>
        </m:sSub>
      </m:oMath>
      <w:r>
        <w:t xml:space="preserve"> </w:t>
      </w:r>
      <w:r>
        <w:t xml:space="preserve">tracks the imposed closure steadily. Right: the posterior over closure strength given the observed trend, with and without the record’s time-averaging. The median is 0.15 (interval 0.00 to 0.37) without time-averaging and 0.22 (0.00 to 0.57) with it, and the probability of closure of 0.5 or more is 0.001 and 0.088. The observed trend is a rank correlation of -0.048, averaged over 4,000 subsamples, against a draw-to-draw spread of -0.80 to +0.40.</w:t>
      </w:r>
    </w:p>
    <w:p>
      <w:pPr>
        <w:pStyle w:val="BodyText"/>
      </w:pPr>
      <w:r>
        <w:t xml:space="preserve">Treating the simulation series as a likelihood turns the observed trend into a posterior for how much closure the basin could contain, under a uniform prior over</w:t>
      </w:r>
      <w:r>
        <w:t xml:space="preserve"> </w:t>
      </w:r>
      <w:r>
        <w:rPr>
          <w:i/>
          <w:iCs/>
        </w:rPr>
        <w:t xml:space="preserve">s</w:t>
      </w:r>
      <w:r>
        <w:t xml:space="preserve">. This posterior refers to closure that grows along the sequence; a boundary present from the start would not produce a trend, and the phase-line tests of the main text address that case. If the phases were becoming bounded groups, differences between them should grow as interaction narrows. Along the seriation order they do not (Figure S3), although that order is largely south to north rather than early to late, so this test speaks to change across the basin more than to change through time. The raw trend in cultural</w:t>
      </w:r>
      <w:r>
        <w:t xml:space="preserve"> </w:t>
      </w:r>
      <m:oMath>
        <m:sSub>
          <m:e>
            <m:r>
              <m:t>F</m:t>
            </m:r>
          </m:e>
          <m:sub>
            <m:r>
              <m:t>S</m:t>
            </m:r>
            <m:r>
              <m:t>T</m:t>
            </m:r>
          </m:sub>
        </m:sSub>
      </m:oMath>
      <w:r>
        <w:t xml:space="preserve"> </w:t>
      </w:r>
      <w:r>
        <w:t xml:space="preserve">along the sequence is strongly negative, a rank correlation of -0.80, but that trend is a sampling artifact: assemblage size also rises along the sequence (Spearman +0.61). Once every assemblage is subsampled to a common 50 sherds, the trend averages -0.048 over 4,000 subsamples, and a single subsample returns anything from -0.80 to +0.40. The record resolves no trend. Two of the six periods hold assemblages from a single spatial cluster and carry no between-cluster variance, so the trend rests on four. Read against the recovery experiment, a trend this small corresponds to closure with a posterior median of 0.15 and a 95 percent credible interval of 0.00 to 0.37, with a probability of 0.001 on closure of 0.5 or more. With the record’s time-averaging built into the simulations the posterior widens to a median of 0.22 and an interval of 0.00 to 0.57, and 9 percent of it lies at 0.5 or above. Reversing the order barely changes this: the median becomes 0.17 (0.00 to 0.39), or 0.25 (0.00 to 0.60) with time-averaging. The record is consistent with no closure and with weak closure growing along the sequence, and shows no moderate or strong closure of that kind.</w:t>
      </w:r>
    </w:p>
    <w:p>
      <w:pPr>
        <w:pStyle w:val="CaptionedFigure"/>
      </w:pPr>
      <w:r>
        <w:drawing>
          <wp:inline>
            <wp:extent cx="5334000" cy="3952347"/>
            <wp:effectExtent b="0" l="0" r="0" t="0"/>
            <wp:docPr descr="Figure S3. The four measures along the seriation sequence for the 28 basin assemblages in six periods, after subsampling every assemblage to a common 50 sherds. Two periods hold assemblages from a single spatial cluster and so carry no between-cluster F_{ST}. Cultural F_{ST}, the one usable measure, shows no resolvable trend (rank correlation -0.048 averaged over 4,000 subsamples, against a draw-to-draw spread of -0.80 to +0.40; the raw -0.80 is a sample-size artifact). The other three measures cannot discriminate at this resolution (Figure S2) and are shown for completeness, averaged over 400 subsamples. Each panel is annotated with its rank correlation." title="" id="118" name="Picture"/>
            <a:graphic>
              <a:graphicData uri="http://schemas.openxmlformats.org/drawingml/2006/picture">
                <pic:pic>
                  <pic:nvPicPr>
                    <pic:cNvPr descr="../../figures/fig6_empirical_trajectory.png" id="119" name="Picture"/>
                    <pic:cNvPicPr>
                      <a:picLocks noChangeArrowheads="1" noChangeAspect="1"/>
                    </pic:cNvPicPr>
                  </pic:nvPicPr>
                  <pic:blipFill>
                    <a:blip r:embed="rId117"/>
                    <a:stretch>
                      <a:fillRect/>
                    </a:stretch>
                  </pic:blipFill>
                  <pic:spPr bwMode="auto">
                    <a:xfrm>
                      <a:off x="0" y="0"/>
                      <a:ext cx="5334000" cy="3952347"/>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The four measures along the seriation sequence for the 28 basin assemblages in six periods, after subsampling every assemblage to a common 50 sherds. Two periods hold assemblages from a single spatial cluster and so carry no between-cluster</w:t>
      </w:r>
      <w:r>
        <w:t xml:space="preserve"> </w:t>
      </w:r>
      <m:oMath>
        <m:sSub>
          <m:e>
            <m:r>
              <m:t>F</m:t>
            </m:r>
          </m:e>
          <m:sub>
            <m:r>
              <m:t>S</m:t>
            </m:r>
            <m:r>
              <m:t>T</m:t>
            </m:r>
          </m:sub>
        </m:sSub>
      </m:oMath>
      <w:r>
        <w:t xml:space="preserve">. Cultural</w:t>
      </w:r>
      <w:r>
        <w:t xml:space="preserve"> </w:t>
      </w:r>
      <m:oMath>
        <m:sSub>
          <m:e>
            <m:r>
              <m:t>F</m:t>
            </m:r>
          </m:e>
          <m:sub>
            <m:r>
              <m:t>S</m:t>
            </m:r>
            <m:r>
              <m:t>T</m:t>
            </m:r>
          </m:sub>
        </m:sSub>
      </m:oMath>
      <w:r>
        <w:t xml:space="preserve">, the one usable measure, shows no resolvable trend (rank correlation -0.048 averaged over 4,000 subsamples, against a draw-to-draw spread of -0.80 to +0.40; the raw -0.80 is a sample-size artifact). The other three measures cannot discriminate at this resolution (Figure S2) and are shown for completeness, averaged over 400 subsamples. Each panel is annotated with its rank correlation.</w:t>
      </w:r>
    </w:p>
    <w:bookmarkEnd w:id="120"/>
    <w:bookmarkStart w:id="121" w:name="bayesian-estimates-of-the-f_st-trend"/>
    <w:p>
      <w:pPr>
        <w:pStyle w:val="Heading2"/>
      </w:pPr>
      <w:r>
        <w:t xml:space="preserve">Bayesian estimates of the</w:t>
      </w:r>
      <w:r>
        <w:t xml:space="preserve"> </w:t>
      </w:r>
      <m:oMath>
        <m:sSub>
          <m:e>
            <m:r>
              <m:t>F</m:t>
            </m:r>
          </m:e>
          <m:sub>
            <m:r>
              <m:t>S</m:t>
            </m:r>
            <m:r>
              <m:t>T</m:t>
            </m:r>
          </m:sub>
        </m:sSub>
      </m:oMath>
      <w:r>
        <w:t xml:space="preserve"> </w:t>
      </w:r>
      <w:r>
        <w:t xml:space="preserve">trend</w:t>
      </w:r>
    </w:p>
    <w:p>
      <w:pPr>
        <w:pStyle w:val="FirstParagraph"/>
      </w:pPr>
      <w:r>
        <w:t xml:space="preserve">The section above reports the</w:t>
      </w:r>
      <w:r>
        <w:t xml:space="preserve"> </w:t>
      </w:r>
      <m:oMath>
        <m:sSub>
          <m:e>
            <m:r>
              <m:t>F</m:t>
            </m:r>
          </m:e>
          <m:sub>
            <m:r>
              <m:t>S</m:t>
            </m:r>
            <m:r>
              <m:t>T</m:t>
            </m:r>
          </m:sub>
        </m:sSub>
      </m:oMath>
      <w:r>
        <w:t xml:space="preserve"> </w:t>
      </w:r>
      <w:r>
        <w:t xml:space="preserve">trend as a rank correlation on subsampled assemblages. We also estimate it without discarding data. The Balding-Nichols model is fitted to each period, giving a posterior for that period’s</w:t>
      </w:r>
      <w:r>
        <w:t xml:space="preserve"> </w:t>
      </w:r>
      <m:oMath>
        <m:sSub>
          <m:e>
            <m:r>
              <m:t>F</m:t>
            </m:r>
          </m:e>
          <m:sub>
            <m:r>
              <m:t>S</m:t>
            </m:r>
            <m:r>
              <m:t>T</m:t>
            </m:r>
          </m:sub>
        </m:sSub>
      </m:oMath>
      <w:r>
        <w:t xml:space="preserve"> </w:t>
      </w:r>
      <w:r>
        <w:t xml:space="preserve">whose width reflects how many sherds it holds, and the trend is estimated as a slope across those posteriors. The prior on</w:t>
      </w:r>
      <w:r>
        <w:t xml:space="preserve"> </w:t>
      </w:r>
      <m:oMath>
        <m:sSub>
          <m:e>
            <m:r>
              <m:t>F</m:t>
            </m:r>
          </m:e>
          <m:sub>
            <m:r>
              <m:t>S</m:t>
            </m:r>
            <m:r>
              <m:t>T</m:t>
            </m:r>
          </m:sub>
        </m:sSub>
      </m:oMath>
      <w:r>
        <w:t xml:space="preserve"> </w:t>
      </w:r>
      <w:r>
        <w:t xml:space="preserve">is Beta(1,10). A flat prior on the parameter is not flat on what it predicts: at this design it expects a median</w:t>
      </w:r>
      <w:r>
        <w:t xml:space="preserve"> </w:t>
      </w:r>
      <m:oMath>
        <m:sSub>
          <m:e>
            <m:r>
              <m:t>F</m:t>
            </m:r>
          </m:e>
          <m:sub>
            <m:r>
              <m:t>S</m:t>
            </m:r>
            <m:r>
              <m:t>T</m:t>
            </m:r>
          </m:sub>
        </m:sSub>
      </m:oMath>
      <w:r>
        <w:t xml:space="preserve"> </w:t>
      </w:r>
      <w:r>
        <w:t xml:space="preserve">of 0.236 and places 44 percent of its predictive mass above 0.30, against an observed 0.0062, whereas Beta(1,10) expects a median of 0.026 with 2 percent above 0.30. Because the model treats sampling as part of the data rather than removing it by subsampling, its uncertainty is a credible interval rather than a subsampling spread, and its trend is a slope in</w:t>
      </w:r>
      <w:r>
        <w:t xml:space="preserve"> </w:t>
      </w:r>
      <m:oMath>
        <m:sSub>
          <m:e>
            <m:r>
              <m:t>F</m:t>
            </m:r>
          </m:e>
          <m:sub>
            <m:r>
              <m:t>S</m:t>
            </m:r>
            <m:r>
              <m:t>T</m:t>
            </m:r>
          </m:sub>
        </m:sSub>
      </m:oMath>
      <w:r>
        <w:t xml:space="preserve"> </w:t>
      </w:r>
      <w:r>
        <w:t xml:space="preserve">units per standardized period rather than a rank correlation. The per-period posteriors are in Table S2.</w:t>
      </w:r>
    </w:p>
    <w:p>
      <w:pPr>
        <w:pStyle w:val="BodyText"/>
      </w:pPr>
      <w:r>
        <w:rPr>
          <w:b/>
          <w:bCs/>
        </w:rPr>
        <w:t xml:space="preserve">Table S2.</w:t>
      </w:r>
      <w:r>
        <w:t xml:space="preserve"> </w:t>
      </w:r>
      <w:r>
        <w:t xml:space="preserve">Per-period cultural</w:t>
      </w:r>
      <w:r>
        <w:t xml:space="preserve"> </w:t>
      </w:r>
      <m:oMath>
        <m:sSub>
          <m:e>
            <m:r>
              <m:t>F</m:t>
            </m:r>
          </m:e>
          <m:sub>
            <m:r>
              <m:t>S</m:t>
            </m:r>
            <m:r>
              <m:t>T</m:t>
            </m:r>
          </m:sub>
        </m:sSub>
      </m:oMath>
      <w:r>
        <w:t xml:space="preserve"> </w:t>
      </w:r>
      <w:r>
        <w:t xml:space="preserve">under the Balding-Nichols model (Beta(1,10) prior; two spatial clusters; six periods). The plug-in value is the Gini-Simpson estimator of the main text. The first and fifth periods hold assemblages from a single cluster, so their</w:t>
      </w:r>
      <w:r>
        <w:t xml:space="preserve"> </w:t>
      </w:r>
      <m:oMath>
        <m:sSub>
          <m:e>
            <m:r>
              <m:t>F</m:t>
            </m:r>
          </m:e>
          <m:sub>
            <m:r>
              <m:t>S</m:t>
            </m:r>
            <m:r>
              <m:t>T</m:t>
            </m:r>
          </m:sub>
        </m:sSub>
      </m:oMath>
      <w:r>
        <w:t xml:space="preserve"> </w:t>
      </w:r>
      <w:r>
        <w:t xml:space="preserve">is undefined; at this scale the ends of the chronology are places.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Period</w:t>
            </w:r>
          </w:p>
        </w:tc>
        <w:tc>
          <w:tcPr/>
          <w:p>
            <w:pPr>
              <w:pStyle w:val="Compact"/>
              <w:jc w:val="right"/>
            </w:pPr>
            <w:r>
              <w:t xml:space="preserve">Sherds</w:t>
            </w:r>
          </w:p>
        </w:tc>
        <w:tc>
          <w:tcPr/>
          <w:p>
            <w:pPr>
              <w:pStyle w:val="Compact"/>
              <w:jc w:val="right"/>
            </w:pPr>
            <w:r>
              <w:t xml:space="preserve">Posterior median</w:t>
            </w:r>
          </w:p>
        </w:tc>
        <w:tc>
          <w:tcPr/>
          <w:p>
            <w:pPr>
              <w:pStyle w:val="Compact"/>
            </w:pPr>
            <w:r>
              <w:t xml:space="preserve">95% credible interval</w:t>
            </w:r>
          </w:p>
        </w:tc>
        <w:tc>
          <w:tcPr/>
          <w:p>
            <w:pPr>
              <w:pStyle w:val="Compact"/>
              <w:jc w:val="right"/>
            </w:pPr>
            <w:r>
              <w:t xml:space="preserve">Plug-in</w:t>
            </w:r>
          </w:p>
        </w:tc>
      </w:tr>
      <w:tr>
        <w:tc>
          <w:tcPr/>
          <w:p>
            <w:pPr>
              <w:pStyle w:val="Compact"/>
            </w:pPr>
            <w:r>
              <w:t xml:space="preserve">1</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2</w:t>
            </w:r>
          </w:p>
        </w:tc>
        <w:tc>
          <w:tcPr/>
          <w:p>
            <w:pPr>
              <w:pStyle w:val="Compact"/>
              <w:jc w:val="right"/>
            </w:pPr>
            <w:r>
              <w:t xml:space="preserve">5,871</w:t>
            </w:r>
          </w:p>
        </w:tc>
        <w:tc>
          <w:tcPr/>
          <w:p>
            <w:pPr>
              <w:pStyle w:val="Compact"/>
              <w:jc w:val="right"/>
            </w:pPr>
            <w:r>
              <w:t xml:space="preserve">0.0015</w:t>
            </w:r>
          </w:p>
        </w:tc>
        <w:tc>
          <w:tcPr/>
          <w:p>
            <w:pPr>
              <w:pStyle w:val="Compact"/>
            </w:pPr>
            <w:r>
              <w:t xml:space="preserve">0.0005 to 0.0034</w:t>
            </w:r>
          </w:p>
        </w:tc>
        <w:tc>
          <w:tcPr/>
          <w:p>
            <w:pPr>
              <w:pStyle w:val="Compact"/>
              <w:jc w:val="right"/>
            </w:pPr>
            <w:r>
              <w:t xml:space="preserve">0.0015</w:t>
            </w:r>
          </w:p>
        </w:tc>
      </w:tr>
      <w:tr>
        <w:tc>
          <w:tcPr/>
          <w:p>
            <w:pPr>
              <w:pStyle w:val="Compact"/>
            </w:pPr>
            <w:r>
              <w:t xml:space="preserve">3</w:t>
            </w:r>
          </w:p>
        </w:tc>
        <w:tc>
          <w:tcPr/>
          <w:p>
            <w:pPr>
              <w:pStyle w:val="Compact"/>
              <w:jc w:val="right"/>
            </w:pPr>
            <w:r>
              <w:t xml:space="preserve">1,874</w:t>
            </w:r>
          </w:p>
        </w:tc>
        <w:tc>
          <w:tcPr/>
          <w:p>
            <w:pPr>
              <w:pStyle w:val="Compact"/>
              <w:jc w:val="right"/>
            </w:pPr>
            <w:r>
              <w:t xml:space="preserve">0.0058</w:t>
            </w:r>
          </w:p>
        </w:tc>
        <w:tc>
          <w:tcPr/>
          <w:p>
            <w:pPr>
              <w:pStyle w:val="Compact"/>
            </w:pPr>
            <w:r>
              <w:t xml:space="preserve">0.0027 to 0.0112</w:t>
            </w:r>
          </w:p>
        </w:tc>
        <w:tc>
          <w:tcPr/>
          <w:p>
            <w:pPr>
              <w:pStyle w:val="Compact"/>
              <w:jc w:val="right"/>
            </w:pPr>
            <w:r>
              <w:t xml:space="preserve">0.0058</w:t>
            </w:r>
          </w:p>
        </w:tc>
      </w:tr>
      <w:tr>
        <w:tc>
          <w:tcPr/>
          <w:p>
            <w:pPr>
              <w:pStyle w:val="Compact"/>
            </w:pPr>
            <w:r>
              <w:t xml:space="preserve">4</w:t>
            </w:r>
          </w:p>
        </w:tc>
        <w:tc>
          <w:tcPr/>
          <w:p>
            <w:pPr>
              <w:pStyle w:val="Compact"/>
              <w:jc w:val="right"/>
            </w:pPr>
            <w:r>
              <w:t xml:space="preserve">2,338</w:t>
            </w:r>
          </w:p>
        </w:tc>
        <w:tc>
          <w:tcPr/>
          <w:p>
            <w:pPr>
              <w:pStyle w:val="Compact"/>
              <w:jc w:val="right"/>
            </w:pPr>
            <w:r>
              <w:t xml:space="preserve">0.0307</w:t>
            </w:r>
          </w:p>
        </w:tc>
        <w:tc>
          <w:tcPr/>
          <w:p>
            <w:pPr>
              <w:pStyle w:val="Compact"/>
            </w:pPr>
            <w:r>
              <w:t xml:space="preserve">0.0213 to 0.0409</w:t>
            </w:r>
          </w:p>
        </w:tc>
        <w:tc>
          <w:tcPr/>
          <w:p>
            <w:pPr>
              <w:pStyle w:val="Compact"/>
              <w:jc w:val="right"/>
            </w:pPr>
            <w:r>
              <w:t xml:space="preserve">0.0326</w:t>
            </w:r>
          </w:p>
        </w:tc>
      </w:tr>
      <w:tr>
        <w:tc>
          <w:tcPr/>
          <w:p>
            <w:pPr>
              <w:pStyle w:val="Compact"/>
            </w:pPr>
            <w:r>
              <w:t xml:space="preserve">5</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6</w:t>
            </w:r>
          </w:p>
        </w:tc>
        <w:tc>
          <w:tcPr/>
          <w:p>
            <w:pPr>
              <w:pStyle w:val="Compact"/>
              <w:jc w:val="right"/>
            </w:pPr>
            <w:r>
              <w:t xml:space="preserve">813</w:t>
            </w:r>
          </w:p>
        </w:tc>
        <w:tc>
          <w:tcPr/>
          <w:p>
            <w:pPr>
              <w:pStyle w:val="Compact"/>
              <w:jc w:val="right"/>
            </w:pPr>
            <w:r>
              <w:t xml:space="preserve">0.0030</w:t>
            </w:r>
          </w:p>
        </w:tc>
        <w:tc>
          <w:tcPr/>
          <w:p>
            <w:pPr>
              <w:pStyle w:val="Compact"/>
            </w:pPr>
            <w:r>
              <w:t xml:space="preserve">0.0004 to 0.0089</w:t>
            </w:r>
          </w:p>
        </w:tc>
        <w:tc>
          <w:tcPr/>
          <w:p>
            <w:pPr>
              <w:pStyle w:val="Compact"/>
              <w:jc w:val="right"/>
            </w:pPr>
            <w:r>
              <w:t xml:space="preserve">0.0024</w:t>
            </w:r>
          </w:p>
        </w:tc>
      </w:tr>
    </w:tbl>
    <w:p>
      <w:pPr>
        <w:pStyle w:val="BodyText"/>
      </w:pPr>
      <w:r>
        <w:t xml:space="preserve">Across the four estimable periods the slope has a posterior median of +0.0009 with a 95 percent credible interval of -0.034 to +0.033, and P(slope &gt; 0) = 0.54 (R-hat 1.006, minimum bulk effective sample size 1,445, 2 divergent transitions of 8,000). Under a uniform prior it is +0.0013 (-0.033 to +0.038), with P(slope &gt; 0) = 0.55 (R-hat 1.001, 3 divergent transitions). The direction of the trend is unresolved, in agreement with the subsampled rank correlation.</w:t>
      </w:r>
    </w:p>
    <w:bookmarkEnd w:id="121"/>
    <w:bookmarkStart w:id="123" w:name="the-spatial-model-with-no-groups"/>
    <w:p>
      <w:pPr>
        <w:pStyle w:val="Heading2"/>
      </w:pPr>
      <w:r>
        <w:t xml:space="preserve">The spatial model with no groups</w:t>
      </w:r>
    </w:p>
    <w:p>
      <w:pPr>
        <w:pStyle w:val="FirstParagraph"/>
      </w:pPr>
      <w:r>
        <w:t xml:space="preserve">The between-cluster</w:t>
      </w:r>
      <w:r>
        <w:t xml:space="preserve"> </w:t>
      </w:r>
      <m:oMath>
        <m:sSub>
          <m:e>
            <m:r>
              <m:t>F</m:t>
            </m:r>
          </m:e>
          <m:sub>
            <m:r>
              <m:t>S</m:t>
            </m:r>
            <m:r>
              <m:t>T</m:t>
            </m:r>
          </m:sub>
        </m:sSub>
      </m:oMath>
      <w:r>
        <w:t xml:space="preserve"> </w:t>
      </w:r>
      <w:r>
        <w:t xml:space="preserve">requires dividing the basin into clusters. The spatial model removes that requirement. It treats each assemblage’s decorated-class composition as a multinomial draw whose class probabilities, on the logit scale, are the sum of a class mean, a spatially correlated surface over the assemblage coordinates, and an assemblage-specific term with no spatial structure. The surface has a Matérn-family covariance with amplitude</w:t>
      </w:r>
      <w:r>
        <w:t xml:space="preserve"> </w:t>
      </w:r>
      <m:oMath>
        <m:r>
          <m:t>σ</m:t>
        </m:r>
      </m:oMath>
      <w:r>
        <w:t xml:space="preserve"> </w:t>
      </w:r>
      <w:r>
        <w:t xml:space="preserve">and length scale</w:t>
      </w:r>
      <w:r>
        <w:t xml:space="preserve"> </w:t>
      </w:r>
      <m:oMath>
        <m:r>
          <m:t>ρ</m:t>
        </m:r>
      </m:oMath>
      <w:r>
        <w:t xml:space="preserve">, and the assemblage-specific term has standard deviation</w:t>
      </w:r>
      <w:r>
        <w:t xml:space="preserve"> </w:t>
      </w:r>
      <m:oMath>
        <m:r>
          <m:t>τ</m:t>
        </m:r>
      </m:oMath>
      <w:r>
        <w:t xml:space="preserve">. In the version we report, the assemblage-specific term enters the covariance directly rather than as a second latent surface, which halves the number of latent parameters and removes a direction along which the two terms trade off. The quantity of interest is the spatial share,</w:t>
      </w:r>
      <w:r>
        <w:t xml:space="preserve"> </w:t>
      </w:r>
      <m:oMath>
        <m:sSup>
          <m:e>
            <m:r>
              <m:t>σ</m:t>
            </m:r>
          </m:e>
          <m:sup>
            <m:r>
              <m:t>2</m:t>
            </m:r>
          </m:sup>
        </m:sSup>
        <m:r>
          <m:rPr>
            <m:sty m:val="p"/>
          </m:rPr>
          <m:t>/</m:t>
        </m:r>
        <m:r>
          <m:rPr>
            <m:sty m:val="p"/>
          </m:rPr>
          <m:t>(</m:t>
        </m:r>
        <m:sSup>
          <m:e>
            <m:r>
              <m:t>σ</m:t>
            </m:r>
          </m:e>
          <m:sup>
            <m:r>
              <m:t>2</m:t>
            </m:r>
          </m:sup>
        </m:sSup>
        <m:r>
          <m:rPr>
            <m:sty m:val="p"/>
          </m:rPr>
          <m:t>+</m:t>
        </m:r>
        <m:sSup>
          <m:e>
            <m:r>
              <m:t>τ</m:t>
            </m:r>
          </m:e>
          <m:sup>
            <m:r>
              <m:t>2</m:t>
            </m:r>
          </m:sup>
        </m:sSup>
        <m:r>
          <m:rPr>
            <m:sty m:val="p"/>
          </m:rPr>
          <m:t>)</m:t>
        </m:r>
      </m:oMath>
      <w:r>
        <w:t xml:space="preserve">, the fraction of compositional variance among assemblages carried by location. Bounded groups leave site-specific character that location does not explain, and in this model that character can enter only through</w:t>
      </w:r>
      <w:r>
        <w:t xml:space="preserve"> </w:t>
      </w:r>
      <m:oMath>
        <m:r>
          <m:t>τ</m:t>
        </m:r>
      </m:oMath>
      <w:r>
        <w:t xml:space="preserve">. The length scale has an inverse-gamma prior placing its mass inside the range the basin’s geometry can resolve. The models are written in Stan and fitted by Hamiltonian Monte Carlo (rstan 2.32); model files and scripts are in the repository (</w:t>
      </w:r>
      <w:r>
        <w:rPr>
          <w:rStyle w:val="VerbatimChar"/>
        </w:rPr>
        <w:t xml:space="preserve">stan/spatial/</w:t>
      </w:r>
      <w:r>
        <w:t xml:space="preserve">,</w:t>
      </w:r>
      <w:r>
        <w:t xml:space="preserve"> </w:t>
      </w:r>
      <w:r>
        <w:rPr>
          <w:rStyle w:val="VerbatimChar"/>
        </w:rPr>
        <w:t xml:space="preserve">analyses/02_spatial/</w:t>
      </w:r>
      <w:r>
        <w:t xml:space="preserve">).</w:t>
      </w:r>
    </w:p>
    <w:p>
      <w:pPr>
        <w:pStyle w:val="BodyText"/>
      </w:pPr>
      <w:r>
        <w:t xml:space="preserve">Fitted to the 28 assemblages and ten classes, the spatial share is 0.996 (95 percent credible interval 0.972 to 1.000) in the reported form and 0.997 (0.975 to 1.000) with the assemblage term as a second surface. The length scale is not identified. Its posterior median is 195 km (95 percent credible interval 96 to 292 km) in the reported form, longer than the basin itself, and the sampler saturates its maximum tree depth on every iteration without divergences, the mark of a ridge in the posterior rather than a step-size problem. Diagnostics for the reported form: R-hat 1.0020, bulk effective sample size 2,211, tail effective sample size 7,241, 0 divergent transitions of 12,000, all 12,000 iterations at the maximum tree depth of 10, E-BFMI 0.688; for the two-surface form, R-hat 1.0157, bulk effective sample size 438, 0 divergences, all iterations at the maximum tree depth, E-BFMI 0.793 (</w:t>
      </w:r>
      <w:r>
        <w:rPr>
          <w:rStyle w:val="VerbatimChar"/>
        </w:rPr>
        <w:t xml:space="preserve">output/findings/gp_basin_fit.md</w:t>
      </w:r>
      <w:r>
        <w:t xml:space="preserve">). The spatial share, which does not depend on where along the ridge the length scale sits, is well sampled; the length scale is not. We therefore report the length scale as unresolved, and read the fit as showing no detectable fade in composition across the St. Francis drainage beyond what the surface already carries. Recovery tests on simulated surfaces with known length scales show that this design resolves scales only well below the basin’s extent (</w:t>
      </w:r>
      <w:r>
        <w:rPr>
          <w:rStyle w:val="VerbatimChar"/>
        </w:rPr>
        <w:t xml:space="preserve">analyses/02_spatial/01_recovery.R</w:t>
      </w:r>
      <w:r>
        <w:t xml:space="preserve">,</w:t>
      </w:r>
      <w:r>
        <w:t xml:space="preserve"> </w:t>
      </w:r>
      <w:r>
        <w:rPr>
          <w:rStyle w:val="VerbatimChar"/>
        </w:rPr>
        <w:t xml:space="preserve">analyses/48_length_scale_recovery.py</w:t>
      </w:r>
      <w:r>
        <w:t xml:space="preserve">).</w:t>
      </w:r>
    </w:p>
    <w:p>
      <w:pPr>
        <w:pStyle w:val="BodyText"/>
      </w:pPr>
      <w:r>
        <w:t xml:space="preserve">The model reproduces quantities it was not fitted to. Its predictive interval for the between-cluster</w:t>
      </w:r>
      <w:r>
        <w:t xml:space="preserve"> </w:t>
      </w:r>
      <m:oMath>
        <m:sSub>
          <m:e>
            <m:r>
              <m:t>F</m:t>
            </m:r>
          </m:e>
          <m:sub>
            <m:r>
              <m:t>S</m:t>
            </m:r>
            <m:r>
              <m:t>T</m:t>
            </m:r>
          </m:sub>
        </m:sSub>
      </m:oMath>
      <w:r>
        <w:t xml:space="preserve"> </w:t>
      </w:r>
      <w:r>
        <w:t xml:space="preserve">at three clusters is 0.0128 to 0.0188 (median 0.0157) against an observed 0.0156 (Bayesian predictive p = 0.525). For the fade of similarity with distance it is -0.367 to -0.274 (median -0.321) against -0.341 (p = 0.78), for mean within-assemblage diversity 0.550 to 0.575 against 0.563 (p = 0.57), and for the spread of that diversity 0.096 to 0.122 against 0.112 (p = 0.295). A surface with no groups therefore reproduces the observed differentiation at three clusters, which the copying model does not, as well as the fade with distance and the diversity structure. The shorter-range variation the copying model misses is smooth enough for a surface with no edges to carry it. It describes the pattern rather than a mechanism, so it complements the copying model rather than competing with it.</w:t>
      </w:r>
    </w:p>
    <w:bookmarkStart w:id="122" w:name="Xc35d8cb1554da783494d5fbe4a9b5117e924798"/>
    <w:p>
      <w:pPr>
        <w:pStyle w:val="Heading3"/>
      </w:pPr>
      <w:r>
        <w:t xml:space="preserve">How cultural</w:t>
      </w:r>
      <w:r>
        <w:t xml:space="preserve"> </w:t>
      </w:r>
      <m:oMath>
        <m:sSub>
          <m:e>
            <m:r>
              <m:t>F</m:t>
            </m:r>
          </m:e>
          <m:sub>
            <m:r>
              <m:t>S</m:t>
            </m:r>
            <m:r>
              <m:t>T</m:t>
            </m:r>
          </m:sub>
        </m:sSub>
      </m:oMath>
      <w:r>
        <w:t xml:space="preserve"> </w:t>
      </w:r>
      <w:r>
        <w:t xml:space="preserve">depends on the division</w:t>
      </w:r>
    </w:p>
    <w:p>
      <w:pPr>
        <w:pStyle w:val="FirstParagraph"/>
      </w:pPr>
      <w:r>
        <w:t xml:space="preserve">The between-cluster</w:t>
      </w:r>
      <w:r>
        <w:t xml:space="preserve"> </w:t>
      </w:r>
      <m:oMath>
        <m:sSub>
          <m:e>
            <m:r>
              <m:t>F</m:t>
            </m:r>
          </m:e>
          <m:sub>
            <m:r>
              <m:t>S</m:t>
            </m:r>
            <m:r>
              <m:t>T</m:t>
            </m:r>
          </m:sub>
        </m:sSub>
      </m:oMath>
      <w:r>
        <w:t xml:space="preserve"> </w:t>
      </w:r>
      <w:r>
        <w:t xml:space="preserve">depends on how many clusters the basin is cut into. Fitted with the Balding-Nichols model, its posterior median moves from 0.0062 (95 percent credible interval 0.0051 to 0.0076) at two clusters, through 0.0155 (0.0133 to 0.0180) at three, to 0.0202 (0.0175 to 0.0232) at five and 0.0320 (0.0283 to 0.0362) at six, and the intervals at the two ends do not overlap. It also depends on where the cuts fall. The</w:t>
      </w:r>
      <w:r>
        <w:t xml:space="preserve"> </w:t>
      </w:r>
      <m:oMath>
        <m:r>
          <m:t>k</m:t>
        </m:r>
      </m:oMath>
      <w:r>
        <w:t xml:space="preserve">-means division at two clusters is stable, since twenty seeds return it, and unremarkable, at the 42nd percentile of 150 alternative contiguous divisions into two (median 0.0067), but those alternatives range from 0.0007 to 0.0160 between their 5th and 95th percentiles. A quantity this sensitive to the cutting cannot be read on its own. This is why the main text reports the spatial model alongside any between-cluster value, and why every between-cluster value is compared against the copying model at the same number of clusters.</w:t>
      </w:r>
    </w:p>
    <w:bookmarkEnd w:id="122"/>
    <w:bookmarkEnd w:id="123"/>
    <w:bookmarkStart w:id="124" w:name="the-minimum-sample-size-and-why-it-is-75"/>
    <w:p>
      <w:pPr>
        <w:pStyle w:val="Heading2"/>
      </w:pPr>
      <w:r>
        <w:t xml:space="preserve">The minimum sample size, and why it is 75</w:t>
      </w:r>
    </w:p>
    <w:p>
      <w:pPr>
        <w:pStyle w:val="FirstParagraph"/>
      </w:pPr>
      <w:r>
        <w:t xml:space="preserve">The plug-in</w:t>
      </w:r>
      <w:r>
        <w:t xml:space="preserve"> </w:t>
      </w:r>
      <m:oMath>
        <m:sSub>
          <m:e>
            <m:r>
              <m:t>F</m:t>
            </m:r>
          </m:e>
          <m:sub>
            <m:r>
              <m:t>S</m:t>
            </m:r>
            <m:r>
              <m:t>T</m:t>
            </m:r>
          </m:sub>
        </m:sSub>
      </m:oMath>
      <w:r>
        <w:t xml:space="preserve"> </w:t>
      </w:r>
      <w:r>
        <w:t xml:space="preserve">is biased upward by sampling. Two assemblages drawn from the same population of pots differ because each is a finite sample, and the spurious variance between them scales roughly as one over the sample size. To find the count at which that artifact stops dominating, we drew pairs of multinomial samples of size</w:t>
      </w:r>
      <w:r>
        <w:t xml:space="preserve"> </w:t>
      </w:r>
      <m:oMath>
        <m:r>
          <m:t>n</m:t>
        </m:r>
      </m:oMath>
      <w:r>
        <w:t xml:space="preserve"> </w:t>
      </w:r>
      <w:r>
        <w:t xml:space="preserve">from the basin’s pooled class profile, 4,000 pairs at each size, and computed</w:t>
      </w:r>
      <w:r>
        <w:t xml:space="preserve"> </w:t>
      </w:r>
      <m:oMath>
        <m:sSub>
          <m:e>
            <m:r>
              <m:t>F</m:t>
            </m:r>
          </m:e>
          <m:sub>
            <m:r>
              <m:t>S</m:t>
            </m:r>
            <m:r>
              <m:t>T</m:t>
            </m:r>
          </m:sub>
        </m:sSub>
      </m:oMath>
      <w:r>
        <w:t xml:space="preserve"> </w:t>
      </w:r>
      <w:r>
        <w:t xml:space="preserve">between them. The two share one profile by construction, so all of the</w:t>
      </w:r>
      <w:r>
        <w:t xml:space="preserve"> </w:t>
      </w:r>
      <m:oMath>
        <m:sSub>
          <m:e>
            <m:r>
              <m:t>F</m:t>
            </m:r>
          </m:e>
          <m:sub>
            <m:r>
              <m:t>S</m:t>
            </m:r>
            <m:r>
              <m:t>T</m:t>
            </m:r>
          </m:sub>
        </m:sSub>
      </m:oMath>
      <w:r>
        <w:t xml:space="preserve"> </w:t>
      </w:r>
      <w:r>
        <w:t xml:space="preserve">between them is sampling (</w:t>
      </w:r>
      <w:r>
        <w:rPr>
          <w:rStyle w:val="VerbatimChar"/>
        </w:rPr>
        <w:t xml:space="preserve">analyses/82_minimum_sample_size.py</w:t>
      </w:r>
      <w:r>
        <w:t xml:space="preserve">). The reference is the observed between-cluster</w:t>
      </w:r>
      <w:r>
        <w:t xml:space="preserve"> </w:t>
      </w:r>
      <m:oMath>
        <m:sSub>
          <m:e>
            <m:r>
              <m:t>F</m:t>
            </m:r>
          </m:e>
          <m:sub>
            <m:r>
              <m:t>S</m:t>
            </m:r>
            <m:r>
              <m:t>T</m:t>
            </m:r>
          </m:sub>
        </m:sSub>
      </m:oMath>
      <w:r>
        <w:t xml:space="preserve"> </w:t>
      </w:r>
      <w:r>
        <w:t xml:space="preserve">at five clusters, 0.0206.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decorated sherds per assemblage</w:t>
            </w:r>
          </w:p>
        </w:tc>
        <w:tc>
          <w:tcPr/>
          <w:p>
            <w:pPr>
              <w:pStyle w:val="Compact"/>
            </w:pPr>
            <w:r>
              <w:t xml:space="preserve">spurious</w:t>
            </w:r>
            <w:r>
              <w:t xml:space="preserve"> </w:t>
            </w:r>
            <m:oMath>
              <m:sSub>
                <m:e>
                  <m:r>
                    <m:t>F</m:t>
                  </m:r>
                </m:e>
                <m:sub>
                  <m:r>
                    <m:t>S</m:t>
                  </m:r>
                  <m:r>
                    <m:t>T</m:t>
                  </m:r>
                </m:sub>
              </m:sSub>
            </m:oMath>
            <w:r>
              <w:t xml:space="preserve">, median</w:t>
            </w:r>
          </w:p>
        </w:tc>
        <w:tc>
          <w:tcPr/>
          <w:p>
            <w:pPr>
              <w:pStyle w:val="Compact"/>
            </w:pPr>
            <w:r>
              <w:t xml:space="preserve">95th percentile</w:t>
            </w:r>
          </w:p>
        </w:tc>
        <w:tc>
          <w:tcPr/>
          <w:p>
            <w:pPr>
              <w:pStyle w:val="Compact"/>
            </w:pPr>
            <w:r>
              <w:t xml:space="preserve">median as a share of the observed</w:t>
            </w:r>
          </w:p>
        </w:tc>
      </w:tr>
      <w:tr>
        <w:tc>
          <w:tcPr/>
          <w:p>
            <w:pPr>
              <w:pStyle w:val="Compact"/>
            </w:pPr>
            <w:r>
              <w:t xml:space="preserve">25</w:t>
            </w:r>
          </w:p>
        </w:tc>
        <w:tc>
          <w:tcPr/>
          <w:p>
            <w:pPr>
              <w:pStyle w:val="Compact"/>
            </w:pPr>
            <w:r>
              <w:t xml:space="preserve">0.0146</w:t>
            </w:r>
          </w:p>
        </w:tc>
        <w:tc>
          <w:tcPr/>
          <w:p>
            <w:pPr>
              <w:pStyle w:val="Compact"/>
            </w:pPr>
            <w:r>
              <w:t xml:space="preserve">0.0630</w:t>
            </w:r>
          </w:p>
        </w:tc>
        <w:tc>
          <w:tcPr/>
          <w:p>
            <w:pPr>
              <w:pStyle w:val="Compact"/>
            </w:pPr>
            <w:r>
              <w:t xml:space="preserve">71%</w:t>
            </w:r>
          </w:p>
        </w:tc>
      </w:tr>
      <w:tr>
        <w:tc>
          <w:tcPr/>
          <w:p>
            <w:pPr>
              <w:pStyle w:val="Compact"/>
            </w:pPr>
            <w:r>
              <w:t xml:space="preserve">50</w:t>
            </w:r>
          </w:p>
        </w:tc>
        <w:tc>
          <w:tcPr/>
          <w:p>
            <w:pPr>
              <w:pStyle w:val="Compact"/>
            </w:pPr>
            <w:r>
              <w:t xml:space="preserve">0.0070</w:t>
            </w:r>
          </w:p>
        </w:tc>
        <w:tc>
          <w:tcPr/>
          <w:p>
            <w:pPr>
              <w:pStyle w:val="Compact"/>
            </w:pPr>
            <w:r>
              <w:t xml:space="preserve">0.0305</w:t>
            </w:r>
          </w:p>
        </w:tc>
        <w:tc>
          <w:tcPr/>
          <w:p>
            <w:pPr>
              <w:pStyle w:val="Compact"/>
            </w:pPr>
            <w:r>
              <w:t xml:space="preserve">34%</w:t>
            </w:r>
          </w:p>
        </w:tc>
      </w:tr>
      <w:tr>
        <w:tc>
          <w:tcPr/>
          <w:p>
            <w:pPr>
              <w:pStyle w:val="Compact"/>
            </w:pPr>
            <w:r>
              <w:rPr>
                <w:b/>
                <w:bCs/>
              </w:rPr>
              <w:t xml:space="preserve">75</w:t>
            </w:r>
          </w:p>
        </w:tc>
        <w:tc>
          <w:tcPr/>
          <w:p>
            <w:pPr>
              <w:pStyle w:val="Compact"/>
            </w:pPr>
            <w:r>
              <w:t xml:space="preserve">0.0044</w:t>
            </w:r>
          </w:p>
        </w:tc>
        <w:tc>
          <w:tcPr/>
          <w:p>
            <w:pPr>
              <w:pStyle w:val="Compact"/>
            </w:pPr>
            <w:r>
              <w:t xml:space="preserve">0.0195</w:t>
            </w:r>
          </w:p>
        </w:tc>
        <w:tc>
          <w:tcPr/>
          <w:p>
            <w:pPr>
              <w:pStyle w:val="Compact"/>
            </w:pPr>
            <w:r>
              <w:t xml:space="preserve">22%</w:t>
            </w:r>
          </w:p>
        </w:tc>
      </w:tr>
      <w:tr>
        <w:tc>
          <w:tcPr/>
          <w:p>
            <w:pPr>
              <w:pStyle w:val="Compact"/>
            </w:pPr>
            <w:r>
              <w:t xml:space="preserve">100</w:t>
            </w:r>
          </w:p>
        </w:tc>
        <w:tc>
          <w:tcPr/>
          <w:p>
            <w:pPr>
              <w:pStyle w:val="Compact"/>
            </w:pPr>
            <w:r>
              <w:t xml:space="preserve">0.0034</w:t>
            </w:r>
          </w:p>
        </w:tc>
        <w:tc>
          <w:tcPr/>
          <w:p>
            <w:pPr>
              <w:pStyle w:val="Compact"/>
            </w:pPr>
            <w:r>
              <w:t xml:space="preserve">0.0156</w:t>
            </w:r>
          </w:p>
        </w:tc>
        <w:tc>
          <w:tcPr/>
          <w:p>
            <w:pPr>
              <w:pStyle w:val="Compact"/>
            </w:pPr>
            <w:r>
              <w:t xml:space="preserve">16%</w:t>
            </w:r>
          </w:p>
        </w:tc>
      </w:tr>
      <w:tr>
        <w:tc>
          <w:tcPr/>
          <w:p>
            <w:pPr>
              <w:pStyle w:val="Compact"/>
            </w:pPr>
            <w:r>
              <w:t xml:space="preserve">150</w:t>
            </w:r>
          </w:p>
        </w:tc>
        <w:tc>
          <w:tcPr/>
          <w:p>
            <w:pPr>
              <w:pStyle w:val="Compact"/>
            </w:pPr>
            <w:r>
              <w:t xml:space="preserve">0.0023</w:t>
            </w:r>
          </w:p>
        </w:tc>
        <w:tc>
          <w:tcPr/>
          <w:p>
            <w:pPr>
              <w:pStyle w:val="Compact"/>
            </w:pPr>
            <w:r>
              <w:t xml:space="preserve">0.0105</w:t>
            </w:r>
          </w:p>
        </w:tc>
        <w:tc>
          <w:tcPr/>
          <w:p>
            <w:pPr>
              <w:pStyle w:val="Compact"/>
            </w:pPr>
            <w:r>
              <w:t xml:space="preserve">11%</w:t>
            </w:r>
          </w:p>
        </w:tc>
      </w:tr>
      <w:tr>
        <w:tc>
          <w:tcPr/>
          <w:p>
            <w:pPr>
              <w:pStyle w:val="Compact"/>
            </w:pPr>
            <w:r>
              <w:t xml:space="preserve">200</w:t>
            </w:r>
          </w:p>
        </w:tc>
        <w:tc>
          <w:tcPr/>
          <w:p>
            <w:pPr>
              <w:pStyle w:val="Compact"/>
            </w:pPr>
            <w:r>
              <w:t xml:space="preserve">0.0016</w:t>
            </w:r>
          </w:p>
        </w:tc>
        <w:tc>
          <w:tcPr/>
          <w:p>
            <w:pPr>
              <w:pStyle w:val="Compact"/>
            </w:pPr>
            <w:r>
              <w:t xml:space="preserve">0.0074</w:t>
            </w:r>
          </w:p>
        </w:tc>
        <w:tc>
          <w:tcPr/>
          <w:p>
            <w:pPr>
              <w:pStyle w:val="Compact"/>
            </w:pPr>
            <w:r>
              <w:t xml:space="preserve">8%</w:t>
            </w:r>
          </w:p>
        </w:tc>
      </w:tr>
      <w:tr>
        <w:tc>
          <w:tcPr/>
          <w:p>
            <w:pPr>
              <w:pStyle w:val="Compact"/>
            </w:pPr>
            <w:r>
              <w:t xml:space="preserve">300</w:t>
            </w:r>
          </w:p>
        </w:tc>
        <w:tc>
          <w:tcPr/>
          <w:p>
            <w:pPr>
              <w:pStyle w:val="Compact"/>
            </w:pPr>
            <w:r>
              <w:t xml:space="preserve">0.0011</w:t>
            </w:r>
          </w:p>
        </w:tc>
        <w:tc>
          <w:tcPr/>
          <w:p>
            <w:pPr>
              <w:pStyle w:val="Compact"/>
            </w:pPr>
            <w:r>
              <w:t xml:space="preserve">0.0052</w:t>
            </w:r>
          </w:p>
        </w:tc>
        <w:tc>
          <w:tcPr/>
          <w:p>
            <w:pPr>
              <w:pStyle w:val="Compact"/>
            </w:pPr>
            <w:r>
              <w:t xml:space="preserve">5%</w:t>
            </w:r>
          </w:p>
        </w:tc>
      </w:tr>
      <w:tr>
        <w:tc>
          <w:tcPr/>
          <w:p>
            <w:pPr>
              <w:pStyle w:val="Compact"/>
            </w:pPr>
            <w:r>
              <w:t xml:space="preserve">500</w:t>
            </w:r>
          </w:p>
        </w:tc>
        <w:tc>
          <w:tcPr/>
          <w:p>
            <w:pPr>
              <w:pStyle w:val="Compact"/>
            </w:pPr>
            <w:r>
              <w:t xml:space="preserve">0.0006</w:t>
            </w:r>
          </w:p>
        </w:tc>
        <w:tc>
          <w:tcPr/>
          <w:p>
            <w:pPr>
              <w:pStyle w:val="Compact"/>
            </w:pPr>
            <w:r>
              <w:t xml:space="preserve">0.0030</w:t>
            </w:r>
          </w:p>
        </w:tc>
        <w:tc>
          <w:tcPr/>
          <w:p>
            <w:pPr>
              <w:pStyle w:val="Compact"/>
            </w:pPr>
            <w:r>
              <w:t xml:space="preserve">3%</w:t>
            </w:r>
          </w:p>
        </w:tc>
      </w:tr>
      <w:tr>
        <w:tc>
          <w:tcPr/>
          <w:p>
            <w:pPr>
              <w:pStyle w:val="Compact"/>
            </w:pPr>
            <w:r>
              <w:t xml:space="preserve">1000</w:t>
            </w:r>
          </w:p>
        </w:tc>
        <w:tc>
          <w:tcPr/>
          <w:p>
            <w:pPr>
              <w:pStyle w:val="Compact"/>
            </w:pPr>
            <w:r>
              <w:t xml:space="preserve">0.0003</w:t>
            </w:r>
          </w:p>
        </w:tc>
        <w:tc>
          <w:tcPr/>
          <w:p>
            <w:pPr>
              <w:pStyle w:val="Compact"/>
            </w:pPr>
            <w:r>
              <w:t xml:space="preserve">0.0015</w:t>
            </w:r>
          </w:p>
        </w:tc>
        <w:tc>
          <w:tcPr/>
          <w:p>
            <w:pPr>
              <w:pStyle w:val="Compact"/>
            </w:pPr>
            <w:r>
              <w:t xml:space="preserve">2%</w:t>
            </w:r>
          </w:p>
        </w:tc>
      </w:tr>
    </w:tbl>
    <w:p>
      <w:pPr>
        <w:pStyle w:val="BodyText"/>
      </w:pPr>
      <w:r>
        <w:t xml:space="preserve">At 75 sherds the median artifact is about a fifth of the observed five-cluster differentiation and its 95th percentile (0.0195) lies just below it, whereas at 50 sherds the 95th percentile (0.0305) exceeds it by half. The five-cluster value is the reference because it is the finest division analyzed cluster by cluster (analyses 72 and 85), where clusters hold the fewest sherds and a sampling artifact would matter most. Pooling into clusters shrinks the artifact further: redrawing every assemblage from the pooled profile at its own sherd count gives each five-cluster term at most 0.0003 (the section on the finer-scale differences below). Against the two-cluster value of 0.0062 the artifact is proportionally larger at every sample size, which is why the copying model is always sampled at the real sherd counts: it then carries the same artifact as the data. Above 75 the bias shrinks slowly, by about six percentage points between 75 and 100, while assemblages are lost quickly: a minimum of 100 would remove three more basin assemblages (Davis, Irby, and Grant). The analytic expectation for two equal samples from one profile is close to</w:t>
      </w:r>
      <w:r>
        <w:t xml:space="preserve"> </w:t>
      </w:r>
      <m:oMath>
        <m:r>
          <m:t>1</m:t>
        </m:r>
        <m:r>
          <m:rPr>
            <m:sty m:val="p"/>
          </m:rPr>
          <m:t>/</m:t>
        </m:r>
        <m:r>
          <m:t>n</m:t>
        </m:r>
      </m:oMath>
      <w:r>
        <w:t xml:space="preserve">. Mainfort</w:t>
      </w:r>
      <w:r>
        <w:t xml:space="preserve"> </w:t>
      </w:r>
      <w:r>
        <w:t xml:space="preserve">(2003)</w:t>
      </w:r>
      <w:r>
        <w:t xml:space="preserve"> </w:t>
      </w:r>
      <w:r>
        <w:t xml:space="preserve">kept sites with 800 or more sherds in all; decorated sherds are 13 percent of his table, so his rule corresponds to about 100 decorated sherds. The copying model is sampled at the observed sherd counts and carries the same bias, so the model comparison is not distorted by it. The minimum protects readings of single small clusters, where a value computed on a few dozen sherds would be mostly artifact.</w:t>
      </w:r>
    </w:p>
    <w:bookmarkEnd w:id="124"/>
    <w:bookmarkStart w:id="128" w:name="robustness-checks"/>
    <w:p>
      <w:pPr>
        <w:pStyle w:val="Heading2"/>
      </w:pPr>
      <w:r>
        <w:t xml:space="preserve">Robustness checks</w:t>
      </w:r>
    </w:p>
    <w:p>
      <w:pPr>
        <w:pStyle w:val="FirstParagraph"/>
      </w:pPr>
      <w:r>
        <w:t xml:space="preserve">Several further checks are provided in the supplementary code. Neiman’s</w:t>
      </w:r>
      <w:r>
        <w:t xml:space="preserve"> </w:t>
      </w:r>
      <w:r>
        <w:t xml:space="preserve">(1995)</w:t>
      </w:r>
      <w:r>
        <w:t xml:space="preserve"> </w:t>
      </w:r>
      <w:r>
        <w:t xml:space="preserve">sample-size diagnostic correlates the two neutrality estimates, and their difference, with assemblage size and with position in the sequence, to separate a transmission signal from a sample-size artifact. Neiman’s squared-Euclidean distance between assemblages is computed with its relation to diversity and its trend along the sequence. Measures of clustering tendency on the correspondence-analysis ordination favor a single group: the Hopkins statistic is 0.71, where 0.5 indicates no tendency, the gap statistic favors one cluster, and the best silhouette is 0.54</w:t>
      </w:r>
      <w:r>
        <w:t xml:space="preserve"> </w:t>
      </w:r>
      <w:r>
        <w:t xml:space="preserve">(Hopkins and Skellam 1954; Rousseeuw 1987; Tibshirani et al. 2001)</w:t>
      </w:r>
      <w:r>
        <w:t xml:space="preserve">. The assemblages form a near-continuum rather than sharply bounded groups.</w:t>
      </w:r>
    </w:p>
    <w:p>
      <w:pPr>
        <w:pStyle w:val="BodyText"/>
      </w:pPr>
      <w:r>
        <w:t xml:space="preserve">An earlier sensitivity grid recomputed the raw, unsubsampled trends of the three continuous measures across combinations of a latitude cutoff, the number of periods, and the number of clusters (</w:t>
      </w:r>
      <w:r>
        <w:rPr>
          <w:rStyle w:val="VerbatimChar"/>
        </w:rPr>
        <w:t xml:space="preserve">output/sensitivity_grid.md</w:t>
      </w:r>
      <w:r>
        <w:t xml:space="preserve">). It predates the phase-based definition of the basin and runs on latitude-defined sets of 38, 36, and 17 assemblages, several of its cells duplicate one another, and its raw trends carry the sample-size artifact the recovery experiment removes, so we do not use it. We report it because two of its cells show all three raw trends rising together, and a reader of the code should know why that does not bear on the result.</w:t>
      </w:r>
    </w:p>
    <w:p>
      <w:pPr>
        <w:pStyle w:val="CaptionedFigure"/>
      </w:pPr>
      <w:r>
        <w:drawing>
          <wp:inline>
            <wp:extent cx="5334000" cy="2918988"/>
            <wp:effectExtent b="0" l="0" r="0" t="0"/>
            <wp:docPr descr="Figure S4. Neiman’s distance between assemblages. (A) Within-assemblage diversity against mean distance to the other assemblages, with Parkin starred. The association is negative in direction (posterior median rank correlation -0.14, 95 percent credible interval -0.44 to +0.20, so P(r &lt; 0) = 0.78), the direction of the drift signature Neiman (1995) reported at rho = -0.62 and not the positive relationship that bounded groups would produce. (B) Mean within-period distance along the seriation order, showing no resolved trend (posterior median rank correlation +0.09, 95 percent credible interval -0.53 to +0.63 over six periods)." title="" id="126" name="Picture"/>
            <a:graphic>
              <a:graphicData uri="http://schemas.openxmlformats.org/drawingml/2006/picture">
                <pic:pic>
                  <pic:nvPicPr>
                    <pic:cNvPr descr="../../figures/figS1_neiman.png" id="127" name="Picture"/>
                    <pic:cNvPicPr>
                      <a:picLocks noChangeArrowheads="1" noChangeAspect="1"/>
                    </pic:cNvPicPr>
                  </pic:nvPicPr>
                  <pic:blipFill>
                    <a:blip r:embed="rId125"/>
                    <a:stretch>
                      <a:fillRect/>
                    </a:stretch>
                  </pic:blipFill>
                  <pic:spPr bwMode="auto">
                    <a:xfrm>
                      <a:off x="0" y="0"/>
                      <a:ext cx="5334000" cy="291898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Neiman’s distance between assemblages. (A) Within-assemblage diversity against mean distance to the other assemblages, with Parkin starred. The association is negative in direction (posterior median rank correlation -0.14, 95 percent credible interval -0.44 to +0.20, so P(r &lt; 0) = 0.78), the direction of the drift signature Neiman (1995) reported at rho = -0.62 and not the positive relationship that bounded groups would produce. (B) Mean within-period distance along the seriation order, showing no resolved trend (posterior median rank correlation +0.09, 95 percent credible interval -0.53 to +0.63 over six periods).</w:t>
      </w:r>
    </w:p>
    <w:bookmarkEnd w:id="128"/>
    <w:bookmarkStart w:id="129" w:name="why-only-cultural-f_st-survives"/>
    <w:p>
      <w:pPr>
        <w:pStyle w:val="Heading2"/>
      </w:pPr>
      <w:r>
        <w:t xml:space="preserve">Why only cultural</w:t>
      </w:r>
      <w:r>
        <w:t xml:space="preserve"> </w:t>
      </w:r>
      <m:oMath>
        <m:sSub>
          <m:e>
            <m:r>
              <m:t>F</m:t>
            </m:r>
          </m:e>
          <m:sub>
            <m:r>
              <m:t>S</m:t>
            </m:r>
            <m:r>
              <m:t>T</m:t>
            </m:r>
          </m:sub>
        </m:sSub>
      </m:oMath>
      <w:r>
        <w:t xml:space="preserve"> </w:t>
      </w:r>
      <w:r>
        <w:t xml:space="preserve">survives</w:t>
      </w:r>
    </w:p>
    <w:p>
      <w:pPr>
        <w:pStyle w:val="FirstParagraph"/>
      </w:pPr>
      <w:r>
        <w:t xml:space="preserve">The recovery experiment imposes closure as divergence between clusters, which is what cultural</w:t>
      </w:r>
      <w:r>
        <w:t xml:space="preserve"> </w:t>
      </w:r>
      <m:oMath>
        <m:sSub>
          <m:e>
            <m:r>
              <m:t>F</m:t>
            </m:r>
          </m:e>
          <m:sub>
            <m:r>
              <m:t>S</m:t>
            </m:r>
            <m:r>
              <m:t>T</m:t>
            </m:r>
          </m:sub>
        </m:sSub>
      </m:oMath>
      <w:r>
        <w:t xml:space="preserve"> </w:t>
      </w:r>
      <w:r>
        <w:t xml:space="preserve">measures, so it might only certify an</w:t>
      </w:r>
      <w:r>
        <w:t xml:space="preserve"> </w:t>
      </w:r>
      <m:oMath>
        <m:sSub>
          <m:e>
            <m:r>
              <m:t>F</m:t>
            </m:r>
          </m:e>
          <m:sub>
            <m:r>
              <m:t>S</m:t>
            </m:r>
            <m:r>
              <m:t>T</m:t>
            </m:r>
          </m:sub>
        </m:sSub>
      </m:oMath>
      <w:r>
        <w:t xml:space="preserve"> </w:t>
      </w:r>
      <w:r>
        <w:t xml:space="preserve">test finding an</w:t>
      </w:r>
      <w:r>
        <w:t xml:space="preserve"> </w:t>
      </w:r>
      <m:oMath>
        <m:sSub>
          <m:e>
            <m:r>
              <m:t>F</m:t>
            </m:r>
          </m:e>
          <m:sub>
            <m:r>
              <m:t>S</m:t>
            </m:r>
            <m:r>
              <m:t>T</m:t>
            </m:r>
          </m:sub>
        </m:sSub>
      </m:oMath>
      <w:r>
        <w:t xml:space="preserve">-shaped pattern. We tested this by imposing closure through two further routes, each matched to a different measure, and asking which measure recovers each (</w:t>
      </w:r>
      <w:r>
        <w:rPr>
          <w:rStyle w:val="VerbatimChar"/>
        </w:rPr>
        <w:t xml:space="preserve">analyses/22_generator_diagnostic.py</w:t>
      </w:r>
      <w:r>
        <w:t xml:space="preserve">, 60 seeds, the real configuration of 28 assemblages, two clusters, six periods, subsampled to 50). One route raises conformity in a single undivided pool, which the neutral departure is designed to detect. The other groups assemblages into social groups scrambled relative to the spatial clusters, which seriation structure is designed to detect.</w:t>
      </w:r>
    </w:p>
    <w:p>
      <w:pPr>
        <w:pStyle w:val="BodyText"/>
      </w:pPr>
      <w:r>
        <w:t xml:space="preserve">Neither route is recovered by the measure designed for it. Under conformity in one pool, the neutral departure falls rather than rises (its mean trend moves by -0.73 between no closure and strong closure) and no other measure responds. Under the scrambled social groups, the seriation measure barely moves (-0.21).</w:t>
      </w:r>
      <w:r>
        <w:t xml:space="preserve"> </w:t>
      </w:r>
      <m:oMath>
        <m:sSub>
          <m:e>
            <m:r>
              <m:t>F</m:t>
            </m:r>
          </m:e>
          <m:sub>
            <m:r>
              <m:t>S</m:t>
            </m:r>
            <m:r>
              <m:t>T</m:t>
            </m:r>
          </m:sub>
        </m:sSub>
      </m:oMath>
      <w:r>
        <w:t xml:space="preserve">, by contrast, responds to group structure however it is organized: its mean trend rises from +0.01 to +0.96 under spatial divergence and from +0.07 to +0.77 under the scrambled social groups, because both raise between-group variance somewhere the division can see it. Subsampling more deeply, to 100 or 150 sherds, does not rescue the other measures. The reduction to</w:t>
      </w:r>
      <w:r>
        <w:t xml:space="preserve"> </w:t>
      </w:r>
      <m:oMath>
        <m:sSub>
          <m:e>
            <m:r>
              <m:t>F</m:t>
            </m:r>
          </m:e>
          <m:sub>
            <m:r>
              <m:t>S</m:t>
            </m:r>
            <m:r>
              <m:t>T</m:t>
            </m:r>
          </m:sub>
        </m:sSub>
      </m:oMath>
      <w:r>
        <w:t xml:space="preserve"> </w:t>
      </w:r>
      <w:r>
        <w:t xml:space="preserve">is therefore a property of the record, 28 time-averaged assemblages over ten aggregated classes, rather than of the way closure was imposed. It also sets a limit stated in the main text: closure carried purely by conformity, or by social groups that do not follow the spatial clusters, would escape detection here at any strength.</w:t>
      </w:r>
    </w:p>
    <w:bookmarkEnd w:id="129"/>
    <w:bookmarkStart w:id="133" w:name="the-basin-comparison-in-detail"/>
    <w:p>
      <w:pPr>
        <w:pStyle w:val="Heading2"/>
      </w:pPr>
      <w:r>
        <w:t xml:space="preserve">The basin comparison in detail</w:t>
      </w:r>
    </w:p>
    <w:p>
      <w:pPr>
        <w:pStyle w:val="FirstParagraph"/>
      </w:pPr>
      <w:r>
        <w:t xml:space="preserve">We simulated neutral copying and a bounded-groups variant on the real layout of the 28 assemblages, using the model and calibration described in the next section. The calibration is itself informative. Under uniform innovation, in which the ten classes are interchangeable, one of the 297 parameter combinations (120 learners, innovation 0.0002, mixing 0.4) falls within the 10 percent tolerance on both the six-run screen and the fifty-run check. It sits at the corner of the grid, at the highest mixing rate swept, and its within-assemblage and pooled diversities of 0.62 and 0.65, against 0.56 and 0.59 observed, are close to the tolerance limit, so we report it without treating it as a robust calibration. Under pooled-profile innovation, 50 combinations match on the screen and 45 on the check, spanning populations of 120, 2,000 and 10,000 learners and low rates of innovation and mixing (Table S3). None of the 45 reaches the observed between-cluster</w:t>
      </w:r>
      <w:r>
        <w:t xml:space="preserve"> </w:t>
      </w:r>
      <m:oMath>
        <m:sSub>
          <m:e>
            <m:r>
              <m:t>F</m:t>
            </m:r>
          </m:e>
          <m:sub>
            <m:r>
              <m:t>S</m:t>
            </m:r>
            <m:r>
              <m:t>T</m:t>
            </m:r>
          </m:sub>
        </m:sSub>
      </m:oMath>
      <w:r>
        <w:t xml:space="preserve"> </w:t>
      </w:r>
      <w:r>
        <w:t xml:space="preserve">at its median; the highest fifty-run median is 0.0027 against 0.0062 observed, and 19 of the 45 include the observation within their 95 percent ranges.</w:t>
      </w:r>
    </w:p>
    <w:p>
      <w:pPr>
        <w:pStyle w:val="BodyText"/>
      </w:pPr>
      <w:r>
        <w:t xml:space="preserve">At the matched combination most favorable to the model (2,000 learners, innovation 0.001, mixing 0.02, interaction length 24 km along the rivers), the observed between-cluster</w:t>
      </w:r>
      <w:r>
        <w:t xml:space="preserve"> </w:t>
      </w:r>
      <m:oMath>
        <m:sSub>
          <m:e>
            <m:r>
              <m:t>F</m:t>
            </m:r>
          </m:e>
          <m:sub>
            <m:r>
              <m:t>S</m:t>
            </m:r>
            <m:r>
              <m:t>T</m:t>
            </m:r>
          </m:sub>
        </m:sSub>
      </m:oMath>
      <w:r>
        <w:t xml:space="preserve"> </w:t>
      </w:r>
      <w:r>
        <w:t xml:space="preserve">of 0.0062 at two clusters lies inside the simulated range of 0.0002 to 0.0113 (median 0.0023, 500 runs). Sixteen percent of simulated datasets reach it in seriation order, 14 percent in reverse order, and 21 percent when assemblages are treated as contemporaneous. The model returns a single community in 464 of 500 runs sampled through time. Where it returns two or more, the difference between communities has a median of 0.012 (95 percent range 0.007 to 0.024) against an observed 0.039, which none of those 36 runs reaches, and modularity is near zero in every run (95 percent range up to 0.005) against an observed 0.045. The fade of similarity with distance lies inside the model’s range (observed rank correlation -0.20; simulated median -0.18, range -0.53 to +0.04). The boundary excess of the spatial clusters is +13.7 in the data, outside the model’s range (-6.4 to +8.6) and the bounded-groups range at a copying factor of 0.03 and interaction length 24 km (+0.1 to +12.4), though not at 12 km (-8.5 to +16.8). Weakening copying across the two clusters has a visible effect at this mixing rate only at its strongest: at a copying factor of 0.03 the median</w:t>
      </w:r>
      <w:r>
        <w:t xml:space="preserve"> </w:t>
      </w:r>
      <m:oMath>
        <m:sSub>
          <m:e>
            <m:r>
              <m:t>F</m:t>
            </m:r>
          </m:e>
          <m:sub>
            <m:r>
              <m:t>S</m:t>
            </m:r>
            <m:r>
              <m:t>T</m:t>
            </m:r>
          </m:sub>
        </m:sSub>
      </m:oMath>
      <w:r>
        <w:t xml:space="preserve"> </w:t>
      </w:r>
      <w:r>
        <w:t xml:space="preserve">is 0.0080 at 24 km and 0.0064 at 12 km, reaching the observation in about half of 30 runs, against medians of 0.0023 and 0.0047 with no boundary; factors of 0.5 and 0.1 give medians of 0.0022 to 0.0071 (Table S4, Figure S5). New variants in this model come from the regional pooled profile, a source no boundary interrupts; the section on the phases as groups below gives the boundary model local innovation as well.</w:t>
      </w:r>
    </w:p>
    <w:p>
      <w:pPr>
        <w:pStyle w:val="CaptionedFigure"/>
      </w:pPr>
      <w:r>
        <w:drawing>
          <wp:inline>
            <wp:extent cx="5334000" cy="4112706"/>
            <wp:effectExtent b="0" l="0" r="0" t="0"/>
            <wp:docPr descr="Figure S5. Neutral copying and bounded groups on the basin’s geography, at the calibrated combination. (A to D) The observed fade of similarity with distance, modularity, boundary excess of the spatial clusters, and between-cluster cultural F_{ST} (vertical lines) against the distributions produced by the neutral copying model (dark, 500 runs) and the bounded-groups model at a copying factor of 0.03 (light, 30 runs), both time-averaged and subsampled to the observed counts. The model reproduces the fade with distance and the between-cluster F_{ST} at two clusters; the observed boundary excess and modularity (0.045) lie above both models. (E to G) Multidimensional scaling of decorated dissimilarity for the observed assemblages (Parkin starred) and one run of each model." title="" id="131" name="Picture"/>
            <a:graphic>
              <a:graphicData uri="http://schemas.openxmlformats.org/drawingml/2006/picture">
                <pic:pic>
                  <pic:nvPicPr>
                    <pic:cNvPr descr="../../figures/figS2_drift_vs_groups.png" id="132" name="Picture"/>
                    <pic:cNvPicPr>
                      <a:picLocks noChangeArrowheads="1" noChangeAspect="1"/>
                    </pic:cNvPicPr>
                  </pic:nvPicPr>
                  <pic:blipFill>
                    <a:blip r:embed="rId130"/>
                    <a:stretch>
                      <a:fillRect/>
                    </a:stretch>
                  </pic:blipFill>
                  <pic:spPr bwMode="auto">
                    <a:xfrm>
                      <a:off x="0" y="0"/>
                      <a:ext cx="5334000" cy="411270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Neutral copying and bounded groups on the basin’s geography, at the calibrated combination. (A to D) The observed fade of similarity with distance, modularity, boundary excess of the spatial clusters, and between-cluster cultural</w:t>
      </w:r>
      <w:r>
        <w:t xml:space="preserve"> </w:t>
      </w:r>
      <m:oMath>
        <m:sSub>
          <m:e>
            <m:r>
              <m:t>F</m:t>
            </m:r>
          </m:e>
          <m:sub>
            <m:r>
              <m:t>S</m:t>
            </m:r>
            <m:r>
              <m:t>T</m:t>
            </m:r>
          </m:sub>
        </m:sSub>
      </m:oMath>
      <w:r>
        <w:t xml:space="preserve"> </w:t>
      </w:r>
      <w:r>
        <w:t xml:space="preserve">(vertical lines) against the distributions produced by the neutral copying model (dark, 500 runs) and the bounded-groups model at a copying factor of 0.03 (light, 30 runs), both time-averaged and subsampled to the observed counts. The model reproduces the fade with distance and the between-cluster</w:t>
      </w:r>
      <w:r>
        <w:t xml:space="preserve"> </w:t>
      </w:r>
      <m:oMath>
        <m:sSub>
          <m:e>
            <m:r>
              <m:t>F</m:t>
            </m:r>
          </m:e>
          <m:sub>
            <m:r>
              <m:t>S</m:t>
            </m:r>
            <m:r>
              <m:t>T</m:t>
            </m:r>
          </m:sub>
        </m:sSub>
      </m:oMath>
      <w:r>
        <w:t xml:space="preserve"> </w:t>
      </w:r>
      <w:r>
        <w:t xml:space="preserve">at two clusters; the observed boundary excess and modularity (0.045) lie above both models. (E to G) Multidimensional scaling of decorated dissimilarity for the observed assemblages (Parkin starred) and one run of each model.</w:t>
      </w:r>
    </w:p>
    <w:p>
      <w:pPr>
        <w:pStyle w:val="BodyText"/>
      </w:pPr>
      <w:r>
        <w:rPr>
          <w:b/>
          <w:bCs/>
        </w:rPr>
        <w:t xml:space="preserve">Table S3.</w:t>
      </w:r>
      <w:r>
        <w:t xml:space="preserve"> </w:t>
      </w:r>
      <w:r>
        <w:t xml:space="preserve">Calibration of the two innovation models to the within-assemblage summaries of the St. Francis basin assemblages. The corresponding southeast-Missouri calibration is described in the final section. The selected combination is the one, among those still matched on the fifty-run check, with the highest fifty-run median between-cluster</w:t>
      </w:r>
      <w:r>
        <w:t xml:space="preserve"> </w:t>
      </w:r>
      <m:oMath>
        <m:sSub>
          <m:e>
            <m:r>
              <m:t>F</m:t>
            </m:r>
          </m:e>
          <m:sub>
            <m:r>
              <m:t>S</m:t>
            </m:r>
            <m:r>
              <m:t>T</m:t>
            </m:r>
          </m:sub>
        </m:sSub>
      </m:oMath>
      <w:r>
        <w:t xml:space="preserve">. Achieved values are medians over the 500 baseline runs.</w:t>
      </w:r>
    </w:p>
    <w:tbl>
      <w:tblPr>
        <w:tblStyle w:val="Table"/>
        <w:tblW w:type="pct" w:w="5000"/>
        <w:tblLayout w:type="fixed"/>
        <w:tblLook w:firstRow="1" w:lastRow="0" w:firstColumn="0" w:lastColumn="0" w:noHBand="0" w:noVBand="0" w:val="0020"/>
      </w:tblPr>
      <w:tblGrid>
        <w:gridCol w:w="1250"/>
        <w:gridCol w:w="1250"/>
        <w:gridCol w:w="1667"/>
        <w:gridCol w:w="1250"/>
        <w:gridCol w:w="1250"/>
        <w:gridCol w:w="1250"/>
      </w:tblGrid>
      <w:tr>
        <w:trPr>
          <w:tblHeader w:val="on"/>
        </w:trPr>
        <w:tc>
          <w:tcPr/>
          <w:p>
            <w:pPr>
              <w:pStyle w:val="Compact"/>
            </w:pPr>
            <w:r>
              <w:t xml:space="preserve">Set</w:t>
            </w:r>
          </w:p>
        </w:tc>
        <w:tc>
          <w:tcPr/>
          <w:p>
            <w:pPr>
              <w:pStyle w:val="Compact"/>
            </w:pPr>
            <w:r>
              <w:t xml:space="preserve">Innovation model</w:t>
            </w:r>
          </w:p>
        </w:tc>
        <w:tc>
          <w:tcPr/>
          <w:p>
            <w:pPr>
              <w:pStyle w:val="Compact"/>
              <w:jc w:val="right"/>
            </w:pPr>
            <w:r>
              <w:t xml:space="preserve">Matched cells (of 297; six-seed screen / fifty-seed re-check)</w:t>
            </w:r>
          </w:p>
        </w:tc>
        <w:tc>
          <w:tcPr/>
          <w:p>
            <w:pPr>
              <w:pStyle w:val="Compact"/>
            </w:pPr>
            <w:r>
              <w:t xml:space="preserve">Selected N, innovation, mixing</w:t>
            </w:r>
          </w:p>
        </w:tc>
        <w:tc>
          <w:tcPr/>
          <w:p>
            <w:pPr>
              <w:pStyle w:val="Compact"/>
            </w:pPr>
            <w:r>
              <w:t xml:space="preserve">Observed H_S / richness / H_T</w:t>
            </w:r>
          </w:p>
        </w:tc>
        <w:tc>
          <w:tcPr/>
          <w:p>
            <w:pPr>
              <w:pStyle w:val="Compact"/>
            </w:pPr>
            <w:r>
              <w:t xml:space="preserve">Achieved H_S / richness / H_T</w:t>
            </w:r>
          </w:p>
        </w:tc>
      </w:tr>
      <w:tr>
        <w:tc>
          <w:tcPr/>
          <w:p>
            <w:pPr>
              <w:pStyle w:val="Compact"/>
            </w:pPr>
            <w:r>
              <w:t xml:space="preserve">St. Francis basin</w:t>
            </w:r>
          </w:p>
        </w:tc>
        <w:tc>
          <w:tcPr/>
          <w:p>
            <w:pPr>
              <w:pStyle w:val="Compact"/>
            </w:pPr>
            <w:r>
              <w:t xml:space="preserve">pooled profile</w:t>
            </w:r>
          </w:p>
        </w:tc>
        <w:tc>
          <w:tcPr/>
          <w:p>
            <w:pPr>
              <w:pStyle w:val="Compact"/>
              <w:jc w:val="right"/>
            </w:pPr>
            <w:r>
              <w:t xml:space="preserve">50 / 45</w:t>
            </w:r>
          </w:p>
        </w:tc>
        <w:tc>
          <w:tcPr/>
          <w:p>
            <w:pPr>
              <w:pStyle w:val="Compact"/>
            </w:pPr>
            <w:r>
              <w:t xml:space="preserve">2,000, 0.001, 0.02</w:t>
            </w:r>
          </w:p>
        </w:tc>
        <w:tc>
          <w:tcPr/>
          <w:p>
            <w:pPr>
              <w:pStyle w:val="Compact"/>
            </w:pPr>
            <w:r>
              <w:t xml:space="preserve">0.563 / 6.25 / 0.592</w:t>
            </w:r>
          </w:p>
        </w:tc>
        <w:tc>
          <w:tcPr/>
          <w:p>
            <w:pPr>
              <w:pStyle w:val="Compact"/>
            </w:pPr>
            <w:r>
              <w:t xml:space="preserve">0.577 / 6.04 / 0.588</w:t>
            </w:r>
          </w:p>
        </w:tc>
      </w:tr>
      <w:tr>
        <w:tc>
          <w:tcPr/>
          <w:p>
            <w:pPr>
              <w:pStyle w:val="Compact"/>
            </w:pPr>
            <w:r>
              <w:t xml:space="preserve">St. Francis basin</w:t>
            </w:r>
          </w:p>
        </w:tc>
        <w:tc>
          <w:tcPr/>
          <w:p>
            <w:pPr>
              <w:pStyle w:val="Compact"/>
            </w:pPr>
            <w:r>
              <w:t xml:space="preserve">uniform</w:t>
            </w:r>
          </w:p>
        </w:tc>
        <w:tc>
          <w:tcPr/>
          <w:p>
            <w:pPr>
              <w:pStyle w:val="Compact"/>
              <w:jc w:val="right"/>
            </w:pPr>
            <w:r>
              <w:t xml:space="preserve">1 / 1</w:t>
            </w:r>
          </w:p>
        </w:tc>
        <w:tc>
          <w:tcPr/>
          <w:p>
            <w:pPr>
              <w:pStyle w:val="Compact"/>
            </w:pPr>
            <w:r>
              <w:t xml:space="preserve">120, 0.0002, 0.4</w:t>
            </w:r>
          </w:p>
        </w:tc>
        <w:tc>
          <w:tcPr/>
          <w:p>
            <w:pPr>
              <w:pStyle w:val="Compact"/>
            </w:pPr>
            <w:r>
              <w:t xml:space="preserve">0.563 / 6.25 / 0.592</w:t>
            </w:r>
          </w:p>
        </w:tc>
        <w:tc>
          <w:tcPr/>
          <w:p>
            <w:pPr>
              <w:pStyle w:val="Compact"/>
            </w:pPr>
            <w:r>
              <w:t xml:space="preserve">0.616 / 5.96 / 0.648</w:t>
            </w:r>
          </w:p>
        </w:tc>
      </w:tr>
    </w:tbl>
    <w:bookmarkEnd w:id="133"/>
    <w:bookmarkStart w:id="137" w:name="Xadbb3fee6170dc82f82218c8d6b92e90e708aca"/>
    <w:p>
      <w:pPr>
        <w:pStyle w:val="Heading2"/>
      </w:pPr>
      <w:r>
        <w:t xml:space="preserve">The neutral copying model and its calibration</w:t>
      </w:r>
    </w:p>
    <w:p>
      <w:pPr>
        <w:pStyle w:val="FirstParagraph"/>
      </w:pPr>
      <w:r>
        <w:t xml:space="preserve">The comparison uses one finite-population network model of decorated-class transmission, run on the real geography of the 28 assemblages. Each assemblage location is a node holding a population of learners. Each generation, a learner copies the class of another learner, drawn from its own node with probability</w:t>
      </w:r>
      <w:r>
        <w:t xml:space="preserve"> </w:t>
      </w:r>
      <m:oMath>
        <m:r>
          <m:t>1</m:t>
        </m:r>
        <m:r>
          <m:rPr>
            <m:sty m:val="p"/>
          </m:rPr>
          <m:t>−</m:t>
        </m:r>
        <m:r>
          <m:t>m</m:t>
        </m:r>
      </m:oMath>
      <w:r>
        <w:t xml:space="preserve"> </w:t>
      </w:r>
      <w:r>
        <w:t xml:space="preserve">and from another node with probability</w:t>
      </w:r>
      <w:r>
        <w:t xml:space="preserve"> </w:t>
      </w:r>
      <m:oMath>
        <m:r>
          <m:t>m</m:t>
        </m:r>
      </m:oMath>
      <w:r>
        <w:t xml:space="preserve">, the other node chosen with a weight that falls off exponentially with distance along the rivers at length scale</w:t>
      </w:r>
      <w:r>
        <w:t xml:space="preserve"> </w:t>
      </w:r>
      <m:oMath>
        <m:r>
          <m:t>L</m:t>
        </m:r>
      </m:oMath>
      <w:r>
        <w:t xml:space="preserve">. With probability</w:t>
      </w:r>
      <w:r>
        <w:t xml:space="preserve"> </w:t>
      </w:r>
      <m:oMath>
        <m:r>
          <m:t>μ</m:t>
        </m:r>
      </m:oMath>
      <w:r>
        <w:t xml:space="preserve"> </w:t>
      </w:r>
      <w:r>
        <w:t xml:space="preserve">the learner instead adopts a class by innovation. The model tracks class frequencies rather than individual learners: next-generation frequencies at each node are a multinomial draw of</w:t>
      </w:r>
      <w:r>
        <w:t xml:space="preserve"> </w:t>
      </w:r>
      <m:oMath>
        <m:r>
          <m:t>N</m:t>
        </m:r>
      </m:oMath>
      <w:r>
        <w:t xml:space="preserve"> </w:t>
      </w:r>
      <w:r>
        <w:t xml:space="preserve">learners from the copying-plus-innovation probabilities, which is equivalent to independent learner-by-learner copying. The repertoire is fixed at the ten measured classes. The bounded-groups variant multiplies every copying weight that crosses a specified division by a factor</w:t>
      </w:r>
      <w:r>
        <w:t xml:space="preserve"> </w:t>
      </w:r>
      <m:oMath>
        <m:r>
          <m:t>ℓ</m:t>
        </m:r>
      </m:oMath>
      <w:r>
        <w:t xml:space="preserve"> </w:t>
      </w:r>
      <w:r>
        <w:t xml:space="preserve">before normalizing;</w:t>
      </w:r>
      <w:r>
        <w:t xml:space="preserve"> </w:t>
      </w:r>
      <m:oMath>
        <m:r>
          <m:t>ℓ</m:t>
        </m:r>
        <m:r>
          <m:rPr>
            <m:sty m:val="p"/>
          </m:rPr>
          <m:t>=</m:t>
        </m:r>
        <m:r>
          <m:t>1</m:t>
        </m:r>
      </m:oMath>
      <w:r>
        <w:t xml:space="preserve"> </w:t>
      </w:r>
      <w:r>
        <w:t xml:space="preserve">is copying by distance alone, and 0.5, 0.1, and 0.03 impose progressively stronger boundaries on the basin’s spatial clusters. Each run discards 1,200 burn-in generations and records 90 evenly spaced samples over 1,800 further generations.</w:t>
      </w:r>
    </w:p>
    <w:p>
      <w:pPr>
        <w:pStyle w:val="BodyText"/>
      </w:pPr>
      <w:r>
        <w:t xml:space="preserve">Innovation requires a choice about what an archaeological class is. Under uniform innovation, the standard K-allele model, an innovating learner adopts any class with equal probability, treating the classes as interchangeable. Under pooled-profile innovation, an innovating learner adopts each class in proportion to its share of the region’s pooled counts, reflecting that the culture-history types lump unequal numbers of underlying decorative variants. The pooled profile carries no information about any division, so it does not build the tested boundary into the model, and neither version introduces a copying bias.</w:t>
      </w:r>
    </w:p>
    <w:p>
      <w:pPr>
        <w:pStyle w:val="BodyText"/>
      </w:pPr>
      <w:r>
        <w:t xml:space="preserve">Between-group predictions depend on population size, mixing, and innovation together, so the model is calibrated before any between-group comparison. The calibration uses three within-assemblage summaries that do not involve the tested division: mean within-assemblage Gini-Simpson diversity, mean number of classes present at the observed sherd counts, and Gini-Simpson diversity of the pooled counts. A grid of population size (120, 2,000, and 10,000 learners), innovation rate (0.0002 to 0.2), and mixing rate (0.001 to 0.4) is screened at six runs per combination, with the same sampling through time applied to the data, and a combination is matched when all three simulated summaries fall within 10 percent of the observed values. Every matched combination is then rerun fifty times with fresh seeds and the match rechecked, and the baseline is the combination, among those still matched, with the highest fifty-run median between-cluster</w:t>
      </w:r>
      <w:r>
        <w:t xml:space="preserve"> </w:t>
      </w:r>
      <m:oMath>
        <m:sSub>
          <m:e>
            <m:r>
              <m:t>F</m:t>
            </m:r>
          </m:e>
          <m:sub>
            <m:r>
              <m:t>S</m:t>
            </m:r>
            <m:r>
              <m:t>T</m:t>
            </m:r>
          </m:sub>
        </m:sSub>
      </m:oMath>
      <w:r>
        <w:t xml:space="preserve">, so the comparison is as favorable to the model as the grid allows. The second stage exists because the highest of about fifty six-run medians is mostly sampling noise: in the current series the six-run winner’s six-run median (0.0053) is twice its fifty-run median (0.0027), and an independent fifty-seed check with fresh seeds gives 0.0025 (</w:t>
      </w:r>
      <w:r>
        <w:rPr>
          <w:rStyle w:val="VerbatimChar"/>
        </w:rPr>
        <w:t xml:space="preserve">output/findings/calibration_stability.md</w:t>
      </w:r>
      <w:r>
        <w:t xml:space="preserve">). Even at fifty runs the ranking of the leading combinations is not sharp: the independent check agrees with the six-run ranking at a rank correlation of 0.71, and its first-ranked combination (2,000 learners, innovation 0.001, mixing 0.01) failed the fifty-run diversity confirmation in the calibration itself. We therefore repeat the key comparisons at the six most favorable confirmed combinations, and at that unconfirmed one (Table S6). If no combination survived the check, the matched combination with the highest fifty-run median would be used and flagged. The baseline is then run 500 times, the boundary factors 30 times each at interaction lengths of 12 and 24 km, and seven sensitivity cases (burn-in doubled, a single-class starting state with and without burn-in, and innovation and mixing halved and doubled) 50 times each. In the baseline runs of this analysis, the share of simulated datasets reaching the observed value is reported as</w:t>
      </w:r>
      <w:r>
        <w:t xml:space="preserve"> </w:t>
      </w:r>
      <m:oMath>
        <m:r>
          <m:rPr>
            <m:sty m:val="p"/>
          </m:rPr>
          <m:t>(</m:t>
        </m:r>
        <m:r>
          <m:t>e</m:t>
        </m:r>
        <m:r>
          <m:rPr>
            <m:sty m:val="p"/>
          </m:rPr>
          <m:t>+</m:t>
        </m:r>
        <m:r>
          <m:t>1</m:t>
        </m:r>
        <m:r>
          <m:rPr>
            <m:sty m:val="p"/>
          </m:rPr>
          <m:t>)</m:t>
        </m:r>
        <m:r>
          <m:rPr>
            <m:sty m:val="p"/>
          </m:rPr>
          <m:t>/</m:t>
        </m:r>
        <m:r>
          <m:rPr>
            <m:sty m:val="p"/>
          </m:rPr>
          <m:t>(</m:t>
        </m:r>
        <m:r>
          <m:t>R</m:t>
        </m:r>
        <m:r>
          <m:rPr>
            <m:sty m:val="p"/>
          </m:rPr>
          <m:t>+</m:t>
        </m:r>
        <m:r>
          <m:t>1</m:t>
        </m:r>
        <m:r>
          <m:rPr>
            <m:sty m:val="p"/>
          </m:rPr>
          <m:t>)</m:t>
        </m:r>
      </m:oMath>
      <w:r>
        <w:t xml:space="preserve">, where</w:t>
      </w:r>
      <w:r>
        <w:t xml:space="preserve"> </w:t>
      </w:r>
      <m:oMath>
        <m:r>
          <m:t>e</m:t>
        </m:r>
      </m:oMath>
      <w:r>
        <w:t xml:space="preserve"> </w:t>
      </w:r>
      <w:r>
        <w:t xml:space="preserve">is the number of runs at or above the observed statistic and</w:t>
      </w:r>
      <w:r>
        <w:t xml:space="preserve"> </w:t>
      </w:r>
      <m:oMath>
        <m:r>
          <m:t>R</m:t>
        </m:r>
      </m:oMath>
      <w:r>
        <w:t xml:space="preserve"> </w:t>
      </w:r>
      <w:r>
        <w:t xml:space="preserve">the number of runs; the scale sweep, cell-sensitivity, phases-as-groups and power tables report the plain share</w:t>
      </w:r>
      <w:r>
        <w:t xml:space="preserve"> </w:t>
      </w:r>
      <m:oMath>
        <m:r>
          <m:t>e</m:t>
        </m:r>
        <m:r>
          <m:rPr>
            <m:sty m:val="p"/>
          </m:rPr>
          <m:t>/</m:t>
        </m:r>
        <m:r>
          <m:t>R</m:t>
        </m:r>
      </m:oMath>
      <w:r>
        <w:t xml:space="preserve">. Every run is cached against a fingerprint of the configuration, inputs, source code, and package versions, and rebuilt when any of them changes.</w:t>
      </w:r>
    </w:p>
    <w:p>
      <w:pPr>
        <w:pStyle w:val="BodyText"/>
      </w:pPr>
      <w:r>
        <w:t xml:space="preserve">Copying distance is measured along the rivers because interaction in this settlement system plausibly followed watercourses, and because that choice is the one more favorable to the model. We build a graph from the mapped hydrography (LMVHydrology centerlines clipped to the basin with a 25 km margin), join vertices within 250 m of one another, keep the largest connected piece, and attach each assemblage to its nearest node, adding the attachment distance at both ends. All 28 assemblages connect, and the mean distance from an assemblage to a mapped channel is 2.77 km. Paths along the rivers are longer than straight lines by a mean ratio of 3.7 and a median of 2.9 per pair; the mean is pulled up by pairs that are close in a straight line but must route around a meander. The pottery does not follow the rivers more closely than it follows straight lines. Decorated-class distance between assemblages correlates with straight-line distance at 0.36 and with river distance at 0.24, and once straight-line distance is held fixed, river distance adds nothing (-0.02). Between assemblages in different phases, straight-line distance correlates at 0.32 and river distance at 0.09. The network is modern hydrography, and the St. Francis, Tyronza, and Mississippi have all moved since these sites were occupied. Both measures are carried through the relaxations below. At every interaction length from 6 to 96 km the median under straight-line distance is at or below the median under river distance at the calibrated combination, so river distance is the choice more favorable to the model.</w:t>
      </w:r>
    </w:p>
    <w:p>
      <w:pPr>
        <w:pStyle w:val="BodyText"/>
      </w:pPr>
      <w:r>
        <w:t xml:space="preserve">The assemblages are not contemporaneous, so the simulated field is sampled through time rather than at one moment. Each simulated assemblage is drawn from the recorded sample matching its real counterpart’s position on the first correspondence-analysis axis and accumulated over a trailing window of eight samples, so that like a real deposit it mixes production across a span. The earliest position maps to the end of the first complete window, so every assemblage gets the same window length. Each simulated assemblage is then subsampled to its real counterpart’s sherd count and analyzed exactly as the real ones are, with the same</w:t>
      </w:r>
      <w:r>
        <w:t xml:space="preserve"> </w:t>
      </w:r>
      <m:oMath>
        <m:r>
          <m:t>k</m:t>
        </m:r>
      </m:oMath>
      <w:r>
        <w:t xml:space="preserve">-means clusters, the same community detection, and the same</w:t>
      </w:r>
      <w:r>
        <w:t xml:space="preserve"> </w:t>
      </w:r>
      <m:oMath>
        <m:sSub>
          <m:e>
            <m:r>
              <m:t>F</m:t>
            </m:r>
          </m:e>
          <m:sub>
            <m:r>
              <m:t>S</m:t>
            </m:r>
            <m:r>
              <m:t>T</m:t>
            </m:r>
          </m:sub>
        </m:sSub>
      </m:oMath>
      <w:r>
        <w:t xml:space="preserve">. Because the direction of the seriation axis is only partly anchored, every run is also sampled in reverse order and as if contemporaneous, with every assemblage drawn from the final window. Which source an assemblage’s counts came from matters little. Within each of the three five-cluster groups holding at least two rows of each kind, we computed the posterior probability that rows carrying the survey’s counts alone differ from rows carrying Lipo’s compilation more than a random split of that group into subsets of the same sizes, with each assemblage’s class proportions drawn from Dirichlet(counts + 1/2) (</w:t>
      </w:r>
      <w:r>
        <w:rPr>
          <w:rStyle w:val="VerbatimChar"/>
        </w:rPr>
        <w:t xml:space="preserve">analyses/78_source_effect.py</w:t>
      </w:r>
      <w:r>
        <w:t xml:space="preserve">). It is 0.04 and 0.15 in two of them and 0.89 in the third (Big Eddy, Castile Landing, Clay Hill, Cramor Place, and Nickel), where source and place cannot be separated with five assemblages. The rows carrying the survey’s counts alone are also the smallest, so source and sample size are confounded throughout.</w:t>
      </w:r>
    </w:p>
    <w:p>
      <w:pPr>
        <w:pStyle w:val="BodyText"/>
      </w:pPr>
      <w:r>
        <w:t xml:space="preserve">Because community labels are arbitrary and switch between runs, we summarize the basin’s simulated communities by co-membership (Figure S6). For each assemblage we record the share of runs in which it falls in the same community as Parkin. Under the calibrated model that share is 0.94 to 1.00 for every assemblage, because the model returns a single community in most of its runs. An earlier, uncalibrated model had produced a graded field of co-membership falling away from Parkin, which was a product of its excess diversity. Under pooled-profile innovation, the 36 time-sampled runs that return two or more communities give a between-community</w:t>
      </w:r>
      <w:r>
        <w:t xml:space="preserve"> </w:t>
      </w:r>
      <m:oMath>
        <m:sSub>
          <m:e>
            <m:r>
              <m:t>F</m:t>
            </m:r>
          </m:e>
          <m:sub>
            <m:r>
              <m:t>S</m:t>
            </m:r>
            <m:r>
              <m:t>T</m:t>
            </m:r>
          </m:sub>
        </m:sSub>
      </m:oMath>
      <w:r>
        <w:t xml:space="preserve"> </w:t>
      </w:r>
      <w:r>
        <w:t xml:space="preserve">with a median of 0.012 (95 percent range 0.007 to 0.024), and none of them reaches the observed 0.039. Under uniform innovation, which does not fit the assemblages’ diversity robustly, the observed value falls within a wide interval.</w:t>
      </w:r>
    </w:p>
    <w:p>
      <w:pPr>
        <w:pStyle w:val="CaptionedFigure"/>
      </w:pPr>
      <w:r>
        <w:drawing>
          <wp:inline>
            <wp:extent cx="5334000" cy="4016402"/>
            <wp:effectExtent b="0" l="0" r="0" t="0"/>
            <wp:docPr descr="Figure S6. Basin co-membership and community differentiation under the calibrated model, over 500 runs. (A) Each assemblage shaded by the share of runs in which it falls in Parkin’s community (star). The share is 0.94 to 1.00 throughout because the model returns one community in most of its runs. (B) Between-community cultural F_{ST} for the observed data (dashed, 0.039) against the model’s medians and 95 percent ranges, sampled as contemporaneous and through time, for pooled-profile (filled) and uniform (open) innovation. The pooled-profile points summarize only the runs returning two or more communities (54 contemporaneous and 36 through time, of 500); the rest return one community and leave the statistic undefined. The observed value lies above them. The uniform model’s wide range reflects a parameterization that does not fit the assemblages’ diversity robustly." title="" id="135" name="Picture"/>
            <a:graphic>
              <a:graphicData uri="http://schemas.openxmlformats.org/drawingml/2006/picture">
                <pic:pic>
                  <pic:nvPicPr>
                    <pic:cNvPr descr="../../figures/figS3_emergent_phases.png" id="136" name="Picture"/>
                    <pic:cNvPicPr>
                      <a:picLocks noChangeArrowheads="1" noChangeAspect="1"/>
                    </pic:cNvPicPr>
                  </pic:nvPicPr>
                  <pic:blipFill>
                    <a:blip r:embed="rId134"/>
                    <a:stretch>
                      <a:fillRect/>
                    </a:stretch>
                  </pic:blipFill>
                  <pic:spPr bwMode="auto">
                    <a:xfrm>
                      <a:off x="0" y="0"/>
                      <a:ext cx="5334000" cy="401640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Basin co-membership and community differentiation under the calibrated model, over 500 runs. (A) Each assemblage shaded by the share of runs in which it falls in Parkin’s community (star). The share is 0.94 to 1.00 throughout because the model returns one community in most of its runs. (B) Between-community cultural</w:t>
      </w:r>
      <w:r>
        <w:t xml:space="preserve"> </w:t>
      </w:r>
      <m:oMath>
        <m:sSub>
          <m:e>
            <m:r>
              <m:t>F</m:t>
            </m:r>
          </m:e>
          <m:sub>
            <m:r>
              <m:t>S</m:t>
            </m:r>
            <m:r>
              <m:t>T</m:t>
            </m:r>
          </m:sub>
        </m:sSub>
      </m:oMath>
      <w:r>
        <w:t xml:space="preserve"> </w:t>
      </w:r>
      <w:r>
        <w:t xml:space="preserve">for the observed data (dashed, 0.039) against the model’s medians and 95 percent ranges, sampled as contemporaneous and through time, for pooled-profile (filled) and uniform (open) innovation. The pooled-profile points summarize only the runs returning two or more communities (54 contemporaneous and 36 through time, of 500); the rest return one community and leave the statistic undefined. The observed value lies above them. The uniform model’s wide range reflects a parameterization that does not fit the assemblages’ diversity robustly.</w:t>
      </w:r>
    </w:p>
    <w:bookmarkEnd w:id="137"/>
    <w:bookmarkStart w:id="141" w:name="X6f709a8852ced2b4efe4258f523a9f4ec56fbed"/>
    <w:p>
      <w:pPr>
        <w:pStyle w:val="Heading2"/>
      </w:pPr>
      <w:r>
        <w:t xml:space="preserve">The calibration series and its sensitivity</w:t>
      </w:r>
    </w:p>
    <w:p>
      <w:pPr>
        <w:pStyle w:val="FirstParagraph"/>
      </w:pPr>
      <w:r>
        <w:t xml:space="preserve">Figure S7 shows every combination in the calibration series, 297 for each innovation model, plotted by diversity misfit (the root of the summed squared relative error over the three summaries) against median between-cluster</w:t>
      </w:r>
      <w:r>
        <w:t xml:space="preserve"> </w:t>
      </w:r>
      <m:oMath>
        <m:sSub>
          <m:e>
            <m:r>
              <m:t>F</m:t>
            </m:r>
          </m:e>
          <m:sub>
            <m:r>
              <m:t>S</m:t>
            </m:r>
            <m:r>
              <m:t>T</m:t>
            </m:r>
          </m:sub>
        </m:sSub>
      </m:oMath>
      <w:r>
        <w:t xml:space="preserve">: the six-run median for unmatched combinations and the fifty-run median for matched ones, the value the selection uses. In the basin, the matched combinations lie below the observed</w:t>
      </w:r>
      <w:r>
        <w:t xml:space="preserve"> </w:t>
      </w:r>
      <m:oMath>
        <m:sSub>
          <m:e>
            <m:r>
              <m:t>F</m:t>
            </m:r>
          </m:e>
          <m:sub>
            <m:r>
              <m:t>S</m:t>
            </m:r>
            <m:r>
              <m:t>T</m:t>
            </m:r>
          </m:sub>
        </m:sSub>
      </m:oMath>
      <w:r>
        <w:t xml:space="preserve"> </w:t>
      </w:r>
      <w:r>
        <w:t xml:space="preserve">at their medians, and every combination that reaches it at the median lies outside the diversity tolerance (lowest misfit 0.21, against 0.17 at the tolerance line). Under uniform innovation, one combination matches, at the corner of the grid, and its median (0.0098) lies above the observed value; it is the only matched combination to do so, and it does not fit the diversity robustly. The interchangeable-class model can reach the record’s skewed class profile only as a passing state of strong drift, which removes the rare classes that most assemblages contain. An earlier finding that drift brackets the observed differentiation across a 432-run grid over interaction length, mixing, and innovation came from that misfitting region of the grid.</w:t>
      </w:r>
    </w:p>
    <w:p>
      <w:pPr>
        <w:pStyle w:val="CaptionedFigure"/>
      </w:pPr>
      <w:r>
        <w:drawing>
          <wp:inline>
            <wp:extent cx="5334000" cy="3429956"/>
            <wp:effectExtent b="0" l="0" r="0" t="0"/>
            <wp:docPr descr="Figure S7. The calibration series. Each point is one parameter combination (population 120, 2,000, or 10,000 learners; innovation 0.0002 to 0.2; mixing 0.001 to 0.4) for the pooled-profile (circles) and uniform (squares) innovation models, placed by its diversity misfit against its median between-cluster F_{ST} (six runs for unmatched combinations, fifty for matched ones), for (A) the St. Francis basin and (B) the southeast-Missouri assemblages, the latter shown to document the attempt described in the final section rather than as a result. Filled markers match all three within-assemblage summaries within 10 percent (vertical line). The dashed line is the observed F_{ST}. No matched pooled-profile combination reaches the observed value at its median in either panel; the single matched uniform combination in the basin (median 0.0098) sits at the corner of the grid and does not fit the diversity robustly." title="" id="139" name="Picture"/>
            <a:graphic>
              <a:graphicData uri="http://schemas.openxmlformats.org/drawingml/2006/picture">
                <pic:pic>
                  <pic:nvPicPr>
                    <pic:cNvPr descr="../../figures/figS4_emergence_robustness.png" id="140" name="Picture"/>
                    <pic:cNvPicPr>
                      <a:picLocks noChangeArrowheads="1" noChangeAspect="1"/>
                    </pic:cNvPicPr>
                  </pic:nvPicPr>
                  <pic:blipFill>
                    <a:blip r:embed="rId138"/>
                    <a:stretch>
                      <a:fillRect/>
                    </a:stretch>
                  </pic:blipFill>
                  <pic:spPr bwMode="auto">
                    <a:xfrm>
                      <a:off x="0" y="0"/>
                      <a:ext cx="5334000" cy="3429956"/>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The calibration series. Each point is one parameter combination (population 120, 2,000, or 10,000 learners; innovation 0.0002 to 0.2; mixing 0.001 to 0.4) for the pooled-profile (circles) and uniform (squares) innovation models, placed by its diversity misfit against its median between-cluster</w:t>
      </w:r>
      <w:r>
        <w:t xml:space="preserve"> </w:t>
      </w:r>
      <m:oMath>
        <m:sSub>
          <m:e>
            <m:r>
              <m:t>F</m:t>
            </m:r>
          </m:e>
          <m:sub>
            <m:r>
              <m:t>S</m:t>
            </m:r>
            <m:r>
              <m:t>T</m:t>
            </m:r>
          </m:sub>
        </m:sSub>
      </m:oMath>
      <w:r>
        <w:t xml:space="preserve"> </w:t>
      </w:r>
      <w:r>
        <w:t xml:space="preserve">(six runs for unmatched combinations, fifty for matched ones), for (A) the St. Francis basin and (B) the southeast-Missouri assemblages, the latter shown to document the attempt described in the final section rather than as a result. Filled markers match all three within-assemblage summaries within 10 percent (vertical line). The dashed line is the observed</w:t>
      </w:r>
      <w:r>
        <w:t xml:space="preserve"> </w:t>
      </w:r>
      <m:oMath>
        <m:sSub>
          <m:e>
            <m:r>
              <m:t>F</m:t>
            </m:r>
          </m:e>
          <m:sub>
            <m:r>
              <m:t>S</m:t>
            </m:r>
            <m:r>
              <m:t>T</m:t>
            </m:r>
          </m:sub>
        </m:sSub>
      </m:oMath>
      <w:r>
        <w:t xml:space="preserve">. No matched pooled-profile combination reaches the observed value at its median in either panel; the single matched uniform combination in the basin (median 0.0098) sits at the corner of the grid and does not fit the diversity robustly.</w:t>
      </w:r>
    </w:p>
    <w:p>
      <w:pPr>
        <w:pStyle w:val="BodyText"/>
      </w:pPr>
      <w:r>
        <w:rPr>
          <w:b/>
          <w:bCs/>
        </w:rPr>
        <w:t xml:space="preserve">Table S4.</w:t>
      </w:r>
      <w:r>
        <w:t xml:space="preserve"> </w:t>
      </w:r>
      <w:r>
        <w:t xml:space="preserve">Sensitivity of the calibrated comparison for the pooled-profile model (50 runs per sensitivity case, 30 per boundary case, baseline 500). Entries are the median and 95 percent range of the between-cluster</w:t>
      </w:r>
      <w:r>
        <w:t xml:space="preserve"> </w:t>
      </w:r>
      <m:oMath>
        <m:sSub>
          <m:e>
            <m:r>
              <m:t>F</m:t>
            </m:r>
          </m:e>
          <m:sub>
            <m:r>
              <m:t>S</m:t>
            </m:r>
            <m:r>
              <m:t>T</m:t>
            </m:r>
          </m:sub>
        </m:sSub>
      </m:oMath>
      <w:r>
        <w:t xml:space="preserve">, the share of runs reaching the observed value, and the mean within-assemblage diversity and richness achieved.</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Set</w:t>
            </w:r>
          </w:p>
        </w:tc>
        <w:tc>
          <w:tcPr/>
          <w:p>
            <w:pPr>
              <w:pStyle w:val="Compact"/>
            </w:pPr>
            <w:r>
              <w:t xml:space="preserve">Case</w:t>
            </w:r>
          </w:p>
        </w:tc>
        <w:tc>
          <w:tcPr/>
          <w:p>
            <w:pPr>
              <w:pStyle w:val="Compact"/>
            </w:pPr>
            <w:r>
              <w:t xml:space="preserve">Median [95%]</w:t>
            </w:r>
          </w:p>
        </w:tc>
        <w:tc>
          <w:tcPr/>
          <w:p>
            <w:pPr>
              <w:pStyle w:val="Compact"/>
              <w:jc w:val="right"/>
            </w:pPr>
            <w:r>
              <w:t xml:space="preserve">Frac. reaching obs.</w:t>
            </w:r>
          </w:p>
        </w:tc>
        <w:tc>
          <w:tcPr/>
          <w:p>
            <w:pPr>
              <w:pStyle w:val="Compact"/>
              <w:jc w:val="right"/>
            </w:pPr>
            <w:r>
              <w:t xml:space="preserve">H_S</w:t>
            </w:r>
          </w:p>
        </w:tc>
        <w:tc>
          <w:tcPr/>
          <w:p>
            <w:pPr>
              <w:pStyle w:val="Compact"/>
              <w:jc w:val="right"/>
            </w:pPr>
            <w:r>
              <w:t xml:space="preserve">Richness</w:t>
            </w:r>
          </w:p>
        </w:tc>
      </w:tr>
      <w:tr>
        <w:tc>
          <w:tcPr/>
          <w:p>
            <w:pPr>
              <w:pStyle w:val="Compact"/>
            </w:pPr>
            <w:r>
              <w:t xml:space="preserve">Basin (observed 0.0062; H_S 0.56, richness 6.2)</w:t>
            </w:r>
          </w:p>
        </w:tc>
        <w:tc>
          <w:tcPr/>
          <w:p>
            <w:pPr>
              <w:pStyle w:val="Compact"/>
            </w:pPr>
            <w:r>
              <w:t xml:space="preserve">baseline</w:t>
            </w:r>
          </w:p>
        </w:tc>
        <w:tc>
          <w:tcPr/>
          <w:p>
            <w:pPr>
              <w:pStyle w:val="Compact"/>
            </w:pPr>
            <w:r>
              <w:t xml:space="preserve">0.0023 [0.0002, 0.0113]</w:t>
            </w:r>
          </w:p>
        </w:tc>
        <w:tc>
          <w:tcPr/>
          <w:p>
            <w:pPr>
              <w:pStyle w:val="Compact"/>
              <w:jc w:val="right"/>
            </w:pPr>
            <w:r>
              <w:t xml:space="preserve">0.160</w:t>
            </w:r>
          </w:p>
        </w:tc>
        <w:tc>
          <w:tcPr/>
          <w:p>
            <w:pPr>
              <w:pStyle w:val="Compact"/>
              <w:jc w:val="right"/>
            </w:pPr>
            <w:r>
              <w:t xml:space="preserve">0.58</w:t>
            </w:r>
          </w:p>
        </w:tc>
        <w:tc>
          <w:tcPr/>
          <w:p>
            <w:pPr>
              <w:pStyle w:val="Compact"/>
              <w:jc w:val="right"/>
            </w:pPr>
            <w:r>
              <w:t xml:space="preserve">6.0</w:t>
            </w:r>
          </w:p>
        </w:tc>
      </w:tr>
      <w:tr>
        <w:tc>
          <w:tcPr/>
          <w:p>
            <w:pPr>
              <w:pStyle w:val="Compact"/>
            </w:pPr>
          </w:p>
        </w:tc>
        <w:tc>
          <w:tcPr/>
          <w:p>
            <w:pPr>
              <w:pStyle w:val="Compact"/>
            </w:pPr>
            <w:r>
              <w:t xml:space="preserve">burn-in 2,400</w:t>
            </w:r>
          </w:p>
        </w:tc>
        <w:tc>
          <w:tcPr/>
          <w:p>
            <w:pPr>
              <w:pStyle w:val="Compact"/>
            </w:pPr>
            <w:r>
              <w:t xml:space="preserve">0.0019 [0.0003, 0.0099]</w:t>
            </w:r>
          </w:p>
        </w:tc>
        <w:tc>
          <w:tcPr/>
          <w:p>
            <w:pPr>
              <w:pStyle w:val="Compact"/>
              <w:jc w:val="right"/>
            </w:pPr>
            <w:r>
              <w:t xml:space="preserve">0.176</w:t>
            </w:r>
          </w:p>
        </w:tc>
        <w:tc>
          <w:tcPr/>
          <w:p>
            <w:pPr>
              <w:pStyle w:val="Compact"/>
              <w:jc w:val="right"/>
            </w:pPr>
            <w:r>
              <w:t xml:space="preserve">0.58</w:t>
            </w:r>
          </w:p>
        </w:tc>
        <w:tc>
          <w:tcPr/>
          <w:p>
            <w:pPr>
              <w:pStyle w:val="Compact"/>
              <w:jc w:val="right"/>
            </w:pPr>
            <w:r>
              <w:t xml:space="preserve">6.1</w:t>
            </w:r>
          </w:p>
        </w:tc>
      </w:tr>
      <w:tr>
        <w:tc>
          <w:tcPr/>
          <w:p>
            <w:pPr>
              <w:pStyle w:val="Compact"/>
            </w:pPr>
          </w:p>
        </w:tc>
        <w:tc>
          <w:tcPr/>
          <w:p>
            <w:pPr>
              <w:pStyle w:val="Compact"/>
            </w:pPr>
            <w:r>
              <w:t xml:space="preserve">monomorphic start, burn-in</w:t>
            </w:r>
          </w:p>
        </w:tc>
        <w:tc>
          <w:tcPr/>
          <w:p>
            <w:pPr>
              <w:pStyle w:val="Compact"/>
            </w:pPr>
            <w:r>
              <w:t xml:space="preserve">0.0021 [0.0004, 0.0218]</w:t>
            </w:r>
          </w:p>
        </w:tc>
        <w:tc>
          <w:tcPr/>
          <w:p>
            <w:pPr>
              <w:pStyle w:val="Compact"/>
              <w:jc w:val="right"/>
            </w:pPr>
            <w:r>
              <w:t xml:space="preserve">0.196</w:t>
            </w:r>
          </w:p>
        </w:tc>
        <w:tc>
          <w:tcPr/>
          <w:p>
            <w:pPr>
              <w:pStyle w:val="Compact"/>
              <w:jc w:val="right"/>
            </w:pPr>
            <w:r>
              <w:t xml:space="preserve">0.54</w:t>
            </w:r>
          </w:p>
        </w:tc>
        <w:tc>
          <w:tcPr/>
          <w:p>
            <w:pPr>
              <w:pStyle w:val="Compact"/>
              <w:jc w:val="right"/>
            </w:pPr>
            <w:r>
              <w:t xml:space="preserve">5.9</w:t>
            </w:r>
          </w:p>
        </w:tc>
      </w:tr>
      <w:tr>
        <w:tc>
          <w:tcPr/>
          <w:p>
            <w:pPr>
              <w:pStyle w:val="Compact"/>
            </w:pPr>
          </w:p>
        </w:tc>
        <w:tc>
          <w:tcPr/>
          <w:p>
            <w:pPr>
              <w:pStyle w:val="Compact"/>
            </w:pPr>
            <w:r>
              <w:t xml:space="preserve">monomorphic start, no burn-in</w:t>
            </w:r>
          </w:p>
        </w:tc>
        <w:tc>
          <w:tcPr/>
          <w:p>
            <w:pPr>
              <w:pStyle w:val="Compact"/>
            </w:pPr>
            <w:r>
              <w:t xml:space="preserve">0.0049 [0.0003, 0.0239]</w:t>
            </w:r>
          </w:p>
        </w:tc>
        <w:tc>
          <w:tcPr/>
          <w:p>
            <w:pPr>
              <w:pStyle w:val="Compact"/>
              <w:jc w:val="right"/>
            </w:pPr>
            <w:r>
              <w:t xml:space="preserve">0.431</w:t>
            </w:r>
          </w:p>
        </w:tc>
        <w:tc>
          <w:tcPr/>
          <w:p>
            <w:pPr>
              <w:pStyle w:val="Compact"/>
              <w:jc w:val="right"/>
            </w:pPr>
            <w:r>
              <w:t xml:space="preserve">0.37</w:t>
            </w:r>
          </w:p>
        </w:tc>
        <w:tc>
          <w:tcPr/>
          <w:p>
            <w:pPr>
              <w:pStyle w:val="Compact"/>
              <w:jc w:val="right"/>
            </w:pPr>
            <w:r>
              <w:t xml:space="preserve">5.2</w:t>
            </w:r>
          </w:p>
        </w:tc>
      </w:tr>
      <w:tr>
        <w:tc>
          <w:tcPr/>
          <w:p>
            <w:pPr>
              <w:pStyle w:val="Compact"/>
            </w:pPr>
          </w:p>
        </w:tc>
        <w:tc>
          <w:tcPr/>
          <w:p>
            <w:pPr>
              <w:pStyle w:val="Compact"/>
            </w:pPr>
            <w:r>
              <w:t xml:space="preserve">innovation halved</w:t>
            </w:r>
          </w:p>
        </w:tc>
        <w:tc>
          <w:tcPr/>
          <w:p>
            <w:pPr>
              <w:pStyle w:val="Compact"/>
            </w:pPr>
            <w:r>
              <w:t xml:space="preserve">0.0027 [0.0007, 0.0177]</w:t>
            </w:r>
          </w:p>
        </w:tc>
        <w:tc>
          <w:tcPr/>
          <w:p>
            <w:pPr>
              <w:pStyle w:val="Compact"/>
              <w:jc w:val="right"/>
            </w:pPr>
            <w:r>
              <w:t xml:space="preserve">0.235</w:t>
            </w:r>
          </w:p>
        </w:tc>
        <w:tc>
          <w:tcPr/>
          <w:p>
            <w:pPr>
              <w:pStyle w:val="Compact"/>
              <w:jc w:val="right"/>
            </w:pPr>
            <w:r>
              <w:t xml:space="preserve">0.58</w:t>
            </w:r>
          </w:p>
        </w:tc>
        <w:tc>
          <w:tcPr/>
          <w:p>
            <w:pPr>
              <w:pStyle w:val="Compact"/>
              <w:jc w:val="right"/>
            </w:pPr>
            <w:r>
              <w:t xml:space="preserve">5.5</w:t>
            </w:r>
          </w:p>
        </w:tc>
      </w:tr>
      <w:tr>
        <w:tc>
          <w:tcPr/>
          <w:p>
            <w:pPr>
              <w:pStyle w:val="Compact"/>
            </w:pPr>
          </w:p>
        </w:tc>
        <w:tc>
          <w:tcPr/>
          <w:p>
            <w:pPr>
              <w:pStyle w:val="Compact"/>
            </w:pPr>
            <w:r>
              <w:t xml:space="preserve">innovation doubled</w:t>
            </w:r>
          </w:p>
        </w:tc>
        <w:tc>
          <w:tcPr/>
          <w:p>
            <w:pPr>
              <w:pStyle w:val="Compact"/>
            </w:pPr>
            <w:r>
              <w:t xml:space="preserve">0.0010 [0.0002, 0.0055]</w:t>
            </w:r>
          </w:p>
        </w:tc>
        <w:tc>
          <w:tcPr/>
          <w:p>
            <w:pPr>
              <w:pStyle w:val="Compact"/>
              <w:jc w:val="right"/>
            </w:pPr>
            <w:r>
              <w:t xml:space="preserve">0.039</w:t>
            </w:r>
          </w:p>
        </w:tc>
        <w:tc>
          <w:tcPr/>
          <w:p>
            <w:pPr>
              <w:pStyle w:val="Compact"/>
              <w:jc w:val="right"/>
            </w:pPr>
            <w:r>
              <w:t xml:space="preserve">0.58</w:t>
            </w:r>
          </w:p>
        </w:tc>
        <w:tc>
          <w:tcPr/>
          <w:p>
            <w:pPr>
              <w:pStyle w:val="Compact"/>
              <w:jc w:val="right"/>
            </w:pPr>
            <w:r>
              <w:t xml:space="preserve">6.6</w:t>
            </w:r>
          </w:p>
        </w:tc>
      </w:tr>
      <w:tr>
        <w:tc>
          <w:tcPr/>
          <w:p>
            <w:pPr>
              <w:pStyle w:val="Compact"/>
            </w:pPr>
          </w:p>
        </w:tc>
        <w:tc>
          <w:tcPr/>
          <w:p>
            <w:pPr>
              <w:pStyle w:val="Compact"/>
            </w:pPr>
            <w:r>
              <w:t xml:space="preserve">mixing halved</w:t>
            </w:r>
          </w:p>
        </w:tc>
        <w:tc>
          <w:tcPr/>
          <w:p>
            <w:pPr>
              <w:pStyle w:val="Compact"/>
            </w:pPr>
            <w:r>
              <w:t xml:space="preserve">0.0025 [0.0006, 0.0137]</w:t>
            </w:r>
          </w:p>
        </w:tc>
        <w:tc>
          <w:tcPr/>
          <w:p>
            <w:pPr>
              <w:pStyle w:val="Compact"/>
              <w:jc w:val="right"/>
            </w:pPr>
            <w:r>
              <w:t xml:space="preserve">0.255</w:t>
            </w:r>
          </w:p>
        </w:tc>
        <w:tc>
          <w:tcPr/>
          <w:p>
            <w:pPr>
              <w:pStyle w:val="Compact"/>
              <w:jc w:val="right"/>
            </w:pPr>
            <w:r>
              <w:t xml:space="preserve">0.58</w:t>
            </w:r>
          </w:p>
        </w:tc>
        <w:tc>
          <w:tcPr/>
          <w:p>
            <w:pPr>
              <w:pStyle w:val="Compact"/>
              <w:jc w:val="right"/>
            </w:pPr>
            <w:r>
              <w:t xml:space="preserve">5.8</w:t>
            </w:r>
          </w:p>
        </w:tc>
      </w:tr>
      <w:tr>
        <w:tc>
          <w:tcPr/>
          <w:p>
            <w:pPr>
              <w:pStyle w:val="Compact"/>
            </w:pPr>
          </w:p>
        </w:tc>
        <w:tc>
          <w:tcPr/>
          <w:p>
            <w:pPr>
              <w:pStyle w:val="Compact"/>
            </w:pPr>
            <w:r>
              <w:t xml:space="preserve">mixing doubled</w:t>
            </w:r>
          </w:p>
        </w:tc>
        <w:tc>
          <w:tcPr/>
          <w:p>
            <w:pPr>
              <w:pStyle w:val="Compact"/>
            </w:pPr>
            <w:r>
              <w:t xml:space="preserve">0.0015 [0.0002, 0.0052]</w:t>
            </w:r>
          </w:p>
        </w:tc>
        <w:tc>
          <w:tcPr/>
          <w:p>
            <w:pPr>
              <w:pStyle w:val="Compact"/>
              <w:jc w:val="right"/>
            </w:pPr>
            <w:r>
              <w:t xml:space="preserve">0.020</w:t>
            </w:r>
          </w:p>
        </w:tc>
        <w:tc>
          <w:tcPr/>
          <w:p>
            <w:pPr>
              <w:pStyle w:val="Compact"/>
              <w:jc w:val="right"/>
            </w:pPr>
            <w:r>
              <w:t xml:space="preserve">0.58</w:t>
            </w:r>
          </w:p>
        </w:tc>
        <w:tc>
          <w:tcPr/>
          <w:p>
            <w:pPr>
              <w:pStyle w:val="Compact"/>
              <w:jc w:val="right"/>
            </w:pPr>
            <w:r>
              <w:t xml:space="preserve">6.4</w:t>
            </w:r>
          </w:p>
        </w:tc>
      </w:tr>
      <w:tr>
        <w:tc>
          <w:tcPr/>
          <w:p>
            <w:pPr>
              <w:pStyle w:val="Compact"/>
            </w:pPr>
          </w:p>
        </w:tc>
        <w:tc>
          <w:tcPr/>
          <w:p>
            <w:pPr>
              <w:pStyle w:val="Compact"/>
            </w:pPr>
            <w:r>
              <w:t xml:space="preserve">boundary, multiplier 0.5 (24 km)</w:t>
            </w:r>
          </w:p>
        </w:tc>
        <w:tc>
          <w:tcPr/>
          <w:p>
            <w:pPr>
              <w:pStyle w:val="Compact"/>
            </w:pPr>
            <w:r>
              <w:t xml:space="preserve">0.0022 [0.0004, 0.0129]</w:t>
            </w:r>
          </w:p>
        </w:tc>
        <w:tc>
          <w:tcPr/>
          <w:p>
            <w:pPr>
              <w:pStyle w:val="Compact"/>
              <w:jc w:val="right"/>
            </w:pPr>
            <w:r>
              <w:t xml:space="preserve">0.161</w:t>
            </w:r>
          </w:p>
        </w:tc>
        <w:tc>
          <w:tcPr/>
          <w:p>
            <w:pPr>
              <w:pStyle w:val="Compact"/>
            </w:pPr>
          </w:p>
        </w:tc>
        <w:tc>
          <w:tcPr/>
          <w:p>
            <w:pPr>
              <w:pStyle w:val="Compact"/>
            </w:pPr>
          </w:p>
        </w:tc>
      </w:tr>
      <w:tr>
        <w:tc>
          <w:tcPr/>
          <w:p>
            <w:pPr>
              <w:pStyle w:val="Compact"/>
            </w:pPr>
          </w:p>
        </w:tc>
        <w:tc>
          <w:tcPr/>
          <w:p>
            <w:pPr>
              <w:pStyle w:val="Compact"/>
            </w:pPr>
            <w:r>
              <w:t xml:space="preserve">boundary, multiplier 0.1 (24 km)</w:t>
            </w:r>
          </w:p>
        </w:tc>
        <w:tc>
          <w:tcPr/>
          <w:p>
            <w:pPr>
              <w:pStyle w:val="Compact"/>
            </w:pPr>
            <w:r>
              <w:t xml:space="preserve">0.0031 [0.0005, 0.0184]</w:t>
            </w:r>
          </w:p>
        </w:tc>
        <w:tc>
          <w:tcPr/>
          <w:p>
            <w:pPr>
              <w:pStyle w:val="Compact"/>
              <w:jc w:val="right"/>
            </w:pPr>
            <w:r>
              <w:t xml:space="preserve">0.194</w:t>
            </w:r>
          </w:p>
        </w:tc>
        <w:tc>
          <w:tcPr/>
          <w:p>
            <w:pPr>
              <w:pStyle w:val="Compact"/>
            </w:pPr>
          </w:p>
        </w:tc>
        <w:tc>
          <w:tcPr/>
          <w:p>
            <w:pPr>
              <w:pStyle w:val="Compact"/>
            </w:pPr>
          </w:p>
        </w:tc>
      </w:tr>
      <w:tr>
        <w:tc>
          <w:tcPr/>
          <w:p>
            <w:pPr>
              <w:pStyle w:val="Compact"/>
            </w:pPr>
          </w:p>
        </w:tc>
        <w:tc>
          <w:tcPr/>
          <w:p>
            <w:pPr>
              <w:pStyle w:val="Compact"/>
            </w:pPr>
            <w:r>
              <w:t xml:space="preserve">boundary, multiplier 0.03 (24 km)</w:t>
            </w:r>
          </w:p>
        </w:tc>
        <w:tc>
          <w:tcPr/>
          <w:p>
            <w:pPr>
              <w:pStyle w:val="Compact"/>
            </w:pPr>
            <w:r>
              <w:t xml:space="preserve">0.0080 [0.0007, 0.0165]</w:t>
            </w:r>
          </w:p>
        </w:tc>
        <w:tc>
          <w:tcPr/>
          <w:p>
            <w:pPr>
              <w:pStyle w:val="Compact"/>
              <w:jc w:val="right"/>
            </w:pPr>
            <w:r>
              <w:t xml:space="preserve">0.548</w:t>
            </w:r>
          </w:p>
        </w:tc>
        <w:tc>
          <w:tcPr/>
          <w:p>
            <w:pPr>
              <w:pStyle w:val="Compact"/>
            </w:pPr>
          </w:p>
        </w:tc>
        <w:tc>
          <w:tcPr/>
          <w:p>
            <w:pPr>
              <w:pStyle w:val="Compact"/>
            </w:pPr>
          </w:p>
        </w:tc>
      </w:tr>
    </w:tbl>
    <w:p>
      <w:pPr>
        <w:pStyle w:val="BodyText"/>
      </w:pPr>
      <w:r>
        <w:t xml:space="preserve">The case with a single-class start and no burn-in departs from the calibrated diversity and is reported for completeness rather than as an alternative that fits. The other cases put the share of runs reaching the observed value between 0.02 and 0.26. Doubling the innovation or mixing rate, which keeps the diversity close to the record’s, lowers that share to 0.04 and 0.02, so the two-cluster agreement holds at the selected combination and its neighbors with lower rates but not at every rate choice. The 30-run boundary cases resolve that share only to about 0.03.</w:t>
      </w:r>
    </w:p>
    <w:bookmarkEnd w:id="141"/>
    <w:bookmarkStart w:id="142" w:name="Xeafe564f9578fc6514294828af52095d4d7f034"/>
    <w:p>
      <w:pPr>
        <w:pStyle w:val="Heading2"/>
      </w:pPr>
      <w:r>
        <w:t xml:space="preserve">Relaxing four simplifications of the copying model</w:t>
      </w:r>
    </w:p>
    <w:p>
      <w:pPr>
        <w:pStyle w:val="FirstParagraph"/>
      </w:pPr>
      <w:r>
        <w:t xml:space="preserve">At two clusters the calibrated model covers the observed differentiation, but its median falls short of it, and from three clusters on the observed value lies outside its range (main text Table 1; Table S5). The model makes four simplifications, any of which could account for that shortfall, and relaxing one does not abandon neutral copying: each variant is the same model with one simplification removed, run on the basin at its calibrated combination. The standard is the same throughout. A variant accounts for the difference only if it reaches the observed</w:t>
      </w:r>
      <w:r>
        <w:t xml:space="preserve"> </w:t>
      </w:r>
      <m:oMath>
        <m:sSub>
          <m:e>
            <m:r>
              <m:t>F</m:t>
            </m:r>
          </m:e>
          <m:sub>
            <m:r>
              <m:t>S</m:t>
            </m:r>
            <m:r>
              <m:t>T</m:t>
            </m:r>
          </m:sub>
        </m:sSub>
      </m:oMath>
      <w:r>
        <w:t xml:space="preserve"> </w:t>
      </w:r>
      <w:r>
        <w:t xml:space="preserve">of 0.0062</w:t>
      </w:r>
      <w:r>
        <w:t xml:space="preserve"> </w:t>
      </w:r>
      <w:r>
        <w:rPr>
          <w:i/>
          <w:iCs/>
        </w:rPr>
        <w:t xml:space="preserve">and</w:t>
      </w:r>
      <w:r>
        <w:t xml:space="preserve"> </w:t>
      </w:r>
      <w:r>
        <w:t xml:space="preserve">keeps all three diversity summaries within the 10 percent tolerance, because a model that reaches the differentiation by losing the diversity fit has traded one fit for the other. Each table gives the median</w:t>
      </w:r>
      <w:r>
        <w:t xml:space="preserve"> </w:t>
      </w:r>
      <m:oMath>
        <m:sSub>
          <m:e>
            <m:r>
              <m:t>F</m:t>
            </m:r>
          </m:e>
          <m:sub>
            <m:r>
              <m:t>S</m:t>
            </m:r>
            <m:r>
              <m:t>T</m:t>
            </m:r>
          </m:sub>
        </m:sSub>
      </m:oMath>
      <w:r>
        <w:t xml:space="preserve">, its 95 percent range, the shortfall (observed divided by the model’s median), and whether diversity stays matched. The full series is in</w:t>
      </w:r>
      <w:r>
        <w:t xml:space="preserve"> </w:t>
      </w:r>
      <w:r>
        <w:rPr>
          <w:rStyle w:val="VerbatimChar"/>
        </w:rPr>
        <w:t xml:space="preserve">output/findings/other_departures.md</w:t>
      </w:r>
      <w:r>
        <w:t xml:space="preserve">.</w:t>
      </w:r>
    </w:p>
    <w:p>
      <w:pPr>
        <w:pStyle w:val="BodyText"/>
      </w:pPr>
      <w:r>
        <w:rPr>
          <w:b/>
          <w:bCs/>
        </w:rPr>
        <w:t xml:space="preserve">Unequal site populations</w:t>
      </w:r>
      <w:r>
        <w:t xml:space="preserve"> </w:t>
      </w:r>
      <w:r>
        <w:t xml:space="preserve">(</w:t>
      </w:r>
      <w:r>
        <w:rPr>
          <w:rStyle w:val="VerbatimChar"/>
        </w:rPr>
        <w:t xml:space="preserve">analyses/64_unequal_populations.py</w:t>
      </w:r>
      <w:r>
        <w:t xml:space="preserve">). Per-site populations are drawn lognormal with the calibrated population as the mean and a rising coefficient of variation.</w:t>
      </w:r>
    </w:p>
    <w:tbl>
      <w:tblPr>
        <w:tblStyle w:val="Table"/>
        <w:tblW w:type="pct" w:w="5000"/>
        <w:tblLayout w:type="fixed"/>
        <w:tblLook w:firstRow="1" w:lastRow="0" w:firstColumn="0" w:lastColumn="0" w:noHBand="0" w:noVBand="0" w:val="0020"/>
      </w:tblPr>
      <w:tblGrid>
        <w:gridCol w:w="1320"/>
        <w:gridCol w:w="1320"/>
        <w:gridCol w:w="1320"/>
        <w:gridCol w:w="990"/>
        <w:gridCol w:w="1320"/>
        <w:gridCol w:w="1650"/>
      </w:tblGrid>
      <w:tr>
        <w:trPr>
          <w:tblHeader w:val="on"/>
        </w:trPr>
        <w:tc>
          <w:tcPr/>
          <w:p>
            <w:pPr>
              <w:pStyle w:val="Compact"/>
              <w:jc w:val="right"/>
            </w:pPr>
            <w:r>
              <w:t xml:space="preserve">CV</w:t>
            </w:r>
          </w:p>
        </w:tc>
        <w:tc>
          <w:tcPr/>
          <w:p>
            <w:pPr>
              <w:pStyle w:val="Compact"/>
              <w:jc w:val="right"/>
            </w:pPr>
            <w:r>
              <w:t xml:space="preserve">harmonic N</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jc w:val="right"/>
            </w:pPr>
            <w:r>
              <w:t xml:space="preserve">0.0</w:t>
            </w:r>
          </w:p>
        </w:tc>
        <w:tc>
          <w:tcPr/>
          <w:p>
            <w:pPr>
              <w:pStyle w:val="Compact"/>
              <w:jc w:val="right"/>
            </w:pPr>
            <w:r>
              <w:t xml:space="preserve">2000</w:t>
            </w:r>
          </w:p>
        </w:tc>
        <w:tc>
          <w:tcPr/>
          <w:p>
            <w:pPr>
              <w:pStyle w:val="Compact"/>
              <w:jc w:val="right"/>
            </w:pPr>
            <w:r>
              <w:t xml:space="preserve">0.0019</w:t>
            </w:r>
          </w:p>
        </w:tc>
        <w:tc>
          <w:tcPr/>
          <w:p>
            <w:pPr>
              <w:pStyle w:val="Compact"/>
            </w:pPr>
            <w:r>
              <w:t xml:space="preserve">[0.0002, 0.0124]</w:t>
            </w:r>
          </w:p>
        </w:tc>
        <w:tc>
          <w:tcPr/>
          <w:p>
            <w:pPr>
              <w:pStyle w:val="Compact"/>
              <w:jc w:val="right"/>
            </w:pPr>
            <w:r>
              <w:t xml:space="preserve">3.4x</w:t>
            </w:r>
          </w:p>
        </w:tc>
        <w:tc>
          <w:tcPr/>
          <w:p>
            <w:pPr>
              <w:pStyle w:val="Compact"/>
              <w:jc w:val="center"/>
            </w:pPr>
            <w:r>
              <w:t xml:space="preserve">matched</w:t>
            </w:r>
          </w:p>
        </w:tc>
      </w:tr>
      <w:tr>
        <w:tc>
          <w:tcPr/>
          <w:p>
            <w:pPr>
              <w:pStyle w:val="Compact"/>
              <w:jc w:val="right"/>
            </w:pPr>
            <w:r>
              <w:t xml:space="preserve">0.5</w:t>
            </w:r>
          </w:p>
        </w:tc>
        <w:tc>
          <w:tcPr/>
          <w:p>
            <w:pPr>
              <w:pStyle w:val="Compact"/>
              <w:jc w:val="right"/>
            </w:pPr>
            <w:r>
              <w:t xml:space="preserve">1565</w:t>
            </w:r>
          </w:p>
        </w:tc>
        <w:tc>
          <w:tcPr/>
          <w:p>
            <w:pPr>
              <w:pStyle w:val="Compact"/>
              <w:jc w:val="right"/>
            </w:pPr>
            <w:r>
              <w:t xml:space="preserve">0.0025</w:t>
            </w:r>
          </w:p>
        </w:tc>
        <w:tc>
          <w:tcPr/>
          <w:p>
            <w:pPr>
              <w:pStyle w:val="Compact"/>
            </w:pPr>
            <w:r>
              <w:t xml:space="preserve">[0.0003, 0.0142]</w:t>
            </w:r>
          </w:p>
        </w:tc>
        <w:tc>
          <w:tcPr/>
          <w:p>
            <w:pPr>
              <w:pStyle w:val="Compact"/>
              <w:jc w:val="right"/>
            </w:pPr>
            <w:r>
              <w:t xml:space="preserve">2.5x</w:t>
            </w:r>
          </w:p>
        </w:tc>
        <w:tc>
          <w:tcPr/>
          <w:p>
            <w:pPr>
              <w:pStyle w:val="Compact"/>
              <w:jc w:val="center"/>
            </w:pPr>
            <w:r>
              <w:t xml:space="preserve">matched</w:t>
            </w:r>
          </w:p>
        </w:tc>
      </w:tr>
      <w:tr>
        <w:tc>
          <w:tcPr/>
          <w:p>
            <w:pPr>
              <w:pStyle w:val="Compact"/>
              <w:jc w:val="right"/>
            </w:pPr>
            <w:r>
              <w:t xml:space="preserve">1.0</w:t>
            </w:r>
          </w:p>
        </w:tc>
        <w:tc>
          <w:tcPr/>
          <w:p>
            <w:pPr>
              <w:pStyle w:val="Compact"/>
              <w:jc w:val="right"/>
            </w:pPr>
            <w:r>
              <w:t xml:space="preserve">1019</w:t>
            </w:r>
          </w:p>
        </w:tc>
        <w:tc>
          <w:tcPr/>
          <w:p>
            <w:pPr>
              <w:pStyle w:val="Compact"/>
              <w:jc w:val="right"/>
            </w:pPr>
            <w:r>
              <w:t xml:space="preserve">0.0033</w:t>
            </w:r>
          </w:p>
        </w:tc>
        <w:tc>
          <w:tcPr/>
          <w:p>
            <w:pPr>
              <w:pStyle w:val="Compact"/>
            </w:pPr>
            <w:r>
              <w:t xml:space="preserve">[0.0004, 0.0219]</w:t>
            </w:r>
          </w:p>
        </w:tc>
        <w:tc>
          <w:tcPr/>
          <w:p>
            <w:pPr>
              <w:pStyle w:val="Compact"/>
              <w:jc w:val="right"/>
            </w:pPr>
            <w:r>
              <w:t xml:space="preserve">1.9x</w:t>
            </w:r>
          </w:p>
        </w:tc>
        <w:tc>
          <w:tcPr/>
          <w:p>
            <w:pPr>
              <w:pStyle w:val="Compact"/>
              <w:jc w:val="center"/>
            </w:pPr>
            <w:r>
              <w:t xml:space="preserve">broken</w:t>
            </w:r>
          </w:p>
        </w:tc>
      </w:tr>
      <w:tr>
        <w:tc>
          <w:tcPr/>
          <w:p>
            <w:pPr>
              <w:pStyle w:val="Compact"/>
              <w:jc w:val="right"/>
            </w:pPr>
            <w:r>
              <w:t xml:space="preserve">1.5</w:t>
            </w:r>
          </w:p>
        </w:tc>
        <w:tc>
          <w:tcPr/>
          <w:p>
            <w:pPr>
              <w:pStyle w:val="Compact"/>
              <w:jc w:val="right"/>
            </w:pPr>
            <w:r>
              <w:t xml:space="preserve">669</w:t>
            </w:r>
          </w:p>
        </w:tc>
        <w:tc>
          <w:tcPr/>
          <w:p>
            <w:pPr>
              <w:pStyle w:val="Compact"/>
              <w:jc w:val="right"/>
            </w:pPr>
            <w:r>
              <w:t xml:space="preserve">0.0046</w:t>
            </w:r>
          </w:p>
        </w:tc>
        <w:tc>
          <w:tcPr/>
          <w:p>
            <w:pPr>
              <w:pStyle w:val="Compact"/>
            </w:pPr>
            <w:r>
              <w:t xml:space="preserve">[0.0005, 0.0392]</w:t>
            </w:r>
          </w:p>
        </w:tc>
        <w:tc>
          <w:tcPr/>
          <w:p>
            <w:pPr>
              <w:pStyle w:val="Compact"/>
              <w:jc w:val="right"/>
            </w:pPr>
            <w:r>
              <w:t xml:space="preserve">1.4x</w:t>
            </w:r>
          </w:p>
        </w:tc>
        <w:tc>
          <w:tcPr/>
          <w:p>
            <w:pPr>
              <w:pStyle w:val="Compact"/>
              <w:jc w:val="center"/>
            </w:pPr>
            <w:r>
              <w:t xml:space="preserve">broken</w:t>
            </w:r>
          </w:p>
        </w:tc>
      </w:tr>
      <w:tr>
        <w:tc>
          <w:tcPr/>
          <w:p>
            <w:pPr>
              <w:pStyle w:val="Compact"/>
              <w:jc w:val="right"/>
            </w:pPr>
            <w:r>
              <w:t xml:space="preserve">2.0</w:t>
            </w:r>
          </w:p>
        </w:tc>
        <w:tc>
          <w:tcPr/>
          <w:p>
            <w:pPr>
              <w:pStyle w:val="Compact"/>
              <w:jc w:val="right"/>
            </w:pPr>
            <w:r>
              <w:t xml:space="preserve">467</w:t>
            </w:r>
          </w:p>
        </w:tc>
        <w:tc>
          <w:tcPr/>
          <w:p>
            <w:pPr>
              <w:pStyle w:val="Compact"/>
              <w:jc w:val="right"/>
            </w:pPr>
            <w:r>
              <w:t xml:space="preserve">0.0069</w:t>
            </w:r>
          </w:p>
        </w:tc>
        <w:tc>
          <w:tcPr/>
          <w:p>
            <w:pPr>
              <w:pStyle w:val="Compact"/>
            </w:pPr>
            <w:r>
              <w:t xml:space="preserve">[0.0005, 0.0445]</w:t>
            </w:r>
          </w:p>
        </w:tc>
        <w:tc>
          <w:tcPr/>
          <w:p>
            <w:pPr>
              <w:pStyle w:val="Compact"/>
              <w:jc w:val="right"/>
            </w:pPr>
            <w:r>
              <w:t xml:space="preserve">0.9x</w:t>
            </w:r>
          </w:p>
        </w:tc>
        <w:tc>
          <w:tcPr/>
          <w:p>
            <w:pPr>
              <w:pStyle w:val="Compact"/>
              <w:jc w:val="center"/>
            </w:pPr>
            <w:r>
              <w:t xml:space="preserve">broken</w:t>
            </w:r>
          </w:p>
        </w:tc>
      </w:tr>
      <w:tr>
        <w:tc>
          <w:tcPr/>
          <w:p>
            <w:pPr>
              <w:pStyle w:val="Compact"/>
              <w:jc w:val="right"/>
            </w:pPr>
            <w:r>
              <w:t xml:space="preserve">3.0</w:t>
            </w:r>
          </w:p>
        </w:tc>
        <w:tc>
          <w:tcPr/>
          <w:p>
            <w:pPr>
              <w:pStyle w:val="Compact"/>
              <w:jc w:val="right"/>
            </w:pPr>
            <w:r>
              <w:t xml:space="preserve">266</w:t>
            </w:r>
          </w:p>
        </w:tc>
        <w:tc>
          <w:tcPr/>
          <w:p>
            <w:pPr>
              <w:pStyle w:val="Compact"/>
              <w:jc w:val="right"/>
            </w:pPr>
            <w:r>
              <w:t xml:space="preserve">0.0101</w:t>
            </w:r>
          </w:p>
        </w:tc>
        <w:tc>
          <w:tcPr/>
          <w:p>
            <w:pPr>
              <w:pStyle w:val="Compact"/>
            </w:pPr>
            <w:r>
              <w:t xml:space="preserve">[0.0007, 0.0837]</w:t>
            </w:r>
          </w:p>
        </w:tc>
        <w:tc>
          <w:tcPr/>
          <w:p>
            <w:pPr>
              <w:pStyle w:val="Compact"/>
              <w:jc w:val="right"/>
            </w:pPr>
            <w:r>
              <w:t xml:space="preserve">0.6x</w:t>
            </w:r>
          </w:p>
        </w:tc>
        <w:tc>
          <w:tcPr/>
          <w:p>
            <w:pPr>
              <w:pStyle w:val="Compact"/>
              <w:jc w:val="center"/>
            </w:pPr>
            <w:r>
              <w:t xml:space="preserve">broken</w:t>
            </w:r>
          </w:p>
        </w:tc>
      </w:tr>
    </w:tbl>
    <w:p>
      <w:pPr>
        <w:pStyle w:val="BodyText"/>
      </w:pPr>
      <w:r>
        <w:t xml:space="preserve">Maximum mound height in</w:t>
      </w:r>
      <w:r>
        <w:t xml:space="preserve"> </w:t>
      </w:r>
      <w:r>
        <w:rPr>
          <w:rStyle w:val="VerbatimChar"/>
        </w:rPr>
        <w:t xml:space="preserve">data/LMVData-22March2006.xls</w:t>
      </w:r>
      <w:r>
        <w:t xml:space="preserve"> </w:t>
      </w:r>
      <w:r>
        <w:t xml:space="preserve">covers 24 of the 28 assemblages and is the only size field with usable coverage. Taking population to scale with height, height squared, or height cubed implies coefficients of variation of 0.92, 1.37, and 1.78, with Morse’s corrected height for Parkin substituted as elsewhere. Across that range the shortfall runs from about 1.9-fold at a coefficient of 1.0 to 1.4-fold at 1.5, and the observation is passed by 2.0, but the diversity match is lost from 1.0. Inequality raises differentiation, but it also lowers the harmonic mean population, which speeds drift everywhere and pulls diversity below the observed value.</w:t>
      </w:r>
    </w:p>
    <w:p>
      <w:pPr>
        <w:pStyle w:val="BodyText"/>
      </w:pPr>
      <w:r>
        <w:rPr>
          <w:b/>
          <w:bCs/>
        </w:rPr>
        <w:t xml:space="preserve">Transport geography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river, exponential, 6 km</w:t>
            </w:r>
          </w:p>
        </w:tc>
        <w:tc>
          <w:tcPr/>
          <w:p>
            <w:pPr>
              <w:pStyle w:val="Compact"/>
              <w:jc w:val="right"/>
            </w:pPr>
            <w:r>
              <w:t xml:space="preserve">0.0067</w:t>
            </w:r>
          </w:p>
        </w:tc>
        <w:tc>
          <w:tcPr/>
          <w:p>
            <w:pPr>
              <w:pStyle w:val="Compact"/>
            </w:pPr>
            <w:r>
              <w:t xml:space="preserve">[0.0006, 0.0320]</w:t>
            </w:r>
          </w:p>
        </w:tc>
        <w:tc>
          <w:tcPr/>
          <w:p>
            <w:pPr>
              <w:pStyle w:val="Compact"/>
              <w:jc w:val="right"/>
            </w:pPr>
            <w:r>
              <w:t xml:space="preserve">0.9x</w:t>
            </w:r>
          </w:p>
        </w:tc>
        <w:tc>
          <w:tcPr/>
          <w:p>
            <w:pPr>
              <w:pStyle w:val="Compact"/>
              <w:jc w:val="center"/>
            </w:pPr>
            <w:r>
              <w:t xml:space="preserve">broken</w:t>
            </w:r>
          </w:p>
        </w:tc>
      </w:tr>
      <w:tr>
        <w:tc>
          <w:tcPr/>
          <w:p>
            <w:pPr>
              <w:pStyle w:val="Compact"/>
            </w:pPr>
            <w:r>
              <w:t xml:space="preserve">river, exponential, 12 km</w:t>
            </w:r>
          </w:p>
        </w:tc>
        <w:tc>
          <w:tcPr/>
          <w:p>
            <w:pPr>
              <w:pStyle w:val="Compact"/>
              <w:jc w:val="right"/>
            </w:pPr>
            <w:r>
              <w:t xml:space="preserve">0.0048</w:t>
            </w:r>
          </w:p>
        </w:tc>
        <w:tc>
          <w:tcPr/>
          <w:p>
            <w:pPr>
              <w:pStyle w:val="Compact"/>
            </w:pPr>
            <w:r>
              <w:t xml:space="preserve">[0.0005, 0.0265]</w:t>
            </w:r>
          </w:p>
        </w:tc>
        <w:tc>
          <w:tcPr/>
          <w:p>
            <w:pPr>
              <w:pStyle w:val="Compact"/>
              <w:jc w:val="right"/>
            </w:pPr>
            <w:r>
              <w:t xml:space="preserve">1.3x</w:t>
            </w:r>
          </w:p>
        </w:tc>
        <w:tc>
          <w:tcPr/>
          <w:p>
            <w:pPr>
              <w:pStyle w:val="Compact"/>
              <w:jc w:val="center"/>
            </w:pPr>
            <w:r>
              <w:t xml:space="preserve">broken</w:t>
            </w:r>
          </w:p>
        </w:tc>
      </w:tr>
      <w:tr>
        <w:tc>
          <w:tcPr/>
          <w:p>
            <w:pPr>
              <w:pStyle w:val="Compact"/>
            </w:pPr>
            <w:r>
              <w:t xml:space="preserve">river, exponential, 24 km</w:t>
            </w:r>
          </w:p>
        </w:tc>
        <w:tc>
          <w:tcPr/>
          <w:p>
            <w:pPr>
              <w:pStyle w:val="Compact"/>
              <w:jc w:val="right"/>
            </w:pPr>
            <w:r>
              <w:t xml:space="preserve">0.0022</w:t>
            </w:r>
          </w:p>
        </w:tc>
        <w:tc>
          <w:tcPr/>
          <w:p>
            <w:pPr>
              <w:pStyle w:val="Compact"/>
            </w:pPr>
            <w:r>
              <w:t xml:space="preserve">[0.0003, 0.0136]</w:t>
            </w:r>
          </w:p>
        </w:tc>
        <w:tc>
          <w:tcPr/>
          <w:p>
            <w:pPr>
              <w:pStyle w:val="Compact"/>
              <w:jc w:val="right"/>
            </w:pPr>
            <w:r>
              <w:t xml:space="preserve">2.8x</w:t>
            </w:r>
          </w:p>
        </w:tc>
        <w:tc>
          <w:tcPr/>
          <w:p>
            <w:pPr>
              <w:pStyle w:val="Compact"/>
              <w:jc w:val="center"/>
            </w:pPr>
            <w:r>
              <w:t xml:space="preserve">matched</w:t>
            </w:r>
          </w:p>
        </w:tc>
      </w:tr>
      <w:tr>
        <w:tc>
          <w:tcPr/>
          <w:p>
            <w:pPr>
              <w:pStyle w:val="Compact"/>
            </w:pPr>
            <w:r>
              <w:t xml:space="preserve">river, exponential, 48 km</w:t>
            </w:r>
          </w:p>
        </w:tc>
        <w:tc>
          <w:tcPr/>
          <w:p>
            <w:pPr>
              <w:pStyle w:val="Compact"/>
              <w:jc w:val="right"/>
            </w:pPr>
            <w:r>
              <w:t xml:space="preserve">0.0007</w:t>
            </w:r>
          </w:p>
        </w:tc>
        <w:tc>
          <w:tcPr/>
          <w:p>
            <w:pPr>
              <w:pStyle w:val="Compact"/>
            </w:pPr>
            <w:r>
              <w:t xml:space="preserve">[0.0001, 0.0036]</w:t>
            </w:r>
          </w:p>
        </w:tc>
        <w:tc>
          <w:tcPr/>
          <w:p>
            <w:pPr>
              <w:pStyle w:val="Compact"/>
              <w:jc w:val="right"/>
            </w:pPr>
            <w:r>
              <w:t xml:space="preserve">8.4x</w:t>
            </w:r>
          </w:p>
        </w:tc>
        <w:tc>
          <w:tcPr/>
          <w:p>
            <w:pPr>
              <w:pStyle w:val="Compact"/>
              <w:jc w:val="center"/>
            </w:pPr>
            <w:r>
              <w:t xml:space="preserve">matched</w:t>
            </w:r>
          </w:p>
        </w:tc>
      </w:tr>
      <w:tr>
        <w:tc>
          <w:tcPr/>
          <w:p>
            <w:pPr>
              <w:pStyle w:val="Compact"/>
            </w:pPr>
            <w:r>
              <w:t xml:space="preserve">river, exponential, 96 km</w:t>
            </w:r>
          </w:p>
        </w:tc>
        <w:tc>
          <w:tcPr/>
          <w:p>
            <w:pPr>
              <w:pStyle w:val="Compact"/>
              <w:jc w:val="right"/>
            </w:pPr>
            <w:r>
              <w:t xml:space="preserve">0.0007</w:t>
            </w:r>
          </w:p>
        </w:tc>
        <w:tc>
          <w:tcPr/>
          <w:p>
            <w:pPr>
              <w:pStyle w:val="Compact"/>
            </w:pPr>
            <w:r>
              <w:t xml:space="preserve">[0.0001, 0.0032]</w:t>
            </w:r>
          </w:p>
        </w:tc>
        <w:tc>
          <w:tcPr/>
          <w:p>
            <w:pPr>
              <w:pStyle w:val="Compact"/>
              <w:jc w:val="right"/>
            </w:pPr>
            <w:r>
              <w:t xml:space="preserve">9.2x</w:t>
            </w:r>
          </w:p>
        </w:tc>
        <w:tc>
          <w:tcPr/>
          <w:p>
            <w:pPr>
              <w:pStyle w:val="Compact"/>
              <w:jc w:val="center"/>
            </w:pPr>
            <w:r>
              <w:t xml:space="preserve">matched</w:t>
            </w:r>
          </w:p>
        </w:tc>
      </w:tr>
      <w:tr>
        <w:tc>
          <w:tcPr/>
          <w:p>
            <w:pPr>
              <w:pStyle w:val="Compact"/>
            </w:pPr>
            <w:r>
              <w:t xml:space="preserve">straight-line, exponential, 6 km</w:t>
            </w:r>
          </w:p>
        </w:tc>
        <w:tc>
          <w:tcPr/>
          <w:p>
            <w:pPr>
              <w:pStyle w:val="Compact"/>
              <w:jc w:val="right"/>
            </w:pPr>
            <w:r>
              <w:t xml:space="preserve">0.0036</w:t>
            </w:r>
          </w:p>
        </w:tc>
        <w:tc>
          <w:tcPr/>
          <w:p>
            <w:pPr>
              <w:pStyle w:val="Compact"/>
            </w:pPr>
            <w:r>
              <w:t xml:space="preserve">[0.0004, 0.0211]</w:t>
            </w:r>
          </w:p>
        </w:tc>
        <w:tc>
          <w:tcPr/>
          <w:p>
            <w:pPr>
              <w:pStyle w:val="Compact"/>
              <w:jc w:val="right"/>
            </w:pPr>
            <w:r>
              <w:t xml:space="preserve">1.7x</w:t>
            </w:r>
          </w:p>
        </w:tc>
        <w:tc>
          <w:tcPr/>
          <w:p>
            <w:pPr>
              <w:pStyle w:val="Compact"/>
              <w:jc w:val="center"/>
            </w:pPr>
            <w:r>
              <w:t xml:space="preserve">matched</w:t>
            </w:r>
          </w:p>
        </w:tc>
      </w:tr>
      <w:tr>
        <w:tc>
          <w:tcPr/>
          <w:p>
            <w:pPr>
              <w:pStyle w:val="Compact"/>
            </w:pPr>
            <w:r>
              <w:t xml:space="preserve">straight-line, exponential, 12 km</w:t>
            </w:r>
          </w:p>
        </w:tc>
        <w:tc>
          <w:tcPr/>
          <w:p>
            <w:pPr>
              <w:pStyle w:val="Compact"/>
              <w:jc w:val="right"/>
            </w:pPr>
            <w:r>
              <w:t xml:space="preserve">0.0010</w:t>
            </w:r>
          </w:p>
        </w:tc>
        <w:tc>
          <w:tcPr/>
          <w:p>
            <w:pPr>
              <w:pStyle w:val="Compact"/>
            </w:pPr>
            <w:r>
              <w:t xml:space="preserve">[0.0001, 0.0061]</w:t>
            </w:r>
          </w:p>
        </w:tc>
        <w:tc>
          <w:tcPr/>
          <w:p>
            <w:pPr>
              <w:pStyle w:val="Compact"/>
              <w:jc w:val="right"/>
            </w:pPr>
            <w:r>
              <w:t xml:space="preserve">6.2x</w:t>
            </w:r>
          </w:p>
        </w:tc>
        <w:tc>
          <w:tcPr/>
          <w:p>
            <w:pPr>
              <w:pStyle w:val="Compact"/>
              <w:jc w:val="center"/>
            </w:pPr>
            <w:r>
              <w:t xml:space="preserve">matched</w:t>
            </w:r>
          </w:p>
        </w:tc>
      </w:tr>
      <w:tr>
        <w:tc>
          <w:tcPr/>
          <w:p>
            <w:pPr>
              <w:pStyle w:val="Compact"/>
            </w:pPr>
            <w:r>
              <w:t xml:space="preserve">straight-line, exponential, 24 km</w:t>
            </w:r>
          </w:p>
        </w:tc>
        <w:tc>
          <w:tcPr/>
          <w:p>
            <w:pPr>
              <w:pStyle w:val="Compact"/>
              <w:jc w:val="right"/>
            </w:pPr>
            <w:r>
              <w:t xml:space="preserve">0.0006</w:t>
            </w:r>
          </w:p>
        </w:tc>
        <w:tc>
          <w:tcPr/>
          <w:p>
            <w:pPr>
              <w:pStyle w:val="Compact"/>
            </w:pPr>
            <w:r>
              <w:t xml:space="preserve">[0.0001, 0.0033]</w:t>
            </w:r>
          </w:p>
        </w:tc>
        <w:tc>
          <w:tcPr/>
          <w:p>
            <w:pPr>
              <w:pStyle w:val="Compact"/>
              <w:jc w:val="right"/>
            </w:pPr>
            <w:r>
              <w:t xml:space="preserve">10.6x</w:t>
            </w:r>
          </w:p>
        </w:tc>
        <w:tc>
          <w:tcPr/>
          <w:p>
            <w:pPr>
              <w:pStyle w:val="Compact"/>
              <w:jc w:val="center"/>
            </w:pPr>
            <w:r>
              <w:t xml:space="preserve">matched</w:t>
            </w:r>
          </w:p>
        </w:tc>
      </w:tr>
      <w:tr>
        <w:tc>
          <w:tcPr/>
          <w:p>
            <w:pPr>
              <w:pStyle w:val="Compact"/>
            </w:pPr>
            <w:r>
              <w:t xml:space="preserve">straight-line, exponential, 48 km</w:t>
            </w:r>
          </w:p>
        </w:tc>
        <w:tc>
          <w:tcPr/>
          <w:p>
            <w:pPr>
              <w:pStyle w:val="Compact"/>
              <w:jc w:val="right"/>
            </w:pPr>
            <w:r>
              <w:t xml:space="preserve">0.0006</w:t>
            </w:r>
          </w:p>
        </w:tc>
        <w:tc>
          <w:tcPr/>
          <w:p>
            <w:pPr>
              <w:pStyle w:val="Compact"/>
            </w:pPr>
            <w:r>
              <w:t xml:space="preserve">[0.0001, 0.0035]</w:t>
            </w:r>
          </w:p>
        </w:tc>
        <w:tc>
          <w:tcPr/>
          <w:p>
            <w:pPr>
              <w:pStyle w:val="Compact"/>
              <w:jc w:val="right"/>
            </w:pPr>
            <w:r>
              <w:t xml:space="preserve">11.0x</w:t>
            </w:r>
          </w:p>
        </w:tc>
        <w:tc>
          <w:tcPr/>
          <w:p>
            <w:pPr>
              <w:pStyle w:val="Compact"/>
              <w:jc w:val="center"/>
            </w:pPr>
            <w:r>
              <w:t xml:space="preserve">matched</w:t>
            </w:r>
          </w:p>
        </w:tc>
      </w:tr>
      <w:tr>
        <w:tc>
          <w:tcPr/>
          <w:p>
            <w:pPr>
              <w:pStyle w:val="Compact"/>
            </w:pPr>
            <w:r>
              <w:t xml:space="preserve">straight-line, exponential, 96 km</w:t>
            </w:r>
          </w:p>
        </w:tc>
        <w:tc>
          <w:tcPr/>
          <w:p>
            <w:pPr>
              <w:pStyle w:val="Compact"/>
              <w:jc w:val="right"/>
            </w:pPr>
            <w:r>
              <w:t xml:space="preserve">0.0005</w:t>
            </w:r>
          </w:p>
        </w:tc>
        <w:tc>
          <w:tcPr/>
          <w:p>
            <w:pPr>
              <w:pStyle w:val="Compact"/>
            </w:pPr>
            <w:r>
              <w:t xml:space="preserve">[0.0001, 0.0030]</w:t>
            </w:r>
          </w:p>
        </w:tc>
        <w:tc>
          <w:tcPr/>
          <w:p>
            <w:pPr>
              <w:pStyle w:val="Compact"/>
              <w:jc w:val="right"/>
            </w:pPr>
            <w:r>
              <w:t xml:space="preserve">13.7x</w:t>
            </w:r>
          </w:p>
        </w:tc>
        <w:tc>
          <w:tcPr/>
          <w:p>
            <w:pPr>
              <w:pStyle w:val="Compact"/>
              <w:jc w:val="center"/>
            </w:pPr>
            <w:r>
              <w:t xml:space="preserve">matched</w:t>
            </w:r>
          </w:p>
        </w:tc>
      </w:tr>
      <w:tr>
        <w:tc>
          <w:tcPr/>
          <w:p>
            <w:pPr>
              <w:pStyle w:val="Compact"/>
            </w:pPr>
            <w:r>
              <w:t xml:space="preserve">river, gaussian, 6 km</w:t>
            </w:r>
          </w:p>
        </w:tc>
        <w:tc>
          <w:tcPr/>
          <w:p>
            <w:pPr>
              <w:pStyle w:val="Compact"/>
              <w:jc w:val="right"/>
            </w:pPr>
            <w:r>
              <w:t xml:space="preserve">0.0093</w:t>
            </w:r>
          </w:p>
        </w:tc>
        <w:tc>
          <w:tcPr/>
          <w:p>
            <w:pPr>
              <w:pStyle w:val="Compact"/>
            </w:pPr>
            <w:r>
              <w:t xml:space="preserve">[0.0009, 0.0492]</w:t>
            </w:r>
          </w:p>
        </w:tc>
        <w:tc>
          <w:tcPr/>
          <w:p>
            <w:pPr>
              <w:pStyle w:val="Compact"/>
              <w:jc w:val="right"/>
            </w:pPr>
            <w:r>
              <w:t xml:space="preserve">0.7x</w:t>
            </w:r>
          </w:p>
        </w:tc>
        <w:tc>
          <w:tcPr/>
          <w:p>
            <w:pPr>
              <w:pStyle w:val="Compact"/>
              <w:jc w:val="center"/>
            </w:pPr>
            <w:r>
              <w:t xml:space="preserve">broken</w:t>
            </w:r>
          </w:p>
        </w:tc>
      </w:tr>
      <w:tr>
        <w:tc>
          <w:tcPr/>
          <w:p>
            <w:pPr>
              <w:pStyle w:val="Compact"/>
            </w:pPr>
            <w:r>
              <w:t xml:space="preserve">river, gaussian, 12 km</w:t>
            </w:r>
          </w:p>
        </w:tc>
        <w:tc>
          <w:tcPr/>
          <w:p>
            <w:pPr>
              <w:pStyle w:val="Compact"/>
              <w:jc w:val="right"/>
            </w:pPr>
            <w:r>
              <w:t xml:space="preserve">0.0079</w:t>
            </w:r>
          </w:p>
        </w:tc>
        <w:tc>
          <w:tcPr/>
          <w:p>
            <w:pPr>
              <w:pStyle w:val="Compact"/>
            </w:pPr>
            <w:r>
              <w:t xml:space="preserve">[0.0006, 0.0445]</w:t>
            </w:r>
          </w:p>
        </w:tc>
        <w:tc>
          <w:tcPr/>
          <w:p>
            <w:pPr>
              <w:pStyle w:val="Compact"/>
              <w:jc w:val="right"/>
            </w:pPr>
            <w:r>
              <w:t xml:space="preserve">0.8x</w:t>
            </w:r>
          </w:p>
        </w:tc>
        <w:tc>
          <w:tcPr/>
          <w:p>
            <w:pPr>
              <w:pStyle w:val="Compact"/>
              <w:jc w:val="center"/>
            </w:pPr>
            <w:r>
              <w:t xml:space="preserve">broken</w:t>
            </w:r>
          </w:p>
        </w:tc>
      </w:tr>
      <w:tr>
        <w:tc>
          <w:tcPr/>
          <w:p>
            <w:pPr>
              <w:pStyle w:val="Compact"/>
            </w:pPr>
            <w:r>
              <w:t xml:space="preserve">river, gaussian, 24 km</w:t>
            </w:r>
          </w:p>
        </w:tc>
        <w:tc>
          <w:tcPr/>
          <w:p>
            <w:pPr>
              <w:pStyle w:val="Compact"/>
              <w:jc w:val="right"/>
            </w:pPr>
            <w:r>
              <w:t xml:space="preserve">0.0045</w:t>
            </w:r>
          </w:p>
        </w:tc>
        <w:tc>
          <w:tcPr/>
          <w:p>
            <w:pPr>
              <w:pStyle w:val="Compact"/>
            </w:pPr>
            <w:r>
              <w:t xml:space="preserve">[0.0005, 0.0320]</w:t>
            </w:r>
          </w:p>
        </w:tc>
        <w:tc>
          <w:tcPr/>
          <w:p>
            <w:pPr>
              <w:pStyle w:val="Compact"/>
              <w:jc w:val="right"/>
            </w:pPr>
            <w:r>
              <w:t xml:space="preserve">1.4x</w:t>
            </w:r>
          </w:p>
        </w:tc>
        <w:tc>
          <w:tcPr/>
          <w:p>
            <w:pPr>
              <w:pStyle w:val="Compact"/>
              <w:jc w:val="center"/>
            </w:pPr>
            <w:r>
              <w:t xml:space="preserve">broken</w:t>
            </w:r>
          </w:p>
        </w:tc>
      </w:tr>
      <w:tr>
        <w:tc>
          <w:tcPr/>
          <w:p>
            <w:pPr>
              <w:pStyle w:val="Compact"/>
            </w:pPr>
            <w:r>
              <w:t xml:space="preserve">river, gaussian, 48 km</w:t>
            </w:r>
          </w:p>
        </w:tc>
        <w:tc>
          <w:tcPr/>
          <w:p>
            <w:pPr>
              <w:pStyle w:val="Compact"/>
              <w:jc w:val="right"/>
            </w:pPr>
            <w:r>
              <w:t xml:space="preserve">0.0023</w:t>
            </w:r>
          </w:p>
        </w:tc>
        <w:tc>
          <w:tcPr/>
          <w:p>
            <w:pPr>
              <w:pStyle w:val="Compact"/>
            </w:pPr>
            <w:r>
              <w:t xml:space="preserve">[0.0002, 0.0120]</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river, gaussian, 96 km</w:t>
            </w:r>
          </w:p>
        </w:tc>
        <w:tc>
          <w:tcPr/>
          <w:p>
            <w:pPr>
              <w:pStyle w:val="Compact"/>
              <w:jc w:val="right"/>
            </w:pPr>
            <w:r>
              <w:t xml:space="preserve">0.0008</w:t>
            </w:r>
          </w:p>
        </w:tc>
        <w:tc>
          <w:tcPr/>
          <w:p>
            <w:pPr>
              <w:pStyle w:val="Compact"/>
            </w:pPr>
            <w:r>
              <w:t xml:space="preserve">[0.0001, 0.0043]</w:t>
            </w:r>
          </w:p>
        </w:tc>
        <w:tc>
          <w:tcPr/>
          <w:p>
            <w:pPr>
              <w:pStyle w:val="Compact"/>
              <w:jc w:val="right"/>
            </w:pPr>
            <w:r>
              <w:t xml:space="preserve">8.1x</w:t>
            </w:r>
          </w:p>
        </w:tc>
        <w:tc>
          <w:tcPr/>
          <w:p>
            <w:pPr>
              <w:pStyle w:val="Compact"/>
              <w:jc w:val="center"/>
            </w:pPr>
            <w:r>
              <w:t xml:space="preserve">matched</w:t>
            </w:r>
          </w:p>
        </w:tc>
      </w:tr>
      <w:tr>
        <w:tc>
          <w:tcPr/>
          <w:p>
            <w:pPr>
              <w:pStyle w:val="Compact"/>
            </w:pPr>
            <w:r>
              <w:t xml:space="preserve">river, power, 6 km</w:t>
            </w:r>
          </w:p>
        </w:tc>
        <w:tc>
          <w:tcPr/>
          <w:p>
            <w:pPr>
              <w:pStyle w:val="Compact"/>
              <w:jc w:val="right"/>
            </w:pPr>
            <w:r>
              <w:t xml:space="preserve">0.0017</w:t>
            </w:r>
          </w:p>
        </w:tc>
        <w:tc>
          <w:tcPr/>
          <w:p>
            <w:pPr>
              <w:pStyle w:val="Compact"/>
            </w:pPr>
            <w:r>
              <w:t xml:space="preserve">[0.0002, 0.0094]</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12 km</w:t>
            </w:r>
          </w:p>
        </w:tc>
        <w:tc>
          <w:tcPr/>
          <w:p>
            <w:pPr>
              <w:pStyle w:val="Compact"/>
              <w:jc w:val="right"/>
            </w:pPr>
            <w:r>
              <w:t xml:space="preserve">0.0013</w:t>
            </w:r>
          </w:p>
        </w:tc>
        <w:tc>
          <w:tcPr/>
          <w:p>
            <w:pPr>
              <w:pStyle w:val="Compact"/>
            </w:pPr>
            <w:r>
              <w:t xml:space="preserve">[0.0002, 0.0070]</w:t>
            </w:r>
          </w:p>
        </w:tc>
        <w:tc>
          <w:tcPr/>
          <w:p>
            <w:pPr>
              <w:pStyle w:val="Compact"/>
              <w:jc w:val="right"/>
            </w:pPr>
            <w:r>
              <w:t xml:space="preserve">4.8x</w:t>
            </w:r>
          </w:p>
        </w:tc>
        <w:tc>
          <w:tcPr/>
          <w:p>
            <w:pPr>
              <w:pStyle w:val="Compact"/>
              <w:jc w:val="center"/>
            </w:pPr>
            <w:r>
              <w:t xml:space="preserve">matched</w:t>
            </w:r>
          </w:p>
        </w:tc>
      </w:tr>
      <w:tr>
        <w:tc>
          <w:tcPr/>
          <w:p>
            <w:pPr>
              <w:pStyle w:val="Compact"/>
            </w:pPr>
            <w:r>
              <w:t xml:space="preserve">river, power, 24 km</w:t>
            </w:r>
          </w:p>
        </w:tc>
        <w:tc>
          <w:tcPr/>
          <w:p>
            <w:pPr>
              <w:pStyle w:val="Compact"/>
              <w:jc w:val="right"/>
            </w:pPr>
            <w:r>
              <w:t xml:space="preserve">0.0009</w:t>
            </w:r>
          </w:p>
        </w:tc>
        <w:tc>
          <w:tcPr/>
          <w:p>
            <w:pPr>
              <w:pStyle w:val="Compact"/>
            </w:pPr>
            <w:r>
              <w:t xml:space="preserve">[0.0001, 0.0062]</w:t>
            </w:r>
          </w:p>
        </w:tc>
        <w:tc>
          <w:tcPr/>
          <w:p>
            <w:pPr>
              <w:pStyle w:val="Compact"/>
              <w:jc w:val="right"/>
            </w:pPr>
            <w:r>
              <w:t xml:space="preserve">7.0x</w:t>
            </w:r>
          </w:p>
        </w:tc>
        <w:tc>
          <w:tcPr/>
          <w:p>
            <w:pPr>
              <w:pStyle w:val="Compact"/>
              <w:jc w:val="center"/>
            </w:pPr>
            <w:r>
              <w:t xml:space="preserve">matched</w:t>
            </w:r>
          </w:p>
        </w:tc>
      </w:tr>
      <w:tr>
        <w:tc>
          <w:tcPr/>
          <w:p>
            <w:pPr>
              <w:pStyle w:val="Compact"/>
            </w:pPr>
            <w:r>
              <w:t xml:space="preserve">river, power, 48 km</w:t>
            </w:r>
          </w:p>
        </w:tc>
        <w:tc>
          <w:tcPr/>
          <w:p>
            <w:pPr>
              <w:pStyle w:val="Compact"/>
              <w:jc w:val="right"/>
            </w:pPr>
            <w:r>
              <w:t xml:space="preserve">0.0006</w:t>
            </w:r>
          </w:p>
        </w:tc>
        <w:tc>
          <w:tcPr/>
          <w:p>
            <w:pPr>
              <w:pStyle w:val="Compact"/>
            </w:pPr>
            <w:r>
              <w:t xml:space="preserve">[0.0001, 0.0036]</w:t>
            </w:r>
          </w:p>
        </w:tc>
        <w:tc>
          <w:tcPr/>
          <w:p>
            <w:pPr>
              <w:pStyle w:val="Compact"/>
              <w:jc w:val="right"/>
            </w:pPr>
            <w:r>
              <w:t xml:space="preserve">9.9x</w:t>
            </w:r>
          </w:p>
        </w:tc>
        <w:tc>
          <w:tcPr/>
          <w:p>
            <w:pPr>
              <w:pStyle w:val="Compact"/>
              <w:jc w:val="center"/>
            </w:pPr>
            <w:r>
              <w:t xml:space="preserve">matched</w:t>
            </w:r>
          </w:p>
        </w:tc>
      </w:tr>
      <w:tr>
        <w:tc>
          <w:tcPr/>
          <w:p>
            <w:pPr>
              <w:pStyle w:val="Compact"/>
            </w:pPr>
            <w:r>
              <w:t xml:space="preserve">river, power, 96 km</w:t>
            </w:r>
          </w:p>
        </w:tc>
        <w:tc>
          <w:tcPr/>
          <w:p>
            <w:pPr>
              <w:pStyle w:val="Compact"/>
              <w:jc w:val="right"/>
            </w:pPr>
            <w:r>
              <w:t xml:space="preserve">0.0006</w:t>
            </w:r>
          </w:p>
        </w:tc>
        <w:tc>
          <w:tcPr/>
          <w:p>
            <w:pPr>
              <w:pStyle w:val="Compact"/>
            </w:pPr>
            <w:r>
              <w:t xml:space="preserve">[0.0001, 0.0029]</w:t>
            </w:r>
          </w:p>
        </w:tc>
        <w:tc>
          <w:tcPr/>
          <w:p>
            <w:pPr>
              <w:pStyle w:val="Compact"/>
              <w:jc w:val="right"/>
            </w:pPr>
            <w:r>
              <w:t xml:space="preserve">11.3x</w:t>
            </w:r>
          </w:p>
        </w:tc>
        <w:tc>
          <w:tcPr/>
          <w:p>
            <w:pPr>
              <w:pStyle w:val="Compact"/>
              <w:jc w:val="center"/>
            </w:pPr>
            <w:r>
              <w:t xml:space="preserve">matched</w:t>
            </w:r>
          </w:p>
        </w:tc>
      </w:tr>
    </w:tbl>
    <w:p>
      <w:pPr>
        <w:pStyle w:val="BodyText"/>
      </w:pPr>
      <w:r>
        <w:t xml:space="preserve">These runs vary the distance measure, the interaction length, and the</w:t>
      </w:r>
      <w:r>
        <w:t xml:space="preserve"> </w:t>
      </w:r>
      <w:r>
        <w:rPr>
          <w:i/>
          <w:iCs/>
        </w:rPr>
        <w:t xml:space="preserve">shape</w:t>
      </w:r>
      <w:r>
        <w:t xml:space="preserve"> </w:t>
      </w:r>
      <w:r>
        <w:t xml:space="preserve">of the fade, since an exponential fall-off is an assumption rather than a measurement. Short interaction lengths along the rivers reach or approach the observation, an exponential fade at 6 km with a median of 0.0067 and a Gaussian fade at 6 to 24 km with medians of 0.0045 to 0.0093, but every one of them breaks the diversity match. The best matched setting, a straight-line exponential fade at 6 km, leaves a 1.7-fold shortfall. A power-law fade, with its heavier tail, does no better anywhere.</w:t>
      </w:r>
    </w:p>
    <w:p>
      <w:pPr>
        <w:pStyle w:val="BodyText"/>
      </w:pPr>
      <w:r>
        <w:rPr>
          <w:b/>
          <w:bCs/>
        </w:rPr>
        <w:t xml:space="preserve">Unequal accumulation spans</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window 8 +/- 0</w:t>
            </w:r>
          </w:p>
        </w:tc>
        <w:tc>
          <w:tcPr/>
          <w:p>
            <w:pPr>
              <w:pStyle w:val="Compact"/>
              <w:jc w:val="right"/>
            </w:pPr>
            <w:r>
              <w:t xml:space="preserve">0.0022</w:t>
            </w:r>
          </w:p>
        </w:tc>
        <w:tc>
          <w:tcPr/>
          <w:p>
            <w:pPr>
              <w:pStyle w:val="Compact"/>
            </w:pPr>
            <w:r>
              <w:t xml:space="preserve">[0.0003, 0.0136]</w:t>
            </w:r>
          </w:p>
        </w:tc>
        <w:tc>
          <w:tcPr/>
          <w:p>
            <w:pPr>
              <w:pStyle w:val="Compact"/>
              <w:jc w:val="right"/>
            </w:pPr>
            <w:r>
              <w:t xml:space="preserve">2.8x</w:t>
            </w:r>
          </w:p>
        </w:tc>
        <w:tc>
          <w:tcPr/>
          <w:p>
            <w:pPr>
              <w:pStyle w:val="Compact"/>
              <w:jc w:val="center"/>
            </w:pPr>
            <w:r>
              <w:t xml:space="preserve">matched</w:t>
            </w:r>
          </w:p>
        </w:tc>
      </w:tr>
      <w:tr>
        <w:tc>
          <w:tcPr/>
          <w:p>
            <w:pPr>
              <w:pStyle w:val="Compact"/>
            </w:pPr>
            <w:r>
              <w:t xml:space="preserve">window 8 +/- 2</w:t>
            </w:r>
          </w:p>
        </w:tc>
        <w:tc>
          <w:tcPr/>
          <w:p>
            <w:pPr>
              <w:pStyle w:val="Compact"/>
              <w:jc w:val="right"/>
            </w:pPr>
            <w:r>
              <w:t xml:space="preserve">0.0023</w:t>
            </w:r>
          </w:p>
        </w:tc>
        <w:tc>
          <w:tcPr/>
          <w:p>
            <w:pPr>
              <w:pStyle w:val="Compact"/>
            </w:pPr>
            <w:r>
              <w:t xml:space="preserve">[0.0003, 0.0133]</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window 8 +/- 4</w:t>
            </w:r>
          </w:p>
        </w:tc>
        <w:tc>
          <w:tcPr/>
          <w:p>
            <w:pPr>
              <w:pStyle w:val="Compact"/>
              <w:jc w:val="right"/>
            </w:pPr>
            <w:r>
              <w:t xml:space="preserve">0.0022</w:t>
            </w:r>
          </w:p>
        </w:tc>
        <w:tc>
          <w:tcPr/>
          <w:p>
            <w:pPr>
              <w:pStyle w:val="Compact"/>
            </w:pPr>
            <w:r>
              <w:t xml:space="preserve">[0.0003, 0.0121]</w:t>
            </w:r>
          </w:p>
        </w:tc>
        <w:tc>
          <w:tcPr/>
          <w:p>
            <w:pPr>
              <w:pStyle w:val="Compact"/>
              <w:jc w:val="right"/>
            </w:pPr>
            <w:r>
              <w:t xml:space="preserve">2.8x</w:t>
            </w:r>
          </w:p>
        </w:tc>
        <w:tc>
          <w:tcPr/>
          <w:p>
            <w:pPr>
              <w:pStyle w:val="Compact"/>
              <w:jc w:val="center"/>
            </w:pPr>
            <w:r>
              <w:t xml:space="preserve">matched</w:t>
            </w:r>
          </w:p>
        </w:tc>
      </w:tr>
      <w:tr>
        <w:tc>
          <w:tcPr/>
          <w:p>
            <w:pPr>
              <w:pStyle w:val="Compact"/>
            </w:pPr>
            <w:r>
              <w:t xml:space="preserve">window 8 +/- 6</w:t>
            </w:r>
          </w:p>
        </w:tc>
        <w:tc>
          <w:tcPr/>
          <w:p>
            <w:pPr>
              <w:pStyle w:val="Compact"/>
              <w:jc w:val="right"/>
            </w:pPr>
            <w:r>
              <w:t xml:space="preserve">0.0023</w:t>
            </w:r>
          </w:p>
        </w:tc>
        <w:tc>
          <w:tcPr/>
          <w:p>
            <w:pPr>
              <w:pStyle w:val="Compact"/>
            </w:pPr>
            <w:r>
              <w:t xml:space="preserve">[0.0002, 0.0111]</w:t>
            </w:r>
          </w:p>
        </w:tc>
        <w:tc>
          <w:tcPr/>
          <w:p>
            <w:pPr>
              <w:pStyle w:val="Compact"/>
              <w:jc w:val="right"/>
            </w:pPr>
            <w:r>
              <w:t xml:space="preserve">2.7x</w:t>
            </w:r>
          </w:p>
        </w:tc>
        <w:tc>
          <w:tcPr/>
          <w:p>
            <w:pPr>
              <w:pStyle w:val="Compact"/>
              <w:jc w:val="center"/>
            </w:pPr>
            <w:r>
              <w:t xml:space="preserve">matched</w:t>
            </w:r>
          </w:p>
        </w:tc>
      </w:tr>
    </w:tbl>
    <w:p>
      <w:pPr>
        <w:pStyle w:val="BodyText"/>
      </w:pPr>
      <w:r>
        <w:rPr>
          <w:b/>
          <w:bCs/>
        </w:rPr>
        <w:t xml:space="preserve">An innovation boundary</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boundary strength 0.0</w:t>
            </w:r>
          </w:p>
        </w:tc>
        <w:tc>
          <w:tcPr/>
          <w:p>
            <w:pPr>
              <w:pStyle w:val="Compact"/>
              <w:jc w:val="right"/>
            </w:pPr>
            <w:r>
              <w:t xml:space="preserve">0.0022</w:t>
            </w:r>
          </w:p>
        </w:tc>
        <w:tc>
          <w:tcPr/>
          <w:p>
            <w:pPr>
              <w:pStyle w:val="Compact"/>
            </w:pPr>
            <w:r>
              <w:t xml:space="preserve">[0.0002, 0.0123]</w:t>
            </w:r>
          </w:p>
        </w:tc>
        <w:tc>
          <w:tcPr/>
          <w:p>
            <w:pPr>
              <w:pStyle w:val="Compact"/>
              <w:jc w:val="right"/>
            </w:pPr>
            <w:r>
              <w:t xml:space="preserve">2.9x</w:t>
            </w:r>
          </w:p>
        </w:tc>
        <w:tc>
          <w:tcPr/>
          <w:p>
            <w:pPr>
              <w:pStyle w:val="Compact"/>
              <w:jc w:val="center"/>
            </w:pPr>
            <w:r>
              <w:t xml:space="preserve">matched</w:t>
            </w:r>
          </w:p>
        </w:tc>
      </w:tr>
      <w:tr>
        <w:tc>
          <w:tcPr/>
          <w:p>
            <w:pPr>
              <w:pStyle w:val="Compact"/>
            </w:pPr>
            <w:r>
              <w:t xml:space="preserve">boundary strength 0.1</w:t>
            </w:r>
          </w:p>
        </w:tc>
        <w:tc>
          <w:tcPr/>
          <w:p>
            <w:pPr>
              <w:pStyle w:val="Compact"/>
              <w:jc w:val="right"/>
            </w:pPr>
            <w:r>
              <w:t xml:space="preserve">0.0025</w:t>
            </w:r>
          </w:p>
        </w:tc>
        <w:tc>
          <w:tcPr/>
          <w:p>
            <w:pPr>
              <w:pStyle w:val="Compact"/>
            </w:pPr>
            <w:r>
              <w:t xml:space="preserve">[0.0003, 0.0389]</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boundary strength 0.15</w:t>
            </w:r>
          </w:p>
        </w:tc>
        <w:tc>
          <w:tcPr/>
          <w:p>
            <w:pPr>
              <w:pStyle w:val="Compact"/>
              <w:jc w:val="right"/>
            </w:pPr>
            <w:r>
              <w:t xml:space="preserve">0.0032</w:t>
            </w:r>
          </w:p>
        </w:tc>
        <w:tc>
          <w:tcPr/>
          <w:p>
            <w:pPr>
              <w:pStyle w:val="Compact"/>
            </w:pPr>
            <w:r>
              <w:t xml:space="preserve">[0.0003, 0.0448]</w:t>
            </w:r>
          </w:p>
        </w:tc>
        <w:tc>
          <w:tcPr/>
          <w:p>
            <w:pPr>
              <w:pStyle w:val="Compact"/>
              <w:jc w:val="right"/>
            </w:pPr>
            <w:r>
              <w:t xml:space="preserve">1.9x</w:t>
            </w:r>
          </w:p>
        </w:tc>
        <w:tc>
          <w:tcPr/>
          <w:p>
            <w:pPr>
              <w:pStyle w:val="Compact"/>
              <w:jc w:val="center"/>
            </w:pPr>
            <w:r>
              <w:t xml:space="preserve">matched</w:t>
            </w:r>
          </w:p>
        </w:tc>
      </w:tr>
      <w:tr>
        <w:tc>
          <w:tcPr/>
          <w:p>
            <w:pPr>
              <w:pStyle w:val="Compact"/>
            </w:pPr>
            <w:r>
              <w:t xml:space="preserve">boundary strength 0.2</w:t>
            </w:r>
          </w:p>
        </w:tc>
        <w:tc>
          <w:tcPr/>
          <w:p>
            <w:pPr>
              <w:pStyle w:val="Compact"/>
              <w:jc w:val="right"/>
            </w:pPr>
            <w:r>
              <w:t xml:space="preserve">0.0047</w:t>
            </w:r>
          </w:p>
        </w:tc>
        <w:tc>
          <w:tcPr/>
          <w:p>
            <w:pPr>
              <w:pStyle w:val="Compact"/>
            </w:pPr>
            <w:r>
              <w:t xml:space="preserve">[0.0003, 0.0502]</w:t>
            </w:r>
          </w:p>
        </w:tc>
        <w:tc>
          <w:tcPr/>
          <w:p>
            <w:pPr>
              <w:pStyle w:val="Compact"/>
              <w:jc w:val="right"/>
            </w:pPr>
            <w:r>
              <w:t xml:space="preserve">1.3x</w:t>
            </w:r>
          </w:p>
        </w:tc>
        <w:tc>
          <w:tcPr/>
          <w:p>
            <w:pPr>
              <w:pStyle w:val="Compact"/>
              <w:jc w:val="center"/>
            </w:pPr>
            <w:r>
              <w:t xml:space="preserve">matched</w:t>
            </w:r>
          </w:p>
        </w:tc>
      </w:tr>
      <w:tr>
        <w:tc>
          <w:tcPr/>
          <w:p>
            <w:pPr>
              <w:pStyle w:val="Compact"/>
            </w:pPr>
            <w:r>
              <w:t xml:space="preserve">boundary strength 0.25</w:t>
            </w:r>
          </w:p>
        </w:tc>
        <w:tc>
          <w:tcPr/>
          <w:p>
            <w:pPr>
              <w:pStyle w:val="Compact"/>
              <w:jc w:val="right"/>
            </w:pPr>
            <w:r>
              <w:t xml:space="preserve">0.0073</w:t>
            </w:r>
          </w:p>
        </w:tc>
        <w:tc>
          <w:tcPr/>
          <w:p>
            <w:pPr>
              <w:pStyle w:val="Compact"/>
            </w:pPr>
            <w:r>
              <w:t xml:space="preserve">[0.0004, 0.0520]</w:t>
            </w:r>
          </w:p>
        </w:tc>
        <w:tc>
          <w:tcPr/>
          <w:p>
            <w:pPr>
              <w:pStyle w:val="Compact"/>
              <w:jc w:val="right"/>
            </w:pPr>
            <w:r>
              <w:t xml:space="preserve">0.9x</w:t>
            </w:r>
          </w:p>
        </w:tc>
        <w:tc>
          <w:tcPr/>
          <w:p>
            <w:pPr>
              <w:pStyle w:val="Compact"/>
              <w:jc w:val="center"/>
            </w:pPr>
            <w:r>
              <w:t xml:space="preserve">matched</w:t>
            </w:r>
          </w:p>
        </w:tc>
      </w:tr>
      <w:tr>
        <w:tc>
          <w:tcPr/>
          <w:p>
            <w:pPr>
              <w:pStyle w:val="Compact"/>
            </w:pPr>
            <w:r>
              <w:t xml:space="preserve">boundary strength 0.3</w:t>
            </w:r>
          </w:p>
        </w:tc>
        <w:tc>
          <w:tcPr/>
          <w:p>
            <w:pPr>
              <w:pStyle w:val="Compact"/>
              <w:jc w:val="right"/>
            </w:pPr>
            <w:r>
              <w:t xml:space="preserve">0.0122</w:t>
            </w:r>
          </w:p>
        </w:tc>
        <w:tc>
          <w:tcPr/>
          <w:p>
            <w:pPr>
              <w:pStyle w:val="Compact"/>
            </w:pPr>
            <w:r>
              <w:t xml:space="preserve">[0.0004, 0.0528]</w:t>
            </w:r>
          </w:p>
        </w:tc>
        <w:tc>
          <w:tcPr/>
          <w:p>
            <w:pPr>
              <w:pStyle w:val="Compact"/>
              <w:jc w:val="right"/>
            </w:pPr>
            <w:r>
              <w:t xml:space="preserve">0.5x</w:t>
            </w:r>
          </w:p>
        </w:tc>
        <w:tc>
          <w:tcPr/>
          <w:p>
            <w:pPr>
              <w:pStyle w:val="Compact"/>
              <w:jc w:val="center"/>
            </w:pPr>
            <w:r>
              <w:t xml:space="preserve">matched</w:t>
            </w:r>
          </w:p>
        </w:tc>
      </w:tr>
      <w:tr>
        <w:tc>
          <w:tcPr/>
          <w:p>
            <w:pPr>
              <w:pStyle w:val="Compact"/>
            </w:pPr>
            <w:r>
              <w:t xml:space="preserve">boundary strength 0.4</w:t>
            </w:r>
          </w:p>
        </w:tc>
        <w:tc>
          <w:tcPr/>
          <w:p>
            <w:pPr>
              <w:pStyle w:val="Compact"/>
              <w:jc w:val="right"/>
            </w:pPr>
            <w:r>
              <w:t xml:space="preserve">0.0200</w:t>
            </w:r>
          </w:p>
        </w:tc>
        <w:tc>
          <w:tcPr/>
          <w:p>
            <w:pPr>
              <w:pStyle w:val="Compact"/>
            </w:pPr>
            <w:r>
              <w:t xml:space="preserve">[0.0007, 0.0563]</w:t>
            </w:r>
          </w:p>
        </w:tc>
        <w:tc>
          <w:tcPr/>
          <w:p>
            <w:pPr>
              <w:pStyle w:val="Compact"/>
              <w:jc w:val="right"/>
            </w:pPr>
            <w:r>
              <w:t xml:space="preserve">0.3x</w:t>
            </w:r>
          </w:p>
        </w:tc>
        <w:tc>
          <w:tcPr/>
          <w:p>
            <w:pPr>
              <w:pStyle w:val="Compact"/>
              <w:jc w:val="center"/>
            </w:pPr>
            <w:r>
              <w:t xml:space="preserve">broken</w:t>
            </w:r>
          </w:p>
        </w:tc>
      </w:tr>
      <w:tr>
        <w:tc>
          <w:tcPr/>
          <w:p>
            <w:pPr>
              <w:pStyle w:val="Compact"/>
            </w:pPr>
            <w:r>
              <w:t xml:space="preserve">boundary strength 0.6</w:t>
            </w:r>
          </w:p>
        </w:tc>
        <w:tc>
          <w:tcPr/>
          <w:p>
            <w:pPr>
              <w:pStyle w:val="Compact"/>
              <w:jc w:val="right"/>
            </w:pPr>
            <w:r>
              <w:t xml:space="preserve">0.0316</w:t>
            </w:r>
          </w:p>
        </w:tc>
        <w:tc>
          <w:tcPr/>
          <w:p>
            <w:pPr>
              <w:pStyle w:val="Compact"/>
            </w:pPr>
            <w:r>
              <w:t xml:space="preserve">[0.0017, 0.0662]</w:t>
            </w:r>
          </w:p>
        </w:tc>
        <w:tc>
          <w:tcPr/>
          <w:p>
            <w:pPr>
              <w:pStyle w:val="Compact"/>
              <w:jc w:val="right"/>
            </w:pPr>
            <w:r>
              <w:t xml:space="preserve">0.2x</w:t>
            </w:r>
          </w:p>
        </w:tc>
        <w:tc>
          <w:tcPr/>
          <w:p>
            <w:pPr>
              <w:pStyle w:val="Compact"/>
              <w:jc w:val="center"/>
            </w:pPr>
            <w:r>
              <w:t xml:space="preserve">broken</w:t>
            </w:r>
          </w:p>
        </w:tc>
      </w:tr>
      <w:tr>
        <w:tc>
          <w:tcPr/>
          <w:p>
            <w:pPr>
              <w:pStyle w:val="Compact"/>
            </w:pPr>
            <w:r>
              <w:t xml:space="preserve">boundary strength 1.0</w:t>
            </w:r>
          </w:p>
        </w:tc>
        <w:tc>
          <w:tcPr/>
          <w:p>
            <w:pPr>
              <w:pStyle w:val="Compact"/>
              <w:jc w:val="right"/>
            </w:pPr>
            <w:r>
              <w:t xml:space="preserve">0.0379</w:t>
            </w:r>
          </w:p>
        </w:tc>
        <w:tc>
          <w:tcPr/>
          <w:p>
            <w:pPr>
              <w:pStyle w:val="Compact"/>
            </w:pPr>
            <w:r>
              <w:t xml:space="preserve">[0.0090, 0.0675]</w:t>
            </w:r>
          </w:p>
        </w:tc>
        <w:tc>
          <w:tcPr/>
          <w:p>
            <w:pPr>
              <w:pStyle w:val="Compact"/>
              <w:jc w:val="right"/>
            </w:pPr>
            <w:r>
              <w:t xml:space="preserve">0.2x</w:t>
            </w:r>
          </w:p>
        </w:tc>
        <w:tc>
          <w:tcPr/>
          <w:p>
            <w:pPr>
              <w:pStyle w:val="Compact"/>
              <w:jc w:val="center"/>
            </w:pPr>
            <w:r>
              <w:t xml:space="preserve">broken</w:t>
            </w:r>
          </w:p>
        </w:tc>
      </w:tr>
    </w:tbl>
    <w:p>
      <w:pPr>
        <w:pStyle w:val="BodyText"/>
      </w:pPr>
      <w:r>
        <w:t xml:space="preserve">In this variant each cluster draws its new variants from a partly reordered version of the regional class profile, with the strength setting the share of classes reordered, and the table reports 1,200 runs per setting. A reordering keeps the set of class frequencies exactly, so every cluster keeps the same richness and diversity in its source of new variants and differs only in which classes it favors. Using each cluster’s observed profile instead would guarantee the result by construction. Two earlier constructions were discarded because they changed something other than the boundary: a Dirichlet perturbation made profiles sparser as well as different, lowering mean richness, and mixing the regional profile with a reordered copy flattened it, raising diversity well above the observed value.</w:t>
      </w:r>
    </w:p>
    <w:p>
      <w:pPr>
        <w:pStyle w:val="BodyText"/>
      </w:pPr>
      <w:r>
        <w:t xml:space="preserve">Individual runs are widely spread, so the agreement at strengths of 0.2 to 0.25 is between the model’s median and the observation rather than between narrow distributions. It identifies a mechanism the record is consistent with, not one it demonstrates, and the mechanism is still neutral copying, with new styles arising locally rather than at the same rates across the basin. The transport, accumulation, and innovation sweeps were also run on the southeast-Missouri assemblages; that set is not adequate for the test, for reasons given in the final section, where its behavior under these sweeps is reported.</w:t>
      </w:r>
    </w:p>
    <w:bookmarkEnd w:id="142"/>
    <w:bookmarkStart w:id="143" w:name="X9cca61b5cb4d7b0661c0423df9aa7cf5f0fb207"/>
    <w:p>
      <w:pPr>
        <w:pStyle w:val="Heading2"/>
      </w:pPr>
      <w:r>
        <w:t xml:space="preserve">The phases as groups: a model with every advantage</w:t>
      </w:r>
    </w:p>
    <w:p>
      <w:pPr>
        <w:pStyle w:val="FirstParagraph"/>
      </w:pPr>
      <w:r>
        <w:t xml:space="preserve">The bounded-groups model above draws new variants from one regional pool, which no boundary interrupts, so it is at a disadvantage against the one account that reproduces the shortfall, local innovation. Here the published phases are the groups, and both properties of a bounded group are given to them together (</w:t>
      </w:r>
      <w:r>
        <w:rPr>
          <w:rStyle w:val="VerbatimChar"/>
        </w:rPr>
        <w:t xml:space="preserve">analyses/84_phases_as_groups.py</w:t>
      </w:r>
      <w:r>
        <w:t xml:space="preserve">): copying across phase lines is multiplied by a factor of 1 (no copying boundary), 0.5, 0.1, or 0.03, and each phase draws new variants from a partly reordered version of the regional profile, with 0, 10, 20, or 30 percent of the classes reordered. Each of the 16 combinations is run 300 times at the calibrated combination (2,000 learners, innovation 0.001, mixing 0.02), with interaction length 24 km along the rivers, and each run is scored on the between-phase</w:t>
      </w:r>
      <w:r>
        <w:t xml:space="preserve"> </w:t>
      </w:r>
      <m:oMath>
        <m:sSub>
          <m:e>
            <m:r>
              <m:t>F</m:t>
            </m:r>
          </m:e>
          <m:sub>
            <m:r>
              <m:t>S</m:t>
            </m:r>
            <m:r>
              <m:t>T</m:t>
            </m:r>
          </m:sub>
        </m:sSub>
      </m:oMath>
      <w:r>
        <w:t xml:space="preserve">, the</w:t>
      </w:r>
      <w:r>
        <w:t xml:space="preserve"> </w:t>
      </w:r>
      <m:oMath>
        <m:sSub>
          <m:e>
            <m:r>
              <m:t>F</m:t>
            </m:r>
          </m:e>
          <m:sub>
            <m:r>
              <m:t>S</m:t>
            </m:r>
            <m:r>
              <m:t>T</m:t>
            </m:r>
          </m:sub>
        </m:sSub>
      </m:oMath>
      <w:r>
        <w:t xml:space="preserve"> </w:t>
      </w:r>
      <w:r>
        <w:t xml:space="preserve">at the two spatial clusters, the boundary excess at the phase lines, and the three diversity summaries. The observed values are a between-phase</w:t>
      </w:r>
      <w:r>
        <w:t xml:space="preserve"> </w:t>
      </w:r>
      <m:oMath>
        <m:sSub>
          <m:e>
            <m:r>
              <m:t>F</m:t>
            </m:r>
          </m:e>
          <m:sub>
            <m:r>
              <m:t>S</m:t>
            </m:r>
            <m:r>
              <m:t>T</m:t>
            </m:r>
          </m:sub>
        </m:sSub>
      </m:oMath>
      <w:r>
        <w:t xml:space="preserve"> </w:t>
      </w:r>
      <w:r>
        <w:t xml:space="preserve">of 0.0110 and a boundary excess at the phase lines of +10.0.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copying factor</w:t>
            </w:r>
          </w:p>
        </w:tc>
        <w:tc>
          <w:tcPr/>
          <w:p>
            <w:pPr>
              <w:pStyle w:val="Compact"/>
            </w:pPr>
            <w:r>
              <w:t xml:space="preserve">local innovation</w:t>
            </w:r>
          </w:p>
        </w:tc>
        <w:tc>
          <w:tcPr/>
          <w:p>
            <w:pPr>
              <w:pStyle w:val="Compact"/>
            </w:pPr>
            <w:r>
              <w:t xml:space="preserve">between-phase</w:t>
            </w:r>
            <w:r>
              <w:t xml:space="preserve"> </w:t>
            </w:r>
            <m:oMath>
              <m:sSub>
                <m:e>
                  <m:r>
                    <m:t>F</m:t>
                  </m:r>
                </m:e>
                <m:sub>
                  <m:r>
                    <m:t>S</m:t>
                  </m:r>
                  <m:r>
                    <m:t>T</m:t>
                  </m:r>
                </m:sub>
              </m:sSub>
            </m:oMath>
            <w:r>
              <w:t xml:space="preserve">, median [95%]</w:t>
            </w:r>
          </w:p>
        </w:tc>
        <w:tc>
          <w:tcPr/>
          <w:p>
            <w:pPr>
              <w:pStyle w:val="Compact"/>
            </w:pPr>
            <w:r>
              <w:t xml:space="preserve">runs reaching</w:t>
            </w:r>
          </w:p>
        </w:tc>
        <w:tc>
          <w:tcPr/>
          <w:p>
            <w:pPr>
              <w:pStyle w:val="Compact"/>
            </w:pPr>
            <w:r>
              <w:t xml:space="preserve">boundary excess, median [95%]</w:t>
            </w:r>
          </w:p>
        </w:tc>
        <w:tc>
          <w:tcPr/>
          <w:p>
            <w:pPr>
              <w:pStyle w:val="Compact"/>
            </w:pPr>
            <w:r>
              <w:t xml:space="preserve">runs reaching</w:t>
            </w:r>
          </w:p>
        </w:tc>
        <w:tc>
          <w:tcPr/>
          <w:p>
            <w:pPr>
              <w:pStyle w:val="Compact"/>
            </w:pPr>
            <w:r>
              <w:t xml:space="preserve">diversity matched</w:t>
            </w:r>
          </w:p>
        </w:tc>
      </w:tr>
      <w:tr>
        <w:tc>
          <w:tcPr/>
          <w:p>
            <w:pPr>
              <w:pStyle w:val="Compact"/>
            </w:pPr>
            <w:r>
              <w:t xml:space="preserve">1</w:t>
            </w:r>
          </w:p>
        </w:tc>
        <w:tc>
          <w:tcPr/>
          <w:p>
            <w:pPr>
              <w:pStyle w:val="Compact"/>
            </w:pPr>
            <w:r>
              <w:t xml:space="preserve">0</w:t>
            </w:r>
          </w:p>
        </w:tc>
        <w:tc>
          <w:tcPr/>
          <w:p>
            <w:pPr>
              <w:pStyle w:val="Compact"/>
            </w:pPr>
            <w:r>
              <w:t xml:space="preserve">0.0035 [0.0007, 0.0145]</w:t>
            </w:r>
          </w:p>
        </w:tc>
        <w:tc>
          <w:tcPr/>
          <w:p>
            <w:pPr>
              <w:pStyle w:val="Compact"/>
            </w:pPr>
            <w:r>
              <w:t xml:space="preserve">4%</w:t>
            </w:r>
          </w:p>
        </w:tc>
        <w:tc>
          <w:tcPr/>
          <w:p>
            <w:pPr>
              <w:pStyle w:val="Compact"/>
            </w:pPr>
            <w:r>
              <w:t xml:space="preserve">+1.5 [-6.0, +7.8]</w:t>
            </w:r>
          </w:p>
        </w:tc>
        <w:tc>
          <w:tcPr/>
          <w:p>
            <w:pPr>
              <w:pStyle w:val="Compact"/>
            </w:pPr>
            <w:r>
              <w:t xml:space="preserve">0.3%</w:t>
            </w:r>
          </w:p>
        </w:tc>
        <w:tc>
          <w:tcPr/>
          <w:p>
            <w:pPr>
              <w:pStyle w:val="Compact"/>
            </w:pPr>
            <w:r>
              <w:t xml:space="preserve">yes</w:t>
            </w:r>
          </w:p>
        </w:tc>
      </w:tr>
      <w:tr>
        <w:tc>
          <w:tcPr/>
          <w:p>
            <w:pPr>
              <w:pStyle w:val="Compact"/>
            </w:pPr>
            <w:r>
              <w:t xml:space="preserve">1</w:t>
            </w:r>
          </w:p>
        </w:tc>
        <w:tc>
          <w:tcPr/>
          <w:p>
            <w:pPr>
              <w:pStyle w:val="Compact"/>
            </w:pPr>
            <w:r>
              <w:t xml:space="preserve">0.2</w:t>
            </w:r>
          </w:p>
        </w:tc>
        <w:tc>
          <w:tcPr/>
          <w:p>
            <w:pPr>
              <w:pStyle w:val="Compact"/>
            </w:pPr>
            <w:r>
              <w:t xml:space="preserve">0.0077 [0.0008, 0.0420]</w:t>
            </w:r>
          </w:p>
        </w:tc>
        <w:tc>
          <w:tcPr/>
          <w:p>
            <w:pPr>
              <w:pStyle w:val="Compact"/>
            </w:pPr>
            <w:r>
              <w:t xml:space="preserve">39%</w:t>
            </w:r>
          </w:p>
        </w:tc>
        <w:tc>
          <w:tcPr/>
          <w:p>
            <w:pPr>
              <w:pStyle w:val="Compact"/>
            </w:pPr>
            <w:r>
              <w:t xml:space="preserve">+4.0 [-5.4, +21.2]</w:t>
            </w:r>
          </w:p>
        </w:tc>
        <w:tc>
          <w:tcPr/>
          <w:p>
            <w:pPr>
              <w:pStyle w:val="Compact"/>
            </w:pPr>
            <w:r>
              <w:t xml:space="preserve">23%</w:t>
            </w:r>
          </w:p>
        </w:tc>
        <w:tc>
          <w:tcPr/>
          <w:p>
            <w:pPr>
              <w:pStyle w:val="Compact"/>
            </w:pPr>
            <w:r>
              <w:t xml:space="preserve">yes</w:t>
            </w:r>
          </w:p>
        </w:tc>
      </w:tr>
      <w:tr>
        <w:tc>
          <w:tcPr/>
          <w:p>
            <w:pPr>
              <w:pStyle w:val="Compact"/>
            </w:pPr>
            <w:r>
              <w:t xml:space="preserve">0.5</w:t>
            </w:r>
          </w:p>
        </w:tc>
        <w:tc>
          <w:tcPr/>
          <w:p>
            <w:pPr>
              <w:pStyle w:val="Compact"/>
            </w:pPr>
            <w:r>
              <w:t xml:space="preserve">0</w:t>
            </w:r>
          </w:p>
        </w:tc>
        <w:tc>
          <w:tcPr/>
          <w:p>
            <w:pPr>
              <w:pStyle w:val="Compact"/>
            </w:pPr>
            <w:r>
              <w:t xml:space="preserve">0.0042 [0.0009, 0.0212]</w:t>
            </w:r>
          </w:p>
        </w:tc>
        <w:tc>
          <w:tcPr/>
          <w:p>
            <w:pPr>
              <w:pStyle w:val="Compact"/>
            </w:pPr>
            <w:r>
              <w:t xml:space="preserve">10%</w:t>
            </w:r>
          </w:p>
        </w:tc>
        <w:tc>
          <w:tcPr/>
          <w:p>
            <w:pPr>
              <w:pStyle w:val="Compact"/>
            </w:pPr>
            <w:r>
              <w:t xml:space="preserve">+2.8 [-4.5, +10.8]</w:t>
            </w:r>
          </w:p>
        </w:tc>
        <w:tc>
          <w:tcPr/>
          <w:p>
            <w:pPr>
              <w:pStyle w:val="Compact"/>
            </w:pPr>
            <w:r>
              <w:t xml:space="preserve">4%</w:t>
            </w:r>
          </w:p>
        </w:tc>
        <w:tc>
          <w:tcPr/>
          <w:p>
            <w:pPr>
              <w:pStyle w:val="Compact"/>
            </w:pPr>
            <w:r>
              <w:t xml:space="preserve">yes</w:t>
            </w:r>
          </w:p>
        </w:tc>
      </w:tr>
      <w:tr>
        <w:tc>
          <w:tcPr/>
          <w:p>
            <w:pPr>
              <w:pStyle w:val="Compact"/>
            </w:pPr>
            <w:r>
              <w:t xml:space="preserve">0.1</w:t>
            </w:r>
          </w:p>
        </w:tc>
        <w:tc>
          <w:tcPr/>
          <w:p>
            <w:pPr>
              <w:pStyle w:val="Compact"/>
            </w:pPr>
            <w:r>
              <w:t xml:space="preserve">0</w:t>
            </w:r>
          </w:p>
        </w:tc>
        <w:tc>
          <w:tcPr/>
          <w:p>
            <w:pPr>
              <w:pStyle w:val="Compact"/>
            </w:pPr>
            <w:r>
              <w:t xml:space="preserve">0.0068 [0.0014, 0.0233]</w:t>
            </w:r>
          </w:p>
        </w:tc>
        <w:tc>
          <w:tcPr/>
          <w:p>
            <w:pPr>
              <w:pStyle w:val="Compact"/>
            </w:pPr>
            <w:r>
              <w:t xml:space="preserve">28%</w:t>
            </w:r>
          </w:p>
        </w:tc>
        <w:tc>
          <w:tcPr/>
          <w:p>
            <w:pPr>
              <w:pStyle w:val="Compact"/>
            </w:pPr>
            <w:r>
              <w:t xml:space="preserve">+4.4 [-5.4, +15.1]</w:t>
            </w:r>
          </w:p>
        </w:tc>
        <w:tc>
          <w:tcPr/>
          <w:p>
            <w:pPr>
              <w:pStyle w:val="Compact"/>
            </w:pPr>
            <w:r>
              <w:t xml:space="preserve">15%</w:t>
            </w:r>
          </w:p>
        </w:tc>
        <w:tc>
          <w:tcPr/>
          <w:p>
            <w:pPr>
              <w:pStyle w:val="Compact"/>
            </w:pPr>
            <w:r>
              <w:t xml:space="preserve">yes</w:t>
            </w:r>
          </w:p>
        </w:tc>
      </w:tr>
      <w:tr>
        <w:tc>
          <w:tcPr/>
          <w:p>
            <w:pPr>
              <w:pStyle w:val="Compact"/>
            </w:pPr>
            <w:r>
              <w:t xml:space="preserve">0.03</w:t>
            </w:r>
          </w:p>
        </w:tc>
        <w:tc>
          <w:tcPr/>
          <w:p>
            <w:pPr>
              <w:pStyle w:val="Compact"/>
            </w:pPr>
            <w:r>
              <w:t xml:space="preserve">0</w:t>
            </w:r>
          </w:p>
        </w:tc>
        <w:tc>
          <w:tcPr/>
          <w:p>
            <w:pPr>
              <w:pStyle w:val="Compact"/>
            </w:pPr>
            <w:r>
              <w:t xml:space="preserve">0.0093 [0.0017, 0.0337]</w:t>
            </w:r>
          </w:p>
        </w:tc>
        <w:tc>
          <w:tcPr/>
          <w:p>
            <w:pPr>
              <w:pStyle w:val="Compact"/>
            </w:pPr>
            <w:r>
              <w:t xml:space="preserve">40%</w:t>
            </w:r>
          </w:p>
        </w:tc>
        <w:tc>
          <w:tcPr/>
          <w:p>
            <w:pPr>
              <w:pStyle w:val="Compact"/>
            </w:pPr>
            <w:r>
              <w:t xml:space="preserve">+7.6 [-0.3, +20.5]</w:t>
            </w:r>
          </w:p>
        </w:tc>
        <w:tc>
          <w:tcPr/>
          <w:p>
            <w:pPr>
              <w:pStyle w:val="Compact"/>
            </w:pPr>
            <w:r>
              <w:t xml:space="preserve">34%</w:t>
            </w:r>
          </w:p>
        </w:tc>
        <w:tc>
          <w:tcPr/>
          <w:p>
            <w:pPr>
              <w:pStyle w:val="Compact"/>
            </w:pPr>
            <w:r>
              <w:t xml:space="preserve">yes</w:t>
            </w:r>
          </w:p>
        </w:tc>
      </w:tr>
      <w:tr>
        <w:tc>
          <w:tcPr/>
          <w:p>
            <w:pPr>
              <w:pStyle w:val="Compact"/>
            </w:pPr>
            <w:r>
              <w:t xml:space="preserve">0.03</w:t>
            </w:r>
          </w:p>
        </w:tc>
        <w:tc>
          <w:tcPr/>
          <w:p>
            <w:pPr>
              <w:pStyle w:val="Compact"/>
            </w:pPr>
            <w:r>
              <w:t xml:space="preserve">0.2</w:t>
            </w:r>
          </w:p>
        </w:tc>
        <w:tc>
          <w:tcPr/>
          <w:p>
            <w:pPr>
              <w:pStyle w:val="Compact"/>
            </w:pPr>
            <w:r>
              <w:t xml:space="preserve">0.0265 [0.0021, 0.1916]</w:t>
            </w:r>
          </w:p>
        </w:tc>
        <w:tc>
          <w:tcPr/>
          <w:p>
            <w:pPr>
              <w:pStyle w:val="Compact"/>
            </w:pPr>
            <w:r>
              <w:t xml:space="preserve">67%</w:t>
            </w:r>
          </w:p>
        </w:tc>
        <w:tc>
          <w:tcPr/>
          <w:p>
            <w:pPr>
              <w:pStyle w:val="Compact"/>
            </w:pPr>
            <w:r>
              <w:t xml:space="preserve">+19.0 [-0.1, +77.1]</w:t>
            </w:r>
          </w:p>
        </w:tc>
        <w:tc>
          <w:tcPr/>
          <w:p>
            <w:pPr>
              <w:pStyle w:val="Compact"/>
            </w:pPr>
            <w:r>
              <w:t xml:space="preserve">65%</w:t>
            </w:r>
          </w:p>
        </w:tc>
        <w:tc>
          <w:tcPr/>
          <w:p>
            <w:pPr>
              <w:pStyle w:val="Compact"/>
            </w:pPr>
            <w:r>
              <w:t xml:space="preserve">yes</w:t>
            </w:r>
          </w:p>
        </w:tc>
      </w:tr>
      <w:tr>
        <w:tc>
          <w:tcPr/>
          <w:p>
            <w:pPr>
              <w:pStyle w:val="Compact"/>
            </w:pPr>
            <w:r>
              <w:t xml:space="preserve">any</w:t>
            </w:r>
          </w:p>
        </w:tc>
        <w:tc>
          <w:tcPr/>
          <w:p>
            <w:pPr>
              <w:pStyle w:val="Compact"/>
            </w:pPr>
            <w:r>
              <w:t xml:space="preserve">0.3</w:t>
            </w:r>
          </w:p>
        </w:tc>
        <w:tc>
          <w:tcPr/>
          <w:p>
            <w:pPr>
              <w:pStyle w:val="Compact"/>
            </w:pPr>
            <w:r>
              <w:t xml:space="preserve">0.0116 to 0.0607</w:t>
            </w:r>
          </w:p>
        </w:tc>
        <w:tc>
          <w:tcPr/>
          <w:p>
            <w:pPr>
              <w:pStyle w:val="Compact"/>
            </w:pPr>
            <w:r>
              <w:t xml:space="preserve">52 to 80%</w:t>
            </w:r>
          </w:p>
        </w:tc>
        <w:tc>
          <w:tcPr/>
          <w:p>
            <w:pPr>
              <w:pStyle w:val="Compact"/>
            </w:pPr>
            <w:r>
              <w:t xml:space="preserve">+6.3 to +34.8</w:t>
            </w:r>
          </w:p>
        </w:tc>
        <w:tc>
          <w:tcPr/>
          <w:p>
            <w:pPr>
              <w:pStyle w:val="Compact"/>
            </w:pPr>
            <w:r>
              <w:t xml:space="preserve">33 to 79%</w:t>
            </w:r>
          </w:p>
        </w:tc>
        <w:tc>
          <w:tcPr/>
          <w:p>
            <w:pPr>
              <w:pStyle w:val="Compact"/>
            </w:pPr>
            <w:r>
              <w:t xml:space="preserve">no</w:t>
            </w:r>
          </w:p>
        </w:tc>
      </w:tr>
    </w:tbl>
    <w:p>
      <w:pPr>
        <w:pStyle w:val="BodyText"/>
      </w:pPr>
      <w:r>
        <w:t xml:space="preserve">The full grid is in</w:t>
      </w:r>
      <w:r>
        <w:t xml:space="preserve"> </w:t>
      </w:r>
      <w:r>
        <w:rPr>
          <w:rStyle w:val="VerbatimChar"/>
        </w:rPr>
        <w:t xml:space="preserve">output/findings/phases_as_groups.md</w:t>
      </w:r>
      <w:r>
        <w:t xml:space="preserve">. Without any boundary, copying across distance rarely produces the observed between-phase</w:t>
      </w:r>
      <w:r>
        <w:t xml:space="preserve"> </w:t>
      </w:r>
      <m:oMath>
        <m:sSub>
          <m:e>
            <m:r>
              <m:t>F</m:t>
            </m:r>
          </m:e>
          <m:sub>
            <m:r>
              <m:t>S</m:t>
            </m:r>
            <m:r>
              <m:t>T</m:t>
            </m:r>
          </m:sub>
        </m:sSub>
      </m:oMath>
      <w:r>
        <w:t xml:space="preserve"> </w:t>
      </w:r>
      <w:r>
        <w:t xml:space="preserve">(4 percent of runs), and produces the observed boundary excess in only 1 of 300 runs. At this mixing rate a copying boundary does move both statistics: cutting copying across the phase lines to 3 percent of its strength lowers the mean share of each site’s between-site copying that crosses a phase line from 0.24 to 0.05, and raises the share of runs reaching the observed values to 40 and 34 percent. Local innovation, with or without a copying boundary, moves them as well.</w:t>
      </w:r>
    </w:p>
    <w:p>
      <w:pPr>
        <w:pStyle w:val="BodyText"/>
      </w:pPr>
      <w:r>
        <w:t xml:space="preserve">We summarize the grid with a posterior over its 16 cells, estimated by rejection approximate Bayesian computation: a uniform prior over cells, accepting the 5 percent of all 4,800 runs closest to the observed values on the six standardized summaries. The prior places three quarters of its mass on some copying boundary, which leans toward the groups hypothesis, and three quarters on some local innovation. The posterior probability of a copying boundary is 0.79, and of local innovation 0.65. Across acceptance rates of 1, 2, 5, and 10 percent, and with the summaries restricted to the between-phase</w:t>
      </w:r>
      <w:r>
        <w:t xml:space="preserve"> </w:t>
      </w:r>
      <m:oMath>
        <m:sSub>
          <m:e>
            <m:r>
              <m:t>F</m:t>
            </m:r>
          </m:e>
          <m:sub>
            <m:r>
              <m:t>S</m:t>
            </m:r>
            <m:r>
              <m:t>T</m:t>
            </m:r>
          </m:sub>
        </m:sSub>
      </m:oMath>
      <w:r>
        <w:t xml:space="preserve"> </w:t>
      </w:r>
      <w:r>
        <w:t xml:space="preserve">and the boundary excess, the first runs from 0.75 to 0.83 and the second from 0.65 to 0.73. To see whether the design could detect a boundary, we drew 40 runs from each of four cells with a boundary built in (copying factor 0.1 or 0.03, local innovation 0 or 0.2) and passed each through the same posterior with itself excluded. The median posterior probability of a boundary was 0.81 to 0.95, against 0.66 for runs from the no-boundary cell. The observed 0.79 lies just below the with-boundary range and above the no-boundary value: the record leans slightly toward a copying boundary without resolving it, and the copying model neither requires nor excludes one. The lean is a property of dividing this map rather than of the phase lines: with the phases replaced by three divisions with their group sizes around random centers (adjusted Rand index with the phases 0.40 to 0.41) and the whole grid and posterior rerun, the posterior probability of a copying boundary is 0.87, 0.78, and 0.92, and of local innovation 0.75, 0.68, and 0.70 (</w:t>
      </w:r>
      <w:r>
        <w:rPr>
          <w:rStyle w:val="VerbatimChar"/>
        </w:rPr>
        <w:t xml:space="preserve">analyses/90_placebo_divisions.py</w:t>
      </w:r>
      <w:r>
        <w:t xml:space="preserve">). Local innovation at 30 percent is least favored (posterior 0.18), and at that setting the diversity match is broken.</w:t>
      </w:r>
    </w:p>
    <w:p>
      <w:pPr>
        <w:pStyle w:val="BodyText"/>
      </w:pPr>
      <w:r>
        <w:t xml:space="preserve">The same grid was scored on the division of the basin into the Parkin phase and the rest, which is identical to the two spatial clusters. The observed Parkin-versus-rest</w:t>
      </w:r>
      <w:r>
        <w:t xml:space="preserve"> </w:t>
      </w:r>
      <m:oMath>
        <m:sSub>
          <m:e>
            <m:r>
              <m:t>F</m:t>
            </m:r>
          </m:e>
          <m:sub>
            <m:r>
              <m:t>S</m:t>
            </m:r>
            <m:r>
              <m:t>T</m:t>
            </m:r>
          </m:sub>
        </m:sSub>
      </m:oMath>
      <w:r>
        <w:t xml:space="preserve"> </w:t>
      </w:r>
      <w:r>
        <w:t xml:space="preserve">is 0.0062 and the boundary excess at the Parkin line +13.7. With neither a copying boundary nor local innovation, 12 percent of runs reach the</w:t>
      </w:r>
      <w:r>
        <w:t xml:space="preserve"> </w:t>
      </w:r>
      <m:oMath>
        <m:sSub>
          <m:e>
            <m:r>
              <m:t>F</m:t>
            </m:r>
          </m:e>
          <m:sub>
            <m:r>
              <m:t>S</m:t>
            </m:r>
            <m:r>
              <m:t>T</m:t>
            </m:r>
          </m:sub>
        </m:sSub>
      </m:oMath>
      <w:r>
        <w:t xml:space="preserve"> </w:t>
      </w:r>
      <w:r>
        <w:t xml:space="preserve">(median 0.0019, 95 percent range 0.0002 to 0.0110) and none reaches the boundary excess (median +0.5, range -6.5 to +7.5). With copying across the Parkin phase’s edge cut to 3 percent, 45 percent of runs reach the</w:t>
      </w:r>
      <w:r>
        <w:t xml:space="preserve"> </w:t>
      </w:r>
      <m:oMath>
        <m:sSub>
          <m:e>
            <m:r>
              <m:t>F</m:t>
            </m:r>
          </m:e>
          <m:sub>
            <m:r>
              <m:t>S</m:t>
            </m:r>
            <m:r>
              <m:t>T</m:t>
            </m:r>
          </m:sub>
        </m:sSub>
      </m:oMath>
      <w:r>
        <w:t xml:space="preserve"> </w:t>
      </w:r>
      <w:r>
        <w:t xml:space="preserve">and 11 percent the boundary excess.</w:t>
      </w:r>
    </w:p>
    <w:p>
      <w:pPr>
        <w:pStyle w:val="BodyText"/>
      </w:pPr>
      <w:r>
        <w:t xml:space="preserve">Neither step in similarity is specific to the lines it was measured at. With each assemblage’s class proportions drawn from Dirichlet(counts + 1/2), 500 times, the excess at the phase lines has a posterior median of +9.4 (95 percent credible interval +4.6 to +13.9), against medians of +6.9 for same-size divisions around random centers and +4.6 for compact ones, and the posterior probability that it is larger at the phase lines is 0.59 and 0.61 (</w:t>
      </w:r>
      <w:r>
        <w:rPr>
          <w:rStyle w:val="VerbatimChar"/>
        </w:rPr>
        <w:t xml:space="preserve">analyses/86_partition_posterior.py</w:t>
      </w:r>
      <w:r>
        <w:t xml:space="preserve">). At the Parkin line it is +13.0 (+7.8 to +17.6), against +10.7 around random centers and +15.1 for compact divisions, with probabilities of 0.53 and 0.05. Draws of the same kind (2,000 of them) give the between-phase</w:t>
      </w:r>
      <w:r>
        <w:t xml:space="preserve"> </w:t>
      </w:r>
      <m:oMath>
        <m:sSub>
          <m:e>
            <m:r>
              <m:t>F</m:t>
            </m:r>
          </m:e>
          <m:sub>
            <m:r>
              <m:t>S</m:t>
            </m:r>
            <m:r>
              <m:t>T</m:t>
            </m:r>
          </m:sub>
        </m:sSub>
      </m:oMath>
      <w:r>
        <w:t xml:space="preserve"> </w:t>
      </w:r>
      <w:r>
        <w:t xml:space="preserve">a posterior median of 0.0109 (0.0091 to 0.0128), against 0.0145 for divisions around random centers and 0.0165 for compact ones, with posterior probabilities of 0.20 and 0.05 that the phase lines separate the pottery better, and the Parkin-versus-rest</w:t>
      </w:r>
      <w:r>
        <w:t xml:space="preserve"> </w:t>
      </w:r>
      <m:oMath>
        <m:sSub>
          <m:e>
            <m:r>
              <m:t>F</m:t>
            </m:r>
          </m:e>
          <m:sub>
            <m:r>
              <m:t>S</m:t>
            </m:r>
            <m:r>
              <m:t>T</m:t>
            </m:r>
          </m:sub>
        </m:sSub>
      </m:oMath>
      <w:r>
        <w:t xml:space="preserve"> </w:t>
      </w:r>
      <w:r>
        <w:t xml:space="preserve">a median of 0.0061 (0.0051 to 0.0074), against 0.0064 and 0.0076, with probabilities of 0.27 and 0.00.</w:t>
      </w:r>
    </w:p>
    <w:p>
      <w:pPr>
        <w:pStyle w:val="BodyText"/>
      </w:pPr>
      <w:r>
        <w:t xml:space="preserve">Could that comparison see a copying boundary if there were one? We rebuilt simulated records of the grid above with the same seeds, 100 per cell, and asked of each the question asked of the real record: what share of 50 same-size alternative divisions of each kind do the tested lines beat (</w:t>
      </w:r>
      <w:r>
        <w:rPr>
          <w:rStyle w:val="VerbatimChar"/>
        </w:rPr>
        <w:t xml:space="preserve">analyses/89_partition_power.py</w:t>
      </w:r>
      <w:r>
        <w:t xml:space="preserve">)? Entries are the median share over simulated 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copying factor at the phase lines</w:t>
            </w:r>
          </w:p>
        </w:tc>
        <w:tc>
          <w:tcPr/>
          <w:p>
            <w:pPr>
              <w:pStyle w:val="Compact"/>
            </w:pPr>
            <w:r>
              <w:t xml:space="preserve">local innovation</w:t>
            </w:r>
          </w:p>
        </w:tc>
        <w:tc>
          <w:tcPr/>
          <w:p>
            <w:pPr>
              <w:pStyle w:val="Compact"/>
            </w:pPr>
            <w:r>
              <w:t xml:space="preserve">phases:</w:t>
            </w:r>
            <w:r>
              <w:t xml:space="preserve"> </w:t>
            </w:r>
            <m:oMath>
              <m:sSub>
                <m:e>
                  <m:r>
                    <m:t>F</m:t>
                  </m:r>
                </m:e>
                <m:sub>
                  <m:r>
                    <m:t>S</m:t>
                  </m:r>
                  <m:r>
                    <m:t>T</m:t>
                  </m:r>
                </m:sub>
              </m:sSub>
            </m:oMath>
            <w:r>
              <w:t xml:space="preserve">, vs random-center / compact</w:t>
            </w:r>
          </w:p>
        </w:tc>
        <w:tc>
          <w:tcPr/>
          <w:p>
            <w:pPr>
              <w:pStyle w:val="Compact"/>
            </w:pPr>
            <w:r>
              <w:t xml:space="preserve">phases: boundary excess, vs random-center / compact</w:t>
            </w:r>
          </w:p>
        </w:tc>
        <w:tc>
          <w:tcPr/>
          <w:p>
            <w:pPr>
              <w:pStyle w:val="Compact"/>
            </w:pPr>
            <w:r>
              <w:t xml:space="preserve">Parkin vs rest:</w:t>
            </w:r>
            <w:r>
              <w:t xml:space="preserve"> </w:t>
            </w:r>
            <m:oMath>
              <m:sSub>
                <m:e>
                  <m:r>
                    <m:t>F</m:t>
                  </m:r>
                </m:e>
                <m:sub>
                  <m:r>
                    <m:t>S</m:t>
                  </m:r>
                  <m:r>
                    <m:t>T</m:t>
                  </m:r>
                </m:sub>
              </m:sSub>
            </m:oMath>
            <w:r>
              <w:t xml:space="preserve">, vs random-center / compact</w:t>
            </w:r>
          </w:p>
        </w:tc>
      </w:tr>
      <w:tr>
        <w:tc>
          <w:tcPr/>
          <w:p>
            <w:pPr>
              <w:pStyle w:val="Compact"/>
            </w:pPr>
            <w:r>
              <w:t xml:space="preserve">1</w:t>
            </w:r>
          </w:p>
        </w:tc>
        <w:tc>
          <w:tcPr/>
          <w:p>
            <w:pPr>
              <w:pStyle w:val="Compact"/>
            </w:pPr>
            <w:r>
              <w:t xml:space="preserve">0</w:t>
            </w:r>
          </w:p>
        </w:tc>
        <w:tc>
          <w:tcPr/>
          <w:p>
            <w:pPr>
              <w:pStyle w:val="Compact"/>
            </w:pPr>
            <w:r>
              <w:t xml:space="preserve">0.62 / 0.41</w:t>
            </w:r>
          </w:p>
        </w:tc>
        <w:tc>
          <w:tcPr/>
          <w:p>
            <w:pPr>
              <w:pStyle w:val="Compact"/>
            </w:pPr>
            <w:r>
              <w:t xml:space="preserve">0.56 / 0.27</w:t>
            </w:r>
          </w:p>
        </w:tc>
        <w:tc>
          <w:tcPr/>
          <w:p>
            <w:pPr>
              <w:pStyle w:val="Compact"/>
            </w:pPr>
            <w:r>
              <w:t xml:space="preserve">0.64 / 0.62</w:t>
            </w:r>
          </w:p>
        </w:tc>
      </w:tr>
      <w:tr>
        <w:tc>
          <w:tcPr/>
          <w:p>
            <w:pPr>
              <w:pStyle w:val="Compact"/>
            </w:pPr>
            <w:r>
              <w:t xml:space="preserve">0.1</w:t>
            </w:r>
          </w:p>
        </w:tc>
        <w:tc>
          <w:tcPr/>
          <w:p>
            <w:pPr>
              <w:pStyle w:val="Compact"/>
            </w:pPr>
            <w:r>
              <w:t xml:space="preserve">0</w:t>
            </w:r>
          </w:p>
        </w:tc>
        <w:tc>
          <w:tcPr/>
          <w:p>
            <w:pPr>
              <w:pStyle w:val="Compact"/>
            </w:pPr>
            <w:r>
              <w:t xml:space="preserve">0.80 / 0.58</w:t>
            </w:r>
          </w:p>
        </w:tc>
        <w:tc>
          <w:tcPr/>
          <w:p>
            <w:pPr>
              <w:pStyle w:val="Compact"/>
            </w:pPr>
            <w:r>
              <w:t xml:space="preserve">0.76 / 0.58</w:t>
            </w:r>
          </w:p>
        </w:tc>
        <w:tc>
          <w:tcPr/>
          <w:p>
            <w:pPr>
              <w:pStyle w:val="Compact"/>
            </w:pPr>
            <w:r>
              <w:t xml:space="preserve">0.72 / 0.62</w:t>
            </w:r>
          </w:p>
        </w:tc>
      </w:tr>
      <w:tr>
        <w:tc>
          <w:tcPr/>
          <w:p>
            <w:pPr>
              <w:pStyle w:val="Compact"/>
            </w:pPr>
            <w:r>
              <w:t xml:space="preserve">0.03</w:t>
            </w:r>
          </w:p>
        </w:tc>
        <w:tc>
          <w:tcPr/>
          <w:p>
            <w:pPr>
              <w:pStyle w:val="Compact"/>
            </w:pPr>
            <w:r>
              <w:t xml:space="preserve">0</w:t>
            </w:r>
          </w:p>
        </w:tc>
        <w:tc>
          <w:tcPr/>
          <w:p>
            <w:pPr>
              <w:pStyle w:val="Compact"/>
            </w:pPr>
            <w:r>
              <w:t xml:space="preserve">0.90 / 0.74</w:t>
            </w:r>
          </w:p>
        </w:tc>
        <w:tc>
          <w:tcPr/>
          <w:p>
            <w:pPr>
              <w:pStyle w:val="Compact"/>
            </w:pPr>
            <w:r>
              <w:t xml:space="preserve">0.90 / 0.78</w:t>
            </w:r>
          </w:p>
        </w:tc>
        <w:tc>
          <w:tcPr/>
          <w:p>
            <w:pPr>
              <w:pStyle w:val="Compact"/>
            </w:pPr>
            <w:r>
              <w:t xml:space="preserve">0.72 / 0.62</w:t>
            </w:r>
          </w:p>
        </w:tc>
      </w:tr>
      <w:tr>
        <w:tc>
          <w:tcPr/>
          <w:p>
            <w:pPr>
              <w:pStyle w:val="Compact"/>
            </w:pPr>
            <w:r>
              <w:t xml:space="preserve">1</w:t>
            </w:r>
          </w:p>
        </w:tc>
        <w:tc>
          <w:tcPr/>
          <w:p>
            <w:pPr>
              <w:pStyle w:val="Compact"/>
            </w:pPr>
            <w:r>
              <w:t xml:space="preserve">0.2</w:t>
            </w:r>
          </w:p>
        </w:tc>
        <w:tc>
          <w:tcPr/>
          <w:p>
            <w:pPr>
              <w:pStyle w:val="Compact"/>
            </w:pPr>
            <w:r>
              <w:t xml:space="preserve">0.76 / 0.58</w:t>
            </w:r>
          </w:p>
        </w:tc>
        <w:tc>
          <w:tcPr/>
          <w:p>
            <w:pPr>
              <w:pStyle w:val="Compact"/>
            </w:pPr>
            <w:r>
              <w:t xml:space="preserve">0.72 / 0.64</w:t>
            </w:r>
          </w:p>
        </w:tc>
        <w:tc>
          <w:tcPr/>
          <w:p>
            <w:pPr>
              <w:pStyle w:val="Compact"/>
            </w:pPr>
            <w:r>
              <w:t xml:space="preserve">0.72 / 0.62</w:t>
            </w:r>
          </w:p>
        </w:tc>
      </w:tr>
      <w:tr>
        <w:tc>
          <w:tcPr/>
          <w:p>
            <w:pPr>
              <w:pStyle w:val="Compact"/>
            </w:pPr>
            <w:r>
              <w:t xml:space="preserve">0.03</w:t>
            </w:r>
          </w:p>
        </w:tc>
        <w:tc>
          <w:tcPr/>
          <w:p>
            <w:pPr>
              <w:pStyle w:val="Compact"/>
            </w:pPr>
            <w:r>
              <w:t xml:space="preserve">0.2</w:t>
            </w:r>
          </w:p>
        </w:tc>
        <w:tc>
          <w:tcPr/>
          <w:p>
            <w:pPr>
              <w:pStyle w:val="Compact"/>
            </w:pPr>
            <w:r>
              <w:t xml:space="preserve">0.94 / 0.80</w:t>
            </w:r>
          </w:p>
        </w:tc>
        <w:tc>
          <w:tcPr/>
          <w:p>
            <w:pPr>
              <w:pStyle w:val="Compact"/>
            </w:pPr>
            <w:r>
              <w:t xml:space="preserve">0.94 / 0.83</w:t>
            </w:r>
          </w:p>
        </w:tc>
        <w:tc>
          <w:tcPr/>
          <w:p>
            <w:pPr>
              <w:pStyle w:val="Compact"/>
            </w:pPr>
            <w:r>
              <w:t xml:space="preserve">0.74 / 0.62</w:t>
            </w:r>
          </w:p>
        </w:tc>
      </w:tr>
      <w:tr>
        <w:tc>
          <w:tcPr/>
          <w:p>
            <w:pPr>
              <w:pStyle w:val="Compact"/>
            </w:pPr>
            <w:r>
              <w:t xml:space="preserve">observed record</w:t>
            </w:r>
          </w:p>
        </w:tc>
        <w:tc>
          <w:tcPr/>
          <w:p>
            <w:pPr>
              <w:pStyle w:val="Compact"/>
            </w:pPr>
          </w:p>
        </w:tc>
        <w:tc>
          <w:tcPr/>
          <w:p>
            <w:pPr>
              <w:pStyle w:val="Compact"/>
            </w:pPr>
            <w:r>
              <w:t xml:space="preserve">0.30 / 0.04</w:t>
            </w:r>
          </w:p>
        </w:tc>
        <w:tc>
          <w:tcPr/>
          <w:p>
            <w:pPr>
              <w:pStyle w:val="Compact"/>
            </w:pPr>
            <w:r>
              <w:t xml:space="preserve">0.72 / 0.68</w:t>
            </w:r>
          </w:p>
        </w:tc>
        <w:tc>
          <w:tcPr/>
          <w:p>
            <w:pPr>
              <w:pStyle w:val="Compact"/>
            </w:pPr>
            <w:r>
              <w:t xml:space="preserve">0.28 / 0.00</w:t>
            </w:r>
          </w:p>
        </w:tc>
      </w:tr>
    </w:tbl>
    <w:p>
      <w:pPr>
        <w:pStyle w:val="BodyText"/>
      </w:pPr>
      <w:r>
        <w:t xml:space="preserve">For the three phases the comparison has power: restricted copying at the lines raises the share of alternatives they beat, and the real lines beat fewer on</w:t>
      </w:r>
      <w:r>
        <w:t xml:space="preserve"> </w:t>
      </w:r>
      <m:oMath>
        <m:sSub>
          <m:e>
            <m:r>
              <m:t>F</m:t>
            </m:r>
          </m:e>
          <m:sub>
            <m:r>
              <m:t>S</m:t>
            </m:r>
            <m:r>
              <m:t>T</m:t>
            </m:r>
          </m:sub>
        </m:sSub>
      </m:oMath>
      <w:r>
        <w:t xml:space="preserve"> </w:t>
      </w:r>
      <w:r>
        <w:t xml:space="preserve">than simulated lines do even with no restriction. On the boundary excess the real lines sit above the no-restriction row and within the range of the restricted rows, so that measure is ambiguous. For the single Parkin line the comparison has little power, because the compact two-group alternatives are few and similar (the shares barely move), so it cannot exclude restricted copying at the edge of the Parkin phase.</w:t>
      </w:r>
    </w:p>
    <w:bookmarkEnd w:id="143"/>
    <w:bookmarkStart w:id="144" w:name="the-differences-at-finer-scales"/>
    <w:p>
      <w:pPr>
        <w:pStyle w:val="Heading2"/>
      </w:pPr>
      <w:r>
        <w:t xml:space="preserve">The differences at finer scales</w:t>
      </w:r>
    </w:p>
    <w:p>
      <w:pPr>
        <w:pStyle w:val="FirstParagraph"/>
      </w:pPr>
      <w:r>
        <w:rPr>
          <w:b/>
          <w:bCs/>
        </w:rPr>
        <w:t xml:space="preserve">Table S5.</w:t>
      </w:r>
      <w:r>
        <w:t xml:space="preserve"> </w:t>
      </w:r>
      <w:r>
        <w:t xml:space="preserve">Observed between-cluster cultural</w:t>
      </w:r>
      <w:r>
        <w:t xml:space="preserve"> </w:t>
      </w:r>
      <m:oMath>
        <m:sSub>
          <m:e>
            <m:r>
              <m:t>F</m:t>
            </m:r>
          </m:e>
          <m:sub>
            <m:r>
              <m:t>S</m:t>
            </m:r>
            <m:r>
              <m:t>T</m:t>
            </m:r>
          </m:sub>
        </m:sSub>
      </m:oMath>
      <w:r>
        <w:t xml:space="preserve"> </w:t>
      </w:r>
      <w:r>
        <w:t xml:space="preserve">against the calibrated copying model as the basin is divided into more</w:t>
      </w:r>
      <w:r>
        <w:t xml:space="preserve"> </w:t>
      </w:r>
      <m:oMath>
        <m:r>
          <m:t>k</m:t>
        </m:r>
      </m:oMath>
      <w:r>
        <w:t xml:space="preserve">-means clusters, 300 runs at the selected combination, each run scored at every</w:t>
      </w:r>
      <w:r>
        <w:t xml:space="preserve"> </w:t>
      </w:r>
      <m:oMath>
        <m:r>
          <m:t>k</m:t>
        </m:r>
      </m:oMath>
      <w:r>
        <w:t xml:space="preserve"> </w:t>
      </w:r>
      <w:r>
        <w:t xml:space="preserve">(</w:t>
      </w:r>
      <w:r>
        <w:rPr>
          <w:rStyle w:val="VerbatimChar"/>
        </w:rPr>
        <w:t xml:space="preserve">analyses/71_scale_sweep.py</w:t>
      </w:r>
      <w:r>
        <w:t xml:space="preserve">). The smallest-group column matters: once a cluster holds a single assemblage, it matches its own profile exactly and adds between-group variance for a reason that is arithmetic rather than archaeological.</w:t>
      </w:r>
    </w:p>
    <w:tbl>
      <w:tblPr>
        <w:tblStyle w:val="Table"/>
        <w:tblW w:type="pct" w:w="5000"/>
        <w:tblLayout w:type="fixed"/>
        <w:tblLook w:firstRow="1" w:lastRow="0" w:firstColumn="0" w:lastColumn="0" w:noHBand="0" w:noVBand="0" w:val="0020"/>
      </w:tblPr>
      <w:tblGrid>
        <w:gridCol w:w="1377"/>
        <w:gridCol w:w="1377"/>
        <w:gridCol w:w="1377"/>
        <w:gridCol w:w="1377"/>
        <w:gridCol w:w="1033"/>
        <w:gridCol w:w="1377"/>
      </w:tblGrid>
      <w:tr>
        <w:trPr>
          <w:tblHeader w:val="on"/>
        </w:trPr>
        <w:tc>
          <w:tcPr/>
          <w:p>
            <w:pPr>
              <w:pStyle w:val="Compact"/>
              <w:jc w:val="right"/>
            </w:pPr>
            <m:oMath>
              <m:r>
                <m:t>k</m:t>
              </m:r>
            </m:oMath>
          </w:p>
        </w:tc>
        <w:tc>
          <w:tcPr/>
          <w:p>
            <w:pPr>
              <w:pStyle w:val="Compact"/>
              <w:jc w:val="right"/>
            </w:pPr>
            <w:r>
              <w:t xml:space="preserve">radius (km)</w:t>
            </w:r>
          </w:p>
        </w:tc>
        <w:tc>
          <w:tcPr/>
          <w:p>
            <w:pPr>
              <w:pStyle w:val="Compact"/>
              <w:jc w:val="right"/>
            </w:pPr>
            <w:r>
              <w:t xml:space="preserve">smallest group</w:t>
            </w:r>
          </w:p>
        </w:tc>
        <w:tc>
          <w:tcPr/>
          <w:p>
            <w:pPr>
              <w:pStyle w:val="Compact"/>
              <w:jc w:val="right"/>
            </w:pPr>
            <w:r>
              <w:t xml:space="preserve">observed</w:t>
            </w:r>
          </w:p>
        </w:tc>
        <w:tc>
          <w:tcPr/>
          <w:p>
            <w:pPr>
              <w:pStyle w:val="Compact"/>
            </w:pPr>
            <w:r>
              <w:t xml:space="preserve">model median [95%]</w:t>
            </w:r>
          </w:p>
        </w:tc>
        <w:tc>
          <w:tcPr/>
          <w:p>
            <w:pPr>
              <w:pStyle w:val="Compact"/>
              <w:jc w:val="right"/>
            </w:pPr>
            <w:r>
              <w:t xml:space="preserve">runs reaching</w:t>
            </w:r>
          </w:p>
        </w:tc>
      </w:tr>
      <w:tr>
        <w:tc>
          <w:tcPr/>
          <w:p>
            <w:pPr>
              <w:pStyle w:val="Compact"/>
              <w:jc w:val="right"/>
            </w:pPr>
            <w:r>
              <w:t xml:space="preserve">2</w:t>
            </w:r>
          </w:p>
        </w:tc>
        <w:tc>
          <w:tcPr/>
          <w:p>
            <w:pPr>
              <w:pStyle w:val="Compact"/>
              <w:jc w:val="right"/>
            </w:pPr>
            <w:r>
              <w:t xml:space="preserve">17.6</w:t>
            </w:r>
          </w:p>
        </w:tc>
        <w:tc>
          <w:tcPr/>
          <w:p>
            <w:pPr>
              <w:pStyle w:val="Compact"/>
              <w:jc w:val="right"/>
            </w:pPr>
            <w:r>
              <w:t xml:space="preserve">11</w:t>
            </w:r>
          </w:p>
        </w:tc>
        <w:tc>
          <w:tcPr/>
          <w:p>
            <w:pPr>
              <w:pStyle w:val="Compact"/>
              <w:jc w:val="right"/>
            </w:pPr>
            <w:r>
              <w:t xml:space="preserve">0.0062</w:t>
            </w:r>
          </w:p>
        </w:tc>
        <w:tc>
          <w:tcPr/>
          <w:p>
            <w:pPr>
              <w:pStyle w:val="Compact"/>
            </w:pPr>
            <w:r>
              <w:t xml:space="preserve">0.0019 [0.0002, 0.0124]</w:t>
            </w:r>
          </w:p>
        </w:tc>
        <w:tc>
          <w:tcPr/>
          <w:p>
            <w:pPr>
              <w:pStyle w:val="Compact"/>
              <w:jc w:val="right"/>
            </w:pPr>
            <w:r>
              <w:t xml:space="preserve">13.3%</w:t>
            </w:r>
          </w:p>
        </w:tc>
      </w:tr>
      <w:tr>
        <w:tc>
          <w:tcPr/>
          <w:p>
            <w:pPr>
              <w:pStyle w:val="Compact"/>
              <w:jc w:val="right"/>
            </w:pPr>
            <w:r>
              <w:t xml:space="preserve">3</w:t>
            </w:r>
          </w:p>
        </w:tc>
        <w:tc>
          <w:tcPr/>
          <w:p>
            <w:pPr>
              <w:pStyle w:val="Compact"/>
              <w:jc w:val="right"/>
            </w:pPr>
            <w:r>
              <w:t xml:space="preserve">13.6</w:t>
            </w:r>
          </w:p>
        </w:tc>
        <w:tc>
          <w:tcPr/>
          <w:p>
            <w:pPr>
              <w:pStyle w:val="Compact"/>
              <w:jc w:val="right"/>
            </w:pPr>
            <w:r>
              <w:t xml:space="preserve">9</w:t>
            </w:r>
          </w:p>
        </w:tc>
        <w:tc>
          <w:tcPr/>
          <w:p>
            <w:pPr>
              <w:pStyle w:val="Compact"/>
              <w:jc w:val="right"/>
            </w:pPr>
            <w:r>
              <w:t xml:space="preserve">0.0156</w:t>
            </w:r>
          </w:p>
        </w:tc>
        <w:tc>
          <w:tcPr/>
          <w:p>
            <w:pPr>
              <w:pStyle w:val="Compact"/>
            </w:pPr>
            <w:r>
              <w:t xml:space="preserve">0.0035 [0.0007, 0.0135]</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11.7</w:t>
            </w:r>
          </w:p>
        </w:tc>
        <w:tc>
          <w:tcPr/>
          <w:p>
            <w:pPr>
              <w:pStyle w:val="Compact"/>
              <w:jc w:val="right"/>
            </w:pPr>
            <w:r>
              <w:t xml:space="preserve">5</w:t>
            </w:r>
          </w:p>
        </w:tc>
        <w:tc>
          <w:tcPr/>
          <w:p>
            <w:pPr>
              <w:pStyle w:val="Compact"/>
              <w:jc w:val="right"/>
            </w:pPr>
            <w:r>
              <w:t xml:space="preserve">0.0186</w:t>
            </w:r>
          </w:p>
        </w:tc>
        <w:tc>
          <w:tcPr/>
          <w:p>
            <w:pPr>
              <w:pStyle w:val="Compact"/>
            </w:pPr>
            <w:r>
              <w:t xml:space="preserve">0.0041 [0.0010, 0.0146]</w:t>
            </w:r>
          </w:p>
        </w:tc>
        <w:tc>
          <w:tcPr/>
          <w:p>
            <w:pPr>
              <w:pStyle w:val="Compact"/>
              <w:jc w:val="right"/>
            </w:pPr>
            <w:r>
              <w:t xml:space="preserve">1.0%</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1</w:t>
            </w:r>
          </w:p>
        </w:tc>
        <w:tc>
          <w:tcPr/>
          <w:p>
            <w:pPr>
              <w:pStyle w:val="Compact"/>
              <w:jc w:val="right"/>
            </w:pPr>
            <w:r>
              <w:t xml:space="preserve">0.0206</w:t>
            </w:r>
          </w:p>
        </w:tc>
        <w:tc>
          <w:tcPr/>
          <w:p>
            <w:pPr>
              <w:pStyle w:val="Compact"/>
            </w:pPr>
            <w:r>
              <w:t xml:space="preserve">0.0043 [0.0013, 0.0148]</w:t>
            </w:r>
          </w:p>
        </w:tc>
        <w:tc>
          <w:tcPr/>
          <w:p>
            <w:pPr>
              <w:pStyle w:val="Compact"/>
              <w:jc w:val="right"/>
            </w:pPr>
            <w:r>
              <w:t xml:space="preserve">0.3%</w:t>
            </w:r>
          </w:p>
        </w:tc>
      </w:tr>
      <w:tr>
        <w:tc>
          <w:tcPr/>
          <w:p>
            <w:pPr>
              <w:pStyle w:val="Compact"/>
              <w:jc w:val="right"/>
            </w:pPr>
            <w:r>
              <w:t xml:space="preserve">6</w:t>
            </w:r>
          </w:p>
        </w:tc>
        <w:tc>
          <w:tcPr/>
          <w:p>
            <w:pPr>
              <w:pStyle w:val="Compact"/>
              <w:jc w:val="right"/>
            </w:pPr>
            <w:r>
              <w:t xml:space="preserve">8.7</w:t>
            </w:r>
          </w:p>
        </w:tc>
        <w:tc>
          <w:tcPr/>
          <w:p>
            <w:pPr>
              <w:pStyle w:val="Compact"/>
              <w:jc w:val="right"/>
            </w:pPr>
            <w:r>
              <w:t xml:space="preserve">1</w:t>
            </w:r>
          </w:p>
        </w:tc>
        <w:tc>
          <w:tcPr/>
          <w:p>
            <w:pPr>
              <w:pStyle w:val="Compact"/>
              <w:jc w:val="right"/>
            </w:pPr>
            <w:r>
              <w:t xml:space="preserve">0.0327</w:t>
            </w:r>
          </w:p>
        </w:tc>
        <w:tc>
          <w:tcPr/>
          <w:p>
            <w:pPr>
              <w:pStyle w:val="Compact"/>
            </w:pPr>
            <w:r>
              <w:t xml:space="preserve">0.0050 [0.0017, 0.0152]</w:t>
            </w:r>
          </w:p>
        </w:tc>
        <w:tc>
          <w:tcPr/>
          <w:p>
            <w:pPr>
              <w:pStyle w:val="Compact"/>
              <w:jc w:val="right"/>
            </w:pPr>
            <w:r>
              <w:t xml:space="preserve">0.0%</w:t>
            </w:r>
          </w:p>
        </w:tc>
      </w:tr>
      <w:tr>
        <w:tc>
          <w:tcPr/>
          <w:p>
            <w:pPr>
              <w:pStyle w:val="Compact"/>
              <w:jc w:val="right"/>
            </w:pPr>
            <w:r>
              <w:t xml:space="preserve">8</w:t>
            </w:r>
          </w:p>
        </w:tc>
        <w:tc>
          <w:tcPr/>
          <w:p>
            <w:pPr>
              <w:pStyle w:val="Compact"/>
              <w:jc w:val="right"/>
            </w:pPr>
            <w:r>
              <w:t xml:space="preserve">7.1</w:t>
            </w:r>
          </w:p>
        </w:tc>
        <w:tc>
          <w:tcPr/>
          <w:p>
            <w:pPr>
              <w:pStyle w:val="Compact"/>
              <w:jc w:val="right"/>
            </w:pPr>
            <w:r>
              <w:t xml:space="preserve">1</w:t>
            </w:r>
          </w:p>
        </w:tc>
        <w:tc>
          <w:tcPr/>
          <w:p>
            <w:pPr>
              <w:pStyle w:val="Compact"/>
              <w:jc w:val="right"/>
            </w:pPr>
            <w:r>
              <w:t xml:space="preserve">0.0346</w:t>
            </w:r>
          </w:p>
        </w:tc>
        <w:tc>
          <w:tcPr/>
          <w:p>
            <w:pPr>
              <w:pStyle w:val="Compact"/>
            </w:pPr>
            <w:r>
              <w:t xml:space="preserve">0.0058 [0.0024, 0.0165]</w:t>
            </w:r>
          </w:p>
        </w:tc>
        <w:tc>
          <w:tcPr/>
          <w:p>
            <w:pPr>
              <w:pStyle w:val="Compact"/>
              <w:jc w:val="right"/>
            </w:pPr>
            <w:r>
              <w:t xml:space="preserve">0.0%</w:t>
            </w:r>
          </w:p>
        </w:tc>
      </w:tr>
      <w:tr>
        <w:tc>
          <w:tcPr/>
          <w:p>
            <w:pPr>
              <w:pStyle w:val="Compact"/>
              <w:jc w:val="right"/>
            </w:pPr>
            <w:r>
              <w:t xml:space="preserve">10</w:t>
            </w:r>
          </w:p>
        </w:tc>
        <w:tc>
          <w:tcPr/>
          <w:p>
            <w:pPr>
              <w:pStyle w:val="Compact"/>
              <w:jc w:val="right"/>
            </w:pPr>
            <w:r>
              <w:t xml:space="preserve">5.8</w:t>
            </w:r>
          </w:p>
        </w:tc>
        <w:tc>
          <w:tcPr/>
          <w:p>
            <w:pPr>
              <w:pStyle w:val="Compact"/>
              <w:jc w:val="right"/>
            </w:pPr>
            <w:r>
              <w:t xml:space="preserve">1</w:t>
            </w:r>
          </w:p>
        </w:tc>
        <w:tc>
          <w:tcPr/>
          <w:p>
            <w:pPr>
              <w:pStyle w:val="Compact"/>
              <w:jc w:val="right"/>
            </w:pPr>
            <w:r>
              <w:t xml:space="preserve">0.0441</w:t>
            </w:r>
          </w:p>
        </w:tc>
        <w:tc>
          <w:tcPr/>
          <w:p>
            <w:pPr>
              <w:pStyle w:val="Compact"/>
            </w:pPr>
            <w:r>
              <w:t xml:space="preserve">0.0067 [0.0028, 0.0185]</w:t>
            </w:r>
          </w:p>
        </w:tc>
        <w:tc>
          <w:tcPr/>
          <w:p>
            <w:pPr>
              <w:pStyle w:val="Compact"/>
              <w:jc w:val="right"/>
            </w:pPr>
            <w:r>
              <w:t xml:space="preserve">0.0%</w:t>
            </w:r>
          </w:p>
        </w:tc>
      </w:tr>
      <w:tr>
        <w:tc>
          <w:tcPr/>
          <w:p>
            <w:pPr>
              <w:pStyle w:val="Compact"/>
              <w:jc w:val="right"/>
            </w:pPr>
            <w:r>
              <w:t xml:space="preserve">12</w:t>
            </w:r>
          </w:p>
        </w:tc>
        <w:tc>
          <w:tcPr/>
          <w:p>
            <w:pPr>
              <w:pStyle w:val="Compact"/>
              <w:jc w:val="right"/>
            </w:pPr>
            <w:r>
              <w:t xml:space="preserve">4.5</w:t>
            </w:r>
          </w:p>
        </w:tc>
        <w:tc>
          <w:tcPr/>
          <w:p>
            <w:pPr>
              <w:pStyle w:val="Compact"/>
              <w:jc w:val="right"/>
            </w:pPr>
            <w:r>
              <w:t xml:space="preserve">1</w:t>
            </w:r>
          </w:p>
        </w:tc>
        <w:tc>
          <w:tcPr/>
          <w:p>
            <w:pPr>
              <w:pStyle w:val="Compact"/>
              <w:jc w:val="right"/>
            </w:pPr>
            <w:r>
              <w:t xml:space="preserve">0.0529</w:t>
            </w:r>
          </w:p>
        </w:tc>
        <w:tc>
          <w:tcPr/>
          <w:p>
            <w:pPr>
              <w:pStyle w:val="Compact"/>
            </w:pPr>
            <w:r>
              <w:t xml:space="preserve">0.0078 [0.0031, 0.0193]</w:t>
            </w:r>
          </w:p>
        </w:tc>
        <w:tc>
          <w:tcPr/>
          <w:p>
            <w:pPr>
              <w:pStyle w:val="Compact"/>
              <w:jc w:val="right"/>
            </w:pPr>
            <w:r>
              <w:t xml:space="preserve">0.0%</w:t>
            </w:r>
          </w:p>
        </w:tc>
      </w:tr>
    </w:tbl>
    <w:p>
      <w:pPr>
        <w:pStyle w:val="BodyText"/>
      </w:pPr>
      <w:r>
        <w:rPr>
          <w:b/>
          <w:bCs/>
        </w:rPr>
        <w:t xml:space="preserve">Table S6.</w:t>
      </w:r>
      <w:r>
        <w:t xml:space="preserve"> </w:t>
      </w:r>
      <w:r>
        <w:t xml:space="preserve">The comparison at the six most favorable combinations that passed the fifty-run confirmation (learners, innovation, mixing), 300 runs each (</w:t>
      </w:r>
      <w:r>
        <w:rPr>
          <w:rStyle w:val="VerbatimChar"/>
        </w:rPr>
        <w:t xml:space="preserve">analyses/88_cell_sensitivity.py</w:t>
      </w:r>
      <w:r>
        <w:t xml:space="preserve">,</w:t>
      </w:r>
      <w:r>
        <w:t xml:space="preserve"> </w:t>
      </w:r>
      <w:r>
        <w:rPr>
          <w:rStyle w:val="VerbatimChar"/>
        </w:rPr>
        <w:t xml:space="preserve">output/findings/cell_sensitivity.md</w:t>
      </w:r>
      <w:r>
        <w:t xml:space="preserve">). Entries are the model median, its 95 percent range, and the share of runs reaching the observed value. The last row is a combination that matched on the six-run screen but failed the confirmation, shown because it gives the highest shares of runs reaching the observed value.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combination</w:t>
            </w:r>
          </w:p>
        </w:tc>
        <w:tc>
          <w:tcPr/>
          <w:p>
            <w:pPr>
              <w:pStyle w:val="Compact"/>
            </w:pPr>
            <w:r>
              <w:t xml:space="preserve">two clusters, Parkin phase against the rest (0.0062)</w:t>
            </w:r>
          </w:p>
        </w:tc>
        <w:tc>
          <w:tcPr/>
          <w:p>
            <w:pPr>
              <w:pStyle w:val="Compact"/>
            </w:pPr>
            <w:r>
              <w:t xml:space="preserve">the phases (0.0110)</w:t>
            </w:r>
          </w:p>
        </w:tc>
        <w:tc>
          <w:tcPr/>
          <w:p>
            <w:pPr>
              <w:pStyle w:val="Compact"/>
            </w:pPr>
            <w:r>
              <w:t xml:space="preserve">three clusters (0.0156)</w:t>
            </w:r>
          </w:p>
        </w:tc>
        <w:tc>
          <w:tcPr/>
          <w:p>
            <w:pPr>
              <w:pStyle w:val="Compact"/>
            </w:pPr>
            <w:r>
              <w:t xml:space="preserve">four clusters (0.0186)</w:t>
            </w:r>
          </w:p>
        </w:tc>
      </w:tr>
      <w:tr>
        <w:tc>
          <w:tcPr/>
          <w:p>
            <w:pPr>
              <w:pStyle w:val="Compact"/>
            </w:pPr>
            <w:r>
              <w:t xml:space="preserve">2,000, 0.001, 0.02 (selected)</w:t>
            </w:r>
          </w:p>
        </w:tc>
        <w:tc>
          <w:tcPr/>
          <w:p>
            <w:pPr>
              <w:pStyle w:val="Compact"/>
            </w:pPr>
            <w:r>
              <w:t xml:space="preserve">0.0019 [0.0002, 0.0124]; 13%</w:t>
            </w:r>
          </w:p>
        </w:tc>
        <w:tc>
          <w:tcPr/>
          <w:p>
            <w:pPr>
              <w:pStyle w:val="Compact"/>
            </w:pPr>
            <w:r>
              <w:t xml:space="preserve">0.0034 [0.0008, 0.0138]; 5%</w:t>
            </w:r>
          </w:p>
        </w:tc>
        <w:tc>
          <w:tcPr/>
          <w:p>
            <w:pPr>
              <w:pStyle w:val="Compact"/>
            </w:pPr>
            <w:r>
              <w:t xml:space="preserve">0.0035 [0.0007, 0.0135]; 1%</w:t>
            </w:r>
          </w:p>
        </w:tc>
        <w:tc>
          <w:tcPr/>
          <w:p>
            <w:pPr>
              <w:pStyle w:val="Compact"/>
            </w:pPr>
            <w:r>
              <w:t xml:space="preserve">0.0041 [0.0010, 0.0146]; 1%</w:t>
            </w:r>
          </w:p>
        </w:tc>
      </w:tr>
      <w:tr>
        <w:tc>
          <w:tcPr/>
          <w:p>
            <w:pPr>
              <w:pStyle w:val="Compact"/>
            </w:pPr>
            <w:r>
              <w:t xml:space="preserve">10,000, 0.0005, 0.002</w:t>
            </w:r>
          </w:p>
        </w:tc>
        <w:tc>
          <w:tcPr/>
          <w:p>
            <w:pPr>
              <w:pStyle w:val="Compact"/>
            </w:pPr>
            <w:r>
              <w:t xml:space="preserve">0.0021 [0.0002, 0.0119]; 14%</w:t>
            </w:r>
          </w:p>
        </w:tc>
        <w:tc>
          <w:tcPr/>
          <w:p>
            <w:pPr>
              <w:pStyle w:val="Compact"/>
            </w:pPr>
            <w:r>
              <w:t xml:space="preserve">0.0038 [0.0006, 0.0150]; 7%</w:t>
            </w:r>
          </w:p>
        </w:tc>
        <w:tc>
          <w:tcPr/>
          <w:p>
            <w:pPr>
              <w:pStyle w:val="Compact"/>
            </w:pPr>
            <w:r>
              <w:t xml:space="preserve">0.0039 [0.0007, 0.0159]; 3%</w:t>
            </w:r>
          </w:p>
        </w:tc>
        <w:tc>
          <w:tcPr/>
          <w:p>
            <w:pPr>
              <w:pStyle w:val="Compact"/>
            </w:pPr>
            <w:r>
              <w:t xml:space="preserve">0.0047 [0.0012, 0.0169]; 1%</w:t>
            </w:r>
          </w:p>
        </w:tc>
      </w:tr>
      <w:tr>
        <w:tc>
          <w:tcPr/>
          <w:p>
            <w:pPr>
              <w:pStyle w:val="Compact"/>
            </w:pPr>
            <w:r>
              <w:t xml:space="preserve">120, 0.008, 0.1</w:t>
            </w:r>
          </w:p>
        </w:tc>
        <w:tc>
          <w:tcPr/>
          <w:p>
            <w:pPr>
              <w:pStyle w:val="Compact"/>
            </w:pPr>
            <w:r>
              <w:t xml:space="preserve">0.0021 [0.0002, 0.0097]; 11%</w:t>
            </w:r>
          </w:p>
        </w:tc>
        <w:tc>
          <w:tcPr/>
          <w:p>
            <w:pPr>
              <w:pStyle w:val="Compact"/>
            </w:pPr>
            <w:r>
              <w:t xml:space="preserve">0.0042 [0.0007, 0.0133]; 6%</w:t>
            </w:r>
          </w:p>
        </w:tc>
        <w:tc>
          <w:tcPr/>
          <w:p>
            <w:pPr>
              <w:pStyle w:val="Compact"/>
            </w:pPr>
            <w:r>
              <w:t xml:space="preserve">0.0042 [0.0007, 0.0134]; 2%</w:t>
            </w:r>
          </w:p>
        </w:tc>
        <w:tc>
          <w:tcPr/>
          <w:p>
            <w:pPr>
              <w:pStyle w:val="Compact"/>
            </w:pPr>
            <w:r>
              <w:t xml:space="preserve">0.0050 [0.0009, 0.0137]; 0%</w:t>
            </w:r>
          </w:p>
        </w:tc>
      </w:tr>
      <w:tr>
        <w:tc>
          <w:tcPr/>
          <w:p>
            <w:pPr>
              <w:pStyle w:val="Compact"/>
            </w:pPr>
            <w:r>
              <w:t xml:space="preserve">10,000, 0.0002, 0.005</w:t>
            </w:r>
          </w:p>
        </w:tc>
        <w:tc>
          <w:tcPr/>
          <w:p>
            <w:pPr>
              <w:pStyle w:val="Compact"/>
            </w:pPr>
            <w:r>
              <w:t xml:space="preserve">0.0023 [0.0004, 0.0129]; 16%</w:t>
            </w:r>
          </w:p>
        </w:tc>
        <w:tc>
          <w:tcPr/>
          <w:p>
            <w:pPr>
              <w:pStyle w:val="Compact"/>
            </w:pPr>
            <w:r>
              <w:t xml:space="preserve">0.0034 [0.0007, 0.0149]; 7%</w:t>
            </w:r>
          </w:p>
        </w:tc>
        <w:tc>
          <w:tcPr/>
          <w:p>
            <w:pPr>
              <w:pStyle w:val="Compact"/>
            </w:pPr>
            <w:r>
              <w:t xml:space="preserve">0.0035 [0.0007, 0.0154]; 3%</w:t>
            </w:r>
          </w:p>
        </w:tc>
        <w:tc>
          <w:tcPr/>
          <w:p>
            <w:pPr>
              <w:pStyle w:val="Compact"/>
            </w:pPr>
            <w:r>
              <w:t xml:space="preserve">0.0039 [0.0011, 0.0155]; 1%</w:t>
            </w:r>
          </w:p>
        </w:tc>
      </w:tr>
      <w:tr>
        <w:tc>
          <w:tcPr/>
          <w:p>
            <w:pPr>
              <w:pStyle w:val="Compact"/>
            </w:pPr>
            <w:r>
              <w:t xml:space="preserve">2,000, 0.002, 0.005</w:t>
            </w:r>
          </w:p>
        </w:tc>
        <w:tc>
          <w:tcPr/>
          <w:p>
            <w:pPr>
              <w:pStyle w:val="Compact"/>
            </w:pPr>
            <w:r>
              <w:t xml:space="preserve">0.0026 [0.0003, 0.0150]; 16%</w:t>
            </w:r>
          </w:p>
        </w:tc>
        <w:tc>
          <w:tcPr/>
          <w:p>
            <w:pPr>
              <w:pStyle w:val="Compact"/>
            </w:pPr>
            <w:r>
              <w:t xml:space="preserve">0.0049 [0.0011, 0.0214]; 12%</w:t>
            </w:r>
          </w:p>
        </w:tc>
        <w:tc>
          <w:tcPr/>
          <w:p>
            <w:pPr>
              <w:pStyle w:val="Compact"/>
            </w:pPr>
            <w:r>
              <w:t xml:space="preserve">0.0050 [0.0011, 0.0213]; 6%</w:t>
            </w:r>
          </w:p>
        </w:tc>
        <w:tc>
          <w:tcPr/>
          <w:p>
            <w:pPr>
              <w:pStyle w:val="Compact"/>
            </w:pPr>
            <w:r>
              <w:t xml:space="preserve">0.0062 [0.0016, 0.0203]; 4%</w:t>
            </w:r>
          </w:p>
        </w:tc>
      </w:tr>
      <w:tr>
        <w:tc>
          <w:tcPr/>
          <w:p>
            <w:pPr>
              <w:pStyle w:val="Compact"/>
            </w:pPr>
            <w:r>
              <w:t xml:space="preserve">2,000, 0.0005, 0.05</w:t>
            </w:r>
          </w:p>
        </w:tc>
        <w:tc>
          <w:tcPr/>
          <w:p>
            <w:pPr>
              <w:pStyle w:val="Compact"/>
            </w:pPr>
            <w:r>
              <w:t xml:space="preserve">0.0014 [0.0001, 0.0071]; 4%</w:t>
            </w:r>
          </w:p>
        </w:tc>
        <w:tc>
          <w:tcPr/>
          <w:p>
            <w:pPr>
              <w:pStyle w:val="Compact"/>
            </w:pPr>
            <w:r>
              <w:t xml:space="preserve">0.0024 [0.0005, 0.0093]; 1%</w:t>
            </w:r>
          </w:p>
        </w:tc>
        <w:tc>
          <w:tcPr/>
          <w:p>
            <w:pPr>
              <w:pStyle w:val="Compact"/>
            </w:pPr>
            <w:r>
              <w:t xml:space="preserve">0.0026 [0.0005, 0.0100]; 1%</w:t>
            </w:r>
          </w:p>
        </w:tc>
        <w:tc>
          <w:tcPr/>
          <w:p>
            <w:pPr>
              <w:pStyle w:val="Compact"/>
            </w:pPr>
            <w:r>
              <w:t xml:space="preserve">0.0029 [0.0005, 0.0098]; 0%</w:t>
            </w:r>
          </w:p>
        </w:tc>
      </w:tr>
      <w:tr>
        <w:tc>
          <w:tcPr/>
          <w:p>
            <w:pPr>
              <w:pStyle w:val="Compact"/>
            </w:pPr>
            <w:r>
              <w:t xml:space="preserve">2,000, 0.001, 0.01 (failed confirmation)</w:t>
            </w:r>
          </w:p>
        </w:tc>
        <w:tc>
          <w:tcPr/>
          <w:p>
            <w:pPr>
              <w:pStyle w:val="Compact"/>
            </w:pPr>
            <w:r>
              <w:t xml:space="preserve">0.0031 [0.0003, 0.0174]; 24%</w:t>
            </w:r>
          </w:p>
        </w:tc>
        <w:tc>
          <w:tcPr/>
          <w:p>
            <w:pPr>
              <w:pStyle w:val="Compact"/>
            </w:pPr>
            <w:r>
              <w:t xml:space="preserve">0.0050 [0.0012, 0.0200]; 17%</w:t>
            </w:r>
          </w:p>
        </w:tc>
        <w:tc>
          <w:tcPr/>
          <w:p>
            <w:pPr>
              <w:pStyle w:val="Compact"/>
            </w:pPr>
            <w:r>
              <w:t xml:space="preserve">0.0051 [0.0012, 0.0205]; 8%</w:t>
            </w:r>
          </w:p>
        </w:tc>
        <w:tc>
          <w:tcPr/>
          <w:p>
            <w:pPr>
              <w:pStyle w:val="Compact"/>
            </w:pPr>
            <w:r>
              <w:t xml:space="preserve">0.0061 [0.0017, 0.0210]; 5%</w:t>
            </w:r>
          </w:p>
        </w:tc>
      </w:tr>
    </w:tbl>
    <w:p>
      <w:pPr>
        <w:pStyle w:val="BodyText"/>
      </w:pPr>
      <w:r>
        <w:t xml:space="preserve">From three clusters on, 0 to 6 percent of runs reach the observed value at every confirmed combination; the observed value lies above the model’s 95 percent range at four of the six at three clusters and at five of the six at four clusters. The shortfall is not concentrated in one place. At five clusters, each cluster’s contribution to the between-cluster</w:t>
      </w:r>
      <w:r>
        <w:t xml:space="preserve"> </w:t>
      </w:r>
      <m:oMath>
        <m:sSub>
          <m:e>
            <m:r>
              <m:t>F</m:t>
            </m:r>
          </m:e>
          <m:sub>
            <m:r>
              <m:t>S</m:t>
            </m:r>
            <m:r>
              <m:t>T</m:t>
            </m:r>
          </m:sub>
        </m:sSub>
      </m:oMath>
      <w:r>
        <w:t xml:space="preserve"> </w:t>
      </w:r>
      <w:r>
        <w:t xml:space="preserve">exceeds the model’s median contribution 4- to 14-fold (</w:t>
      </w:r>
      <w:r>
        <w:rPr>
          <w:rStyle w:val="VerbatimChar"/>
        </w:rPr>
        <w:t xml:space="preserve">analyses/72_excess_locality.py</w:t>
      </w:r>
      <w:r>
        <w:t xml:space="preserve">): 14-fold for a cluster holding Cummins alone, 8.5-fold around Walls (Irby, Lake Cormorant, Mound Place, Walls, Woodlyn), 6.5-fold for the Kent-area cluster (Beck, Belle Meade, Commerce, Davis, Grant, Hollywood, Kent Place, Starkley), 4.3-fold for the cluster holding Parkin and eight neighbors, and 4.1-fold along the Mississippi (Big Eddy, Castile Landing, Clay Hill, Cramor Place, Nickel). Dropping any one cluster leaves the overall shortfall between 4.4- and 6.3-fold.</w:t>
      </w:r>
    </w:p>
    <w:p>
      <w:pPr>
        <w:pStyle w:val="BodyText"/>
      </w:pPr>
      <w:r>
        <w:t xml:space="preserve">Three checks ask whether this is an accident of sampling (</w:t>
      </w:r>
      <w:r>
        <w:rPr>
          <w:rStyle w:val="VerbatimChar"/>
        </w:rPr>
        <w:t xml:space="preserve">analyses/85_excess_robustness.py</w:t>
      </w:r>
      <w:r>
        <w:t xml:space="preserve">, 300 model runs, 2,000 draws). Redrawing every assemblage from the basin’s pooled profile at its own sherd count gives each cluster a contribution near zero, at most 0.0003 at the 97.5th percentile, against observed contributions of 0.0026 to 0.0055. Drawing each assemblage’s class proportions from Dirichlet(counts + 1/2) and dividing each cluster’s contribution by the model’s median gives posterior excesses whose 95 percent credible intervals all lie above 3 (the lowest lower bound is 3.1). Dropping each assemblage in turn from the data and from every model run leaves every multi-assemblage cluster between 3.2 and 11.6 times above the model. The shortfall is not a sampling effect, and no single collection carries it. It is also not a matter of which source the counts came from: rows carrying the survey’s counts alone and rows carrying Lipo’s compilation each fall short of the model when taken separately, by 15- and 3.5-fold, although source and sample size cannot be separated (</w:t>
      </w:r>
      <w:r>
        <w:rPr>
          <w:rStyle w:val="VerbatimChar"/>
        </w:rPr>
        <w:t xml:space="preserve">analyses/78_source_effect.py</w:t>
      </w:r>
      <w:r>
        <w:t xml:space="preserve">).</w:t>
      </w:r>
    </w:p>
    <w:bookmarkEnd w:id="144"/>
    <w:bookmarkStart w:id="149" w:name="tests-in-the-time-domain"/>
    <w:p>
      <w:pPr>
        <w:pStyle w:val="Heading2"/>
      </w:pPr>
      <w:r>
        <w:t xml:space="preserve">Tests in the time domain</w:t>
      </w:r>
    </w:p>
    <w:p>
      <w:pPr>
        <w:pStyle w:val="FirstParagraph"/>
      </w:pPr>
      <w:r>
        <w:t xml:space="preserve">The four measures describe states along the sequence rather than the changes between them. Two further tests model change directly while respecting the record’s time-averaging, and three shorter checks follow.</w:t>
      </w:r>
    </w:p>
    <w:p>
      <w:pPr>
        <w:pStyle w:val="BodyText"/>
      </w:pPr>
      <w:r>
        <w:rPr>
          <w:b/>
          <w:bCs/>
        </w:rPr>
        <w:t xml:space="preserve">Copying bias inferred by simulation.</w:t>
      </w:r>
      <w:r>
        <w:t xml:space="preserve"> </w:t>
      </w:r>
      <w:r>
        <w:t xml:space="preserve">We simulate copying scenarios ranging from strongly conformist through neutral to novelty-seeking, keep those that reproduce the real assemblages, and infer the copying bias from the survivors, with time-averaging built into each simulation</w:t>
      </w:r>
      <w:r>
        <w:t xml:space="preserve"> </w:t>
      </w:r>
      <w:r>
        <w:t xml:space="preserve">(Carrignon et al. 2019; Crema et al. 2014, 2016)</w:t>
      </w:r>
      <w:r>
        <w:t xml:space="preserve">. The model is frequency-dependent copying among the ten classes in a finite population: a class’s adoption weight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anti-conformity, and</w:t>
      </w:r>
      <w:r>
        <w:t xml:space="preserve"> </w:t>
      </w:r>
      <m:oMath>
        <m:r>
          <m:t>b</m:t>
        </m:r>
        <m:r>
          <m:rPr>
            <m:sty m:val="p"/>
          </m:rPr>
          <m:t>=</m:t>
        </m:r>
        <m:r>
          <m:t>0</m:t>
        </m:r>
      </m:oMath>
      <w:r>
        <w:t xml:space="preserve"> </w:t>
      </w:r>
      <w:r>
        <w:t xml:space="preserve">neutral copying, with an innovation rate that mixes in a uniform draw from the classes. An assemblage pools production over a window of generations. We placed broad priors on innovation,</w:t>
      </w:r>
      <w:r>
        <w:t xml:space="preserve"> </w:t>
      </w:r>
      <m:oMath>
        <m:r>
          <m:t>b</m:t>
        </m:r>
      </m:oMath>
      <w:r>
        <w:t xml:space="preserve">, population size, and window length, and fitted the model by sequential Monte Carlo approximate Bayesian computation (800 particles, six rounds of shrinking tolerance, local-linear regression adjustment), matching each simulated six-period sequence to the observed diversity trajectory and rank-frequency profile</w:t>
      </w:r>
      <w:r>
        <w:t xml:space="preserve"> </w:t>
      </w:r>
      <w:r>
        <w:t xml:space="preserve">(Beaumont et al. 2002; Toni et al. 2009)</w:t>
      </w:r>
      <w:r>
        <w:t xml:space="preserve">. The posterior of</w:t>
      </w:r>
      <w:r>
        <w:t xml:space="preserve"> </w:t>
      </w:r>
      <m:oMath>
        <m:r>
          <m:t>b</m:t>
        </m:r>
      </m:oMath>
      <w:r>
        <w:t xml:space="preserve"> </w:t>
      </w:r>
      <w:r>
        <w:t xml:space="preserve">is concentrated near neutral, with mean +0.003 and a 95 percent interval of -0.035 to +0.039 that includes zero, and means of +0.001 to +0.004 across five independent runs (Figure S8A). Its standard deviation is 0.017 against a prior of 0.289, so the data constrain it strongly. P(b &gt; 0) is 0.62 in the primary run and 0.53 to 0.63 across runs, so even the direction of any lean is unstable. Fitting the two halves of the order separately recovers no shift between them (-0.000 and +0.012). Simulation-based calibration over 200 datasets drawn from the prior gives ranks consistent with uniform (Kolmogorov-Smirnov D = 0.088, p = 0.086; Figure S8B)</w:t>
      </w:r>
      <w:r>
        <w:t xml:space="preserve"> </w:t>
      </w:r>
      <w:r>
        <w:t xml:space="preserve">(Talts et al. 2018)</w:t>
      </w:r>
      <w:r>
        <w:t xml:space="preserve">, and an independent rejection-sampling fit agrees (mean</w:t>
      </w:r>
      <w:r>
        <w:t xml:space="preserve"> </w:t>
      </w:r>
      <m:oMath>
        <m:r>
          <m:t>b</m:t>
        </m:r>
      </m:oMath>
      <w:r>
        <w:t xml:space="preserve"> </w:t>
      </w:r>
      <w:r>
        <w:t xml:space="preserve">= +0.019, 95 percent interval -0.062 to +0.054).</w:t>
      </w:r>
    </w:p>
    <w:p>
      <w:pPr>
        <w:pStyle w:val="BodyText"/>
      </w:pPr>
      <w:r>
        <w:t xml:space="preserve">Two caveats apply. The calibration battery also reports coverage of the nominal 95 percent interval at nine fixed values of</w:t>
      </w:r>
      <w:r>
        <w:t xml:space="preserve"> </w:t>
      </w:r>
      <m:oMath>
        <m:r>
          <m:t>b</m:t>
        </m:r>
      </m:oMath>
      <w:r>
        <w:t xml:space="preserve"> </w:t>
      </w:r>
      <w:r>
        <w:t xml:space="preserve">(Table S7), and coverage falls to 0.65 at</w:t>
      </w:r>
      <w:r>
        <w:t xml:space="preserve"> </w:t>
      </w:r>
      <m:oMath>
        <m:r>
          <m:t>b</m:t>
        </m:r>
        <m:r>
          <m:rPr>
            <m:sty m:val="p"/>
          </m:rPr>
          <m:t>=</m:t>
        </m:r>
        <m:r>
          <m:rPr>
            <m:sty m:val="p"/>
          </m:rPr>
          <m:t>+</m:t>
        </m:r>
        <m:r>
          <m:t>0.10</m:t>
        </m:r>
      </m:oMath>
      <w:r>
        <w:t xml:space="preserve"> </w:t>
      </w:r>
      <w:r>
        <w:t xml:space="preserve">and 0.75 at</w:t>
      </w:r>
      <w:r>
        <w:t xml:space="preserve"> </w:t>
      </w:r>
      <m:oMath>
        <m:r>
          <m:t>b</m:t>
        </m:r>
        <m:r>
          <m:rPr>
            <m:sty m:val="p"/>
          </m:rPr>
          <m:t>=</m:t>
        </m:r>
        <m:r>
          <m:rPr>
            <m:sty m:val="p"/>
          </m:rPr>
          <m:t>−</m:t>
        </m:r>
        <m:r>
          <m:t>0.20</m:t>
        </m:r>
      </m:oMath>
      <w:r>
        <w:t xml:space="preserve"> </w:t>
      </w:r>
      <w:r>
        <w:t xml:space="preserve">(</w:t>
      </w:r>
      <w:r>
        <w:rPr>
          <w:rStyle w:val="VerbatimChar"/>
        </w:rPr>
        <w:t xml:space="preserve">output/abc_smc_validation.md</w:t>
      </w:r>
      <w:r>
        <w:t xml:space="preserve">). The battery used 300 particles and five rounds rather than the empirical fit’s 800 and six, and its synthetic data come from the same pooled-population simulator that is fitted, whereas the real observations are spatially distributed assemblages pooled into six periods. The battery therefore checks the numerical inference under the assumed simulator, not whether that simulator describes how the record formed. We treat the interval as consistent with weak or absent basin-wide conformity, conditional on the pooled model, rather than as a demonstrated exclusion of strong conformity. Because the model pools the whole basin, it also says nothing about localized or group-specific conformity, which the spatial measures and the copying model address.</w:t>
      </w:r>
    </w:p>
    <w:p>
      <w:pPr>
        <w:pStyle w:val="BodyText"/>
      </w:pPr>
      <w:r>
        <w:rPr>
          <w:b/>
          <w:bCs/>
        </w:rPr>
        <w:t xml:space="preserve">Table S7.</w:t>
      </w:r>
      <w:r>
        <w:t xml:space="preserve"> </w:t>
      </w:r>
      <w:r>
        <w:t xml:space="preserve">Coverage of the nominal 95 percent posterior interval for the copying bias, from the simulation-based calibration battery (20 datasets per value; 300 particles, five rounds).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True</w:t>
            </w:r>
            <w:r>
              <w:t xml:space="preserve"> </w:t>
            </w:r>
            <m:oMath>
              <m:r>
                <m:t>b</m:t>
              </m:r>
            </m:oMath>
          </w:p>
        </w:tc>
        <w:tc>
          <w:tcPr/>
          <w:p>
            <w:pPr>
              <w:pStyle w:val="Compact"/>
              <w:jc w:val="right"/>
            </w:pPr>
            <w:r>
              <w:t xml:space="preserve">Coverage</w:t>
            </w:r>
          </w:p>
        </w:tc>
        <w:tc>
          <w:tcPr/>
          <w:p>
            <w:pPr>
              <w:pStyle w:val="Compact"/>
              <w:jc w:val="right"/>
            </w:pPr>
            <w:r>
              <w:t xml:space="preserve">Mean interval width</w:t>
            </w:r>
          </w:p>
        </w:tc>
      </w:tr>
      <w:tr>
        <w:tc>
          <w:tcPr/>
          <w:p>
            <w:pPr>
              <w:pStyle w:val="Compact"/>
              <w:jc w:val="right"/>
            </w:pPr>
            <w:r>
              <w:t xml:space="preserve">-0.40</w:t>
            </w:r>
          </w:p>
        </w:tc>
        <w:tc>
          <w:tcPr/>
          <w:p>
            <w:pPr>
              <w:pStyle w:val="Compact"/>
              <w:jc w:val="right"/>
            </w:pPr>
            <w:r>
              <w:t xml:space="preserve">0.95</w:t>
            </w:r>
          </w:p>
        </w:tc>
        <w:tc>
          <w:tcPr/>
          <w:p>
            <w:pPr>
              <w:pStyle w:val="Compact"/>
              <w:jc w:val="right"/>
            </w:pPr>
            <w:r>
              <w:t xml:space="preserve">0.26</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0.31</w:t>
            </w:r>
          </w:p>
        </w:tc>
      </w:tr>
      <w:tr>
        <w:tc>
          <w:tcPr/>
          <w:p>
            <w:pPr>
              <w:pStyle w:val="Compact"/>
              <w:jc w:val="right"/>
            </w:pPr>
            <w:r>
              <w:t xml:space="preserve">-0.20</w:t>
            </w:r>
          </w:p>
        </w:tc>
        <w:tc>
          <w:tcPr/>
          <w:p>
            <w:pPr>
              <w:pStyle w:val="Compact"/>
              <w:jc w:val="right"/>
            </w:pPr>
            <w:r>
              <w:t xml:space="preserve">0.75</w:t>
            </w:r>
          </w:p>
        </w:tc>
        <w:tc>
          <w:tcPr/>
          <w:p>
            <w:pPr>
              <w:pStyle w:val="Compact"/>
              <w:jc w:val="right"/>
            </w:pPr>
            <w:r>
              <w:t xml:space="preserve">0.33</w:t>
            </w:r>
          </w:p>
        </w:tc>
      </w:tr>
      <w:tr>
        <w:tc>
          <w:tcPr/>
          <w:p>
            <w:pPr>
              <w:pStyle w:val="Compact"/>
              <w:jc w:val="right"/>
            </w:pPr>
            <w:r>
              <w:t xml:space="preserve">-0.10</w:t>
            </w:r>
          </w:p>
        </w:tc>
        <w:tc>
          <w:tcPr/>
          <w:p>
            <w:pPr>
              <w:pStyle w:val="Compact"/>
              <w:jc w:val="right"/>
            </w:pPr>
            <w:r>
              <w:t xml:space="preserve">0.80</w:t>
            </w:r>
          </w:p>
        </w:tc>
        <w:tc>
          <w:tcPr/>
          <w:p>
            <w:pPr>
              <w:pStyle w:val="Compact"/>
              <w:jc w:val="right"/>
            </w:pPr>
            <w:r>
              <w:t xml:space="preserve">0.35</w:t>
            </w:r>
          </w:p>
        </w:tc>
      </w:tr>
      <w:tr>
        <w:tc>
          <w:tcPr/>
          <w:p>
            <w:pPr>
              <w:pStyle w:val="Compact"/>
              <w:jc w:val="right"/>
            </w:pPr>
            <w:r>
              <w:t xml:space="preserve">0.00</w:t>
            </w:r>
          </w:p>
        </w:tc>
        <w:tc>
          <w:tcPr/>
          <w:p>
            <w:pPr>
              <w:pStyle w:val="Compact"/>
              <w:jc w:val="right"/>
            </w:pPr>
            <w:r>
              <w:t xml:space="preserve">0.90</w:t>
            </w:r>
          </w:p>
        </w:tc>
        <w:tc>
          <w:tcPr/>
          <w:p>
            <w:pPr>
              <w:pStyle w:val="Compact"/>
              <w:jc w:val="right"/>
            </w:pPr>
            <w:r>
              <w:t xml:space="preserve">0.22</w:t>
            </w:r>
          </w:p>
        </w:tc>
      </w:tr>
      <w:tr>
        <w:tc>
          <w:tcPr/>
          <w:p>
            <w:pPr>
              <w:pStyle w:val="Compact"/>
              <w:jc w:val="right"/>
            </w:pPr>
            <w:r>
              <w:t xml:space="preserve">+0.10</w:t>
            </w:r>
          </w:p>
        </w:tc>
        <w:tc>
          <w:tcPr/>
          <w:p>
            <w:pPr>
              <w:pStyle w:val="Compact"/>
              <w:jc w:val="right"/>
            </w:pPr>
            <w:r>
              <w:t xml:space="preserve">0.65</w:t>
            </w:r>
          </w:p>
        </w:tc>
        <w:tc>
          <w:tcPr/>
          <w:p>
            <w:pPr>
              <w:pStyle w:val="Compact"/>
              <w:jc w:val="right"/>
            </w:pPr>
            <w:r>
              <w:t xml:space="preserve">0.25</w:t>
            </w:r>
          </w:p>
        </w:tc>
      </w:tr>
      <w:tr>
        <w:tc>
          <w:tcPr/>
          <w:p>
            <w:pPr>
              <w:pStyle w:val="Compact"/>
              <w:jc w:val="right"/>
            </w:pPr>
            <w:r>
              <w:t xml:space="preserve">+0.20</w:t>
            </w:r>
          </w:p>
        </w:tc>
        <w:tc>
          <w:tcPr/>
          <w:p>
            <w:pPr>
              <w:pStyle w:val="Compact"/>
              <w:jc w:val="right"/>
            </w:pPr>
            <w:r>
              <w:t xml:space="preserve">1.00</w:t>
            </w:r>
          </w:p>
        </w:tc>
        <w:tc>
          <w:tcPr/>
          <w:p>
            <w:pPr>
              <w:pStyle w:val="Compact"/>
              <w:jc w:val="right"/>
            </w:pPr>
            <w:r>
              <w:t xml:space="preserve">0.33</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0.35</w:t>
            </w:r>
          </w:p>
        </w:tc>
      </w:tr>
      <w:tr>
        <w:tc>
          <w:tcPr/>
          <w:p>
            <w:pPr>
              <w:pStyle w:val="Compact"/>
              <w:jc w:val="right"/>
            </w:pPr>
            <w:r>
              <w:t xml:space="preserve">+0.40</w:t>
            </w:r>
          </w:p>
        </w:tc>
        <w:tc>
          <w:tcPr/>
          <w:p>
            <w:pPr>
              <w:pStyle w:val="Compact"/>
              <w:jc w:val="right"/>
            </w:pPr>
            <w:r>
              <w:t xml:space="preserve">0.90</w:t>
            </w:r>
          </w:p>
        </w:tc>
        <w:tc>
          <w:tcPr/>
          <w:p>
            <w:pPr>
              <w:pStyle w:val="Compact"/>
              <w:jc w:val="right"/>
            </w:pPr>
            <w:r>
              <w:t xml:space="preserve">0.36</w:t>
            </w:r>
          </w:p>
        </w:tc>
      </w:tr>
    </w:tbl>
    <w:p>
      <w:pPr>
        <w:pStyle w:val="BodyText"/>
      </w:pPr>
      <w:r>
        <w:rPr>
          <w:b/>
          <w:bCs/>
        </w:rPr>
        <w:t xml:space="preserve">Tempo and mode.</w:t>
      </w:r>
      <w:r>
        <w:t xml:space="preserve"> </w:t>
      </w:r>
      <w:r>
        <w:t xml:space="preserve">The second test asks whether the assemblages’ diversity wanders without direction, heads steadily one way, or is pulled back toward a stable value, the distinctions among an unbiased random walk, a directional walk, stasis, and mean reversion</w:t>
      </w:r>
      <w:r>
        <w:t xml:space="preserve"> </w:t>
      </w:r>
      <w:r>
        <w:t xml:space="preserve">(Hunt 2006; Hunt et al. 2008)</w:t>
      </w:r>
      <w:r>
        <w:t xml:space="preserve">. Rather than choose among the four, we fit the model that contains them and report the two parameters that distinguish them, since unbiased motion, stasis, and mean reversion are regions of one parameter space. Along the seriation order as computed, decorated-class diversity runs from 0.666 at one end through 0.734 to 0.460 at the other, falling over the second half. Because the dates do not establish which end is later, the sign of any directional change is not established either. The mean-reversion rate has a posterior median of 0.77 (95 percent credible interval 0.05 to 10.7), spanning the unbiased and stasis limits and so unresolved. The directional drift along the order as computed leans negative but is not resolved (median -0.061, interval -0.154 to +0.035, P(drift &gt; 0) = 0.071). On an earlier version of the matrix, which counted one class twice, the drift was resolved and negative; on the corrected counts the interval reaches zero. A decline of this kind is in any case what drift in a finite population produces, as the predictive check below shows. With six points the reversion rate and the drift remain partly confounded, since relaxation toward a lower optimum can imitate directional loss, which is why we report both parameters rather than a winning model (Figure S8C). Diagnostics for the fit: R-hat 1.008, minimum effective sample size 980, 18 divergent transitions of 8,000 (0.23 percent), E-BFMI 0.61. The companion fit meant to show that the design recovers a directional series did not converge (R-hat 1.18, minimum effective sample size 16, 1,079 divergent transitions of 8,000), so the design’s ability to resolve directional change is not established, and we give the drift estimate no weight (</w:t>
      </w:r>
      <w:r>
        <w:rPr>
          <w:rStyle w:val="VerbatimChar"/>
        </w:rPr>
        <w:t xml:space="preserve">output/findings/tempo_mode_posterior.md</w:t>
      </w:r>
      <w:r>
        <w:t xml:space="preserve">).</w:t>
      </w:r>
    </w:p>
    <w:p>
      <w:pPr>
        <w:pStyle w:val="CaptionedFigure"/>
      </w:pPr>
      <w:r>
        <w:drawing>
          <wp:inline>
            <wp:extent cx="5334000" cy="2897627"/>
            <wp:effectExtent b="0" l="0" r="0" t="0"/>
            <wp:docPr descr="Figure S8. Tests in the time domain. (A) Posterior of the copying bias b from the time-averaging-aware inference (b = 0 neutral, b &gt; 0 conformist, b &lt; 0 anti-conformist). The whole-sequence posterior (filled) and the posteriors for the two halves of the order (outlines) are all concentrated near neutral and include zero (see Table S7 for calibration caveats). (B) Simulation-based calibration of that inference: over datasets drawn from the prior, the rank of the true bias within its posterior is uniform (dashed line), so the posterior is calibrated rather than merely narrow. (C) Tempo and mode as parameters, showing the posteriors of the mean-reversion rate (lower axis, log scale) and the directional drift per period (upper axis) for the diversity trajectory. The mean-reversion rate is unresolved (median 0.77, interval 0.05 to 10.7). The directional drift leans negative but its interval reaches zero (median -0.061, interval -0.154 to +0.035)." title="" id="146" name="Picture"/>
            <a:graphic>
              <a:graphicData uri="http://schemas.openxmlformats.org/drawingml/2006/picture">
                <pic:pic>
                  <pic:nvPicPr>
                    <pic:cNvPr descr="../../figures/figS5_dynamic.png" id="147" name="Picture"/>
                    <pic:cNvPicPr>
                      <a:picLocks noChangeArrowheads="1" noChangeAspect="1"/>
                    </pic:cNvPicPr>
                  </pic:nvPicPr>
                  <pic:blipFill>
                    <a:blip r:embed="rId145"/>
                    <a:stretch>
                      <a:fillRect/>
                    </a:stretch>
                  </pic:blipFill>
                  <pic:spPr bwMode="auto">
                    <a:xfrm>
                      <a:off x="0" y="0"/>
                      <a:ext cx="5334000" cy="2897627"/>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Tests in the time domain. (A) Posterior of the copying bias b from the time-averaging-aware inference (b = 0 neutral, b &gt; 0 conformist, b &lt; 0 anti-conformist). The whole-sequence posterior (filled) and the posteriors for the two halves of the order (outlines) are all concentrated near neutral and include zero (see Table S7 for calibration caveats). (B) Simulation-based calibration of that inference: over datasets drawn from the prior, the rank of the true bias within its posterior is uniform (dashed line), so the posterior is calibrated rather than merely narrow. (C) Tempo and mode as parameters, showing the posteriors of the mean-reversion rate (lower axis, log scale) and the directional drift per period (upper axis) for the diversity trajectory. The mean-reversion rate is unresolved (median 0.77, interval 0.05 to 10.7). The directional drift leans negative but its interval reaches zero (median -0.061, interval -0.154 to +0.035).</w:t>
      </w:r>
    </w:p>
    <w:p>
      <w:pPr>
        <w:pStyle w:val="BodyText"/>
      </w:pPr>
      <w:r>
        <w:t xml:space="preserve">A third test, for the early-warning signs of a critical transition, cannot be resolved at this ordinal resolution. The rolling variance along the sequence shows no clear trend (Kendall tau = +0.09) and the lag-1 autocorrelation falls rather than rises (tau = -0.75), so neither behaves as a critical transition would (</w:t>
      </w:r>
      <w:r>
        <w:rPr>
          <w:rStyle w:val="VerbatimChar"/>
        </w:rPr>
        <w:t xml:space="preserve">output/tempo_mode_ews.md</w:t>
      </w:r>
      <w:r>
        <w:t xml:space="preserve">). Because the ordering places similar assemblages next to one another, we report this in the code but do not rely on it</w:t>
      </w:r>
      <w:r>
        <w:t xml:space="preserve"> </w:t>
      </w:r>
      <w:r>
        <w:t xml:space="preserve">(Dakos et al. 2012; Scheffer et al. 2009)</w:t>
      </w:r>
      <w:r>
        <w:t xml:space="preserve">.</w:t>
      </w:r>
    </w:p>
    <w:bookmarkStart w:id="148" w:name="X5f389b4d915450e415e755c07901f919528e258"/>
    <w:p>
      <w:pPr>
        <w:pStyle w:val="Heading3"/>
      </w:pPr>
      <w:r>
        <w:t xml:space="preserve">Three further checks of neutrality along the sequence</w:t>
      </w:r>
    </w:p>
    <w:p>
      <w:pPr>
        <w:pStyle w:val="FirstParagraph"/>
      </w:pPr>
      <w:r>
        <w:t xml:space="preserve">The first follows each decorated class as it rises and falls through the sequence and asks whether those changes look like the undirected fluctuation of unbiased copying or like the directed change a marker would show. We fit the rescaled frequency increments of all ten classes in one hierarchical model with partial pooling, following the frequency increment construction</w:t>
      </w:r>
      <w:r>
        <w:t xml:space="preserve"> </w:t>
      </w:r>
      <w:r>
        <w:t xml:space="preserve">(Feder et al. 2014)</w:t>
      </w:r>
      <w:r>
        <w:t xml:space="preserve">. The population-level departure from unbiased copying has a posterior median of +0.008 with a 95 percent credible interval of -0.040 to +0.081, where unbiased copying implies zero, and P(departure &gt; 0) = 0.64. Individual classes are not resolved: a class simulated with a substantial true departure is recovered at about a fifth of its size with an interval spanning zero, so the increments support the aggregate statement but not a per-class one.</w:t>
      </w:r>
    </w:p>
    <w:p>
      <w:pPr>
        <w:pStyle w:val="BodyText"/>
      </w:pPr>
      <w:r>
        <w:t xml:space="preserve">The second asks whether a neutral model reproduces the observed diversity trajectory</w:t>
      </w:r>
      <w:r>
        <w:t xml:space="preserve"> </w:t>
      </w:r>
      <w:r>
        <w:t xml:space="preserve">(Kandler and Shennan 2013)</w:t>
      </w:r>
      <w:r>
        <w:t xml:space="preserve">. We draw population size and innovation rate from the posterior of the copying-bias inference and compare the observed trajectory with the resulting predictive distribution. The observed diversity falls inside the 95 percent predictive interval in all six periods, under the pooled posterior and under each of the five sampler seeds taken separately. The pooled Bayesian predictive p is 0.885, and it ranges from 0.634 to 0.915 across seeds. A neutral model is adequate for this trajectory, which is concordance rather than proof that copying was neutral; the predictive interval is wide because population size is itself uncertain.</w:t>
      </w:r>
    </w:p>
    <w:p>
      <w:pPr>
        <w:pStyle w:val="BodyText"/>
      </w:pPr>
      <w:r>
        <w:t xml:space="preserve">The third asks whether the assemblages grow more different from one another toward contact, as fragmenting groups would. Neiman’s distance between assemblages shows no resolved trend along the sequence: the posterior median rank correlation between mean within-period distance and position is +0.09, with a 95 percent credible interval of -0.53 to +0.63 over six periods. Distances between the two spatial clusters are only modestly larger than distances within them, a ratio of 1.28, and within-assemblage diversity is weakly and negatively related to an assemblage’s mean distance from the others (posterior median -0.14, 95 percent credible interval -0.44 to +0.20), the direction a single shared community produces (Figure S4)</w:t>
      </w:r>
      <w:r>
        <w:t xml:space="preserve"> </w:t>
      </w:r>
      <w:r>
        <w:t xml:space="preserve">(Neiman 1995)</w:t>
      </w:r>
      <w:r>
        <w:t xml:space="preserve">.</w:t>
      </w:r>
    </w:p>
    <w:bookmarkEnd w:id="148"/>
    <w:bookmarkEnd w:id="149"/>
    <w:bookmarkStart w:id="150" w:name="X769f390eb50a36706af606caba03c609118fe3e"/>
    <w:p>
      <w:pPr>
        <w:pStyle w:val="Heading2"/>
      </w:pPr>
      <w:r>
        <w:t xml:space="preserve">What recovers the phases, and the problem of zeros</w:t>
      </w:r>
    </w:p>
    <w:p>
      <w:pPr>
        <w:pStyle w:val="FirstParagraph"/>
      </w:pPr>
      <w:r>
        <w:t xml:space="preserve">Assemblages are clustered in a combined space: site coordinates in kilometers, centered and scaled so that the mean squared pairwise distance is one, joined to decorated-class composition scaled the same way and multiplied by the square root of a weight</w:t>
      </w:r>
      <w:r>
        <w:t xml:space="preserve"> </w:t>
      </w:r>
      <m:oMath>
        <m:r>
          <m:t>w</m:t>
        </m:r>
      </m:oMath>
      <w:r>
        <w:t xml:space="preserve">. At</w:t>
      </w:r>
      <w:r>
        <w:t xml:space="preserve"> </w:t>
      </w:r>
      <m:oMath>
        <m:r>
          <m:t>w</m:t>
        </m:r>
        <m:r>
          <m:rPr>
            <m:sty m:val="p"/>
          </m:rPr>
          <m:t>=</m:t>
        </m:r>
        <m:r>
          <m:t>0</m:t>
        </m:r>
      </m:oMath>
      <w:r>
        <w:t xml:space="preserve"> </w:t>
      </w:r>
      <w:r>
        <w:t xml:space="preserve">the representation is the site map alone; as</w:t>
      </w:r>
      <w:r>
        <w:t xml:space="preserve"> </w:t>
      </w:r>
      <m:oMath>
        <m:r>
          <m:t>w</m:t>
        </m:r>
      </m:oMath>
      <w:r>
        <w:t xml:space="preserve"> </w:t>
      </w:r>
      <w:r>
        <w:t xml:space="preserve">grows it becomes the pottery alone. Each clustering is compared with Mainfort’s published assignments by the adjusted Rand index. We ran three composition transforms, three clustering methods (</w:t>
      </w:r>
      <m:oMath>
        <m:r>
          <m:t>k</m:t>
        </m:r>
      </m:oMath>
      <w:r>
        <w:t xml:space="preserve">-means over 40 starting configurations, Ward linkage, and average linkage), and nine weights; the full grid is in</w:t>
      </w:r>
      <w:r>
        <w:t xml:space="preserve"> </w:t>
      </w:r>
      <w:r>
        <w:rPr>
          <w:rStyle w:val="VerbatimChar"/>
        </w:rPr>
        <w:t xml:space="preserve">output/findings/phase_recovery.csv</w:t>
      </w:r>
      <w:r>
        <w:t xml:space="preserve">. Three of the 28 assemblages carry a phase this study assigned by territory, a geographic rule, so every value quoted in the main text is computed on the 25 assemblages Mainfort assigned.</w:t>
      </w:r>
    </w:p>
    <w:p>
      <w:pPr>
        <w:pStyle w:val="BodyText"/>
      </w:pPr>
      <w:r>
        <w:t xml:space="preserve">Class proportions are compositional data, and the centered log-ratio transform is the usual choice for them. It cannot be applied here without a decision that carries the result. Of the 280 cells in the basin matrix, 105 are zero, and the log of zero is undefined. Replacing zeros with a fraction of the smallest positive proportion lets that fraction set how strongly absence counts, and agreement with the phases follows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zero convention</w:t>
            </w:r>
          </w:p>
        </w:tc>
        <w:tc>
          <w:tcPr/>
          <w:p>
            <w:pPr>
              <w:pStyle w:val="Compact"/>
            </w:pPr>
            <w:r>
              <w:t xml:space="preserve">adjusted Rand index</w:t>
            </w:r>
          </w:p>
        </w:tc>
      </w:tr>
      <w:tr>
        <w:tc>
          <w:tcPr/>
          <w:p>
            <w:pPr>
              <w:pStyle w:val="Compact"/>
            </w:pPr>
            <w:r>
              <w:t xml:space="preserve">pseudocount of 0.5 added to counts</w:t>
            </w:r>
          </w:p>
        </w:tc>
        <w:tc>
          <w:tcPr/>
          <w:p>
            <w:pPr>
              <w:pStyle w:val="Compact"/>
            </w:pPr>
            <w:r>
              <w:t xml:space="preserve">0.533</w:t>
            </w:r>
          </w:p>
        </w:tc>
      </w:tr>
      <w:tr>
        <w:tc>
          <w:tcPr/>
          <w:p>
            <w:pPr>
              <w:pStyle w:val="Compact"/>
            </w:pPr>
            <w:r>
              <w:t xml:space="preserve">floor at 2.0 times the smallest positive proportion</w:t>
            </w:r>
          </w:p>
        </w:tc>
        <w:tc>
          <w:tcPr/>
          <w:p>
            <w:pPr>
              <w:pStyle w:val="Compact"/>
            </w:pPr>
            <w:r>
              <w:t xml:space="preserve">0.607</w:t>
            </w:r>
          </w:p>
        </w:tc>
      </w:tr>
      <w:tr>
        <w:tc>
          <w:tcPr/>
          <w:p>
            <w:pPr>
              <w:pStyle w:val="Compact"/>
            </w:pPr>
            <w:r>
              <w:t xml:space="preserve">floor at 0.5 times the smallest positive proportion</w:t>
            </w:r>
          </w:p>
        </w:tc>
        <w:tc>
          <w:tcPr/>
          <w:p>
            <w:pPr>
              <w:pStyle w:val="Compact"/>
            </w:pPr>
            <w:r>
              <w:t xml:space="preserve">0.607</w:t>
            </w:r>
          </w:p>
        </w:tc>
      </w:tr>
      <w:tr>
        <w:tc>
          <w:tcPr/>
          <w:p>
            <w:pPr>
              <w:pStyle w:val="Compact"/>
            </w:pPr>
            <w:r>
              <w:t xml:space="preserve">floor at 0.1 times the smallest positive proportion</w:t>
            </w:r>
          </w:p>
        </w:tc>
        <w:tc>
          <w:tcPr/>
          <w:p>
            <w:pPr>
              <w:pStyle w:val="Compact"/>
            </w:pPr>
            <w:r>
              <w:t xml:space="preserve">0.766</w:t>
            </w:r>
          </w:p>
        </w:tc>
      </w:tr>
    </w:tbl>
    <w:p>
      <w:pPr>
        <w:pStyle w:val="BodyText"/>
      </w:pPr>
      <w:r>
        <w:t xml:space="preserve">All four use the same data, geography, and weight (</w:t>
      </w:r>
      <m:oMath>
        <m:r>
          <m:t>w</m:t>
        </m:r>
        <m:r>
          <m:rPr>
            <m:sty m:val="p"/>
          </m:rPr>
          <m:t>=</m:t>
        </m:r>
        <m:r>
          <m:t>0.5</m:t>
        </m:r>
      </m:oMath>
      <w:r>
        <w:t xml:space="preserve">); only the zero convention differs, and it moves the answer by a quarter of the index’s range. We report the chi-square transform in the main text because it needs no such choice, and we use a pseudocount wherever the log-ratio transform appears. The result is also a caution about the phases themselves: a classification sensitive to which types are absent, applied to assemblages whose sherd counts differ more than twentyfold, will read sampling failure as cultural difference.</w:t>
      </w:r>
    </w:p>
    <w:bookmarkEnd w:id="150"/>
    <w:bookmarkStart w:id="151" w:name="the-tests-on-mainforts-2003-table"/>
    <w:p>
      <w:pPr>
        <w:pStyle w:val="Heading2"/>
      </w:pPr>
      <w:r>
        <w:t xml:space="preserve">The tests on Mainfort’s (2003) table</w:t>
      </w:r>
    </w:p>
    <w:p>
      <w:pPr>
        <w:pStyle w:val="FirstParagraph"/>
      </w:pPr>
      <w:r>
        <w:t xml:space="preserve">Mainfort’s Table 1 gives counts of ten decorated types for 39 sites with 800 or more sherds in all. His types map onto our classes as follows: Barton Incised and Kent Incised join the class that also holds Mound Place Incised, and Old Town Red and Nodena Red and White join the painted class; he does not tally Wallace Incised or Hull Engraved, which are carried as zeros so the class list matches the main analysis. Coordinates come from his own site list where it has them (30 sites), from this project’s assemblage file for eight (four of them with a project correction), and from the settlement compilation for Sweat, and each row of</w:t>
      </w:r>
      <w:r>
        <w:t xml:space="preserve"> </w:t>
      </w:r>
      <w:r>
        <w:rPr>
          <w:rStyle w:val="VerbatimChar"/>
        </w:rPr>
        <w:t xml:space="preserve">data/processed/mainfort2003_sites.csv</w:t>
      </w:r>
      <w:r>
        <w:t xml:space="preserve"> </w:t>
      </w:r>
      <w:r>
        <w:t xml:space="preserve">names its source; the file is written by</w:t>
      </w:r>
      <w:r>
        <w:t xml:space="preserve"> </w:t>
      </w:r>
      <w:r>
        <w:rPr>
          <w:rStyle w:val="VerbatimChar"/>
        </w:rPr>
        <w:t xml:space="preserve">scripts/build_mainfort2003_sites.py</w:t>
      </w:r>
      <w:r>
        <w:t xml:space="preserve">. The analysis uses decorated types only and sites with at least 100 decorated sherds, stricter than the main analysis’s 75 because a replication should not be the looser test. Nine of his 39 sites fall below that, and Tipton’s one remaining site, Graves Lake, is not carried as a phase of one. The tests are those of</w:t>
      </w:r>
      <w:r>
        <w:t xml:space="preserve"> </w:t>
      </w:r>
      <w:r>
        <w:rPr>
          <w:rStyle w:val="VerbatimChar"/>
        </w:rPr>
        <w:t xml:space="preserve">analyses/74_phase_partition_test.py</w:t>
      </w:r>
      <w:r>
        <w:t xml:space="preserve"> </w:t>
      </w:r>
      <w:r>
        <w:t xml:space="preserve">and</w:t>
      </w:r>
      <w:r>
        <w:t xml:space="preserve"> </w:t>
      </w:r>
      <w:r>
        <w:rPr>
          <w:rStyle w:val="VerbatimChar"/>
        </w:rPr>
        <w:t xml:space="preserve">analyses/76_phase_recovery.py</w:t>
      </w:r>
      <w:r>
        <w:t xml:space="preserve">, run by</w:t>
      </w:r>
      <w:r>
        <w:t xml:space="preserve"> </w:t>
      </w:r>
      <w:r>
        <w:rPr>
          <w:rStyle w:val="VerbatimChar"/>
        </w:rPr>
        <w:t xml:space="preserve">analyses/83_mainfort_replication.py</w:t>
      </w:r>
      <w:r>
        <w:t xml:space="preserve"> </w:t>
      </w:r>
      <w:r>
        <w:t xml:space="preserve">under his labels. A second reader checked the transcription of his table against the published page; the one row whose cells do not sum to its printed total, Hatchie (818 against 814), is correct as transcribed, and no analysis uses the printed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weight on composition</w:t>
            </w:r>
          </w:p>
        </w:tc>
        <w:tc>
          <w:tcPr/>
          <w:p>
            <w:pPr>
              <w:pStyle w:val="Compact"/>
            </w:pPr>
            <w:r>
              <w:t xml:space="preserve">agreement with his phases (adjusted Rand index, median over 40 starts)</w:t>
            </w:r>
          </w:p>
        </w:tc>
      </w:tr>
      <w:tr>
        <w:tc>
          <w:tcPr/>
          <w:p>
            <w:pPr>
              <w:pStyle w:val="Compact"/>
            </w:pPr>
            <w:r>
              <w:t xml:space="preserve">map alone</w:t>
            </w:r>
          </w:p>
        </w:tc>
        <w:tc>
          <w:tcPr/>
          <w:p>
            <w:pPr>
              <w:pStyle w:val="Compact"/>
            </w:pPr>
            <w:r>
              <w:t xml:space="preserve">0.536</w:t>
            </w:r>
          </w:p>
        </w:tc>
      </w:tr>
      <w:tr>
        <w:tc>
          <w:tcPr/>
          <w:p>
            <w:pPr>
              <w:pStyle w:val="Compact"/>
            </w:pPr>
            <w:r>
              <w:t xml:space="preserve">0.1</w:t>
            </w:r>
          </w:p>
        </w:tc>
        <w:tc>
          <w:tcPr/>
          <w:p>
            <w:pPr>
              <w:pStyle w:val="Compact"/>
            </w:pPr>
            <w:r>
              <w:t xml:space="preserve">0.536</w:t>
            </w:r>
          </w:p>
        </w:tc>
      </w:tr>
      <w:tr>
        <w:tc>
          <w:tcPr/>
          <w:p>
            <w:pPr>
              <w:pStyle w:val="Compact"/>
            </w:pPr>
            <w:r>
              <w:t xml:space="preserve">0.25</w:t>
            </w:r>
          </w:p>
        </w:tc>
        <w:tc>
          <w:tcPr/>
          <w:p>
            <w:pPr>
              <w:pStyle w:val="Compact"/>
            </w:pPr>
            <w:r>
              <w:t xml:space="preserve">0.509</w:t>
            </w:r>
          </w:p>
        </w:tc>
      </w:tr>
      <w:tr>
        <w:tc>
          <w:tcPr/>
          <w:p>
            <w:pPr>
              <w:pStyle w:val="Compact"/>
            </w:pPr>
            <w:r>
              <w:t xml:space="preserve">0.5</w:t>
            </w:r>
          </w:p>
        </w:tc>
        <w:tc>
          <w:tcPr/>
          <w:p>
            <w:pPr>
              <w:pStyle w:val="Compact"/>
            </w:pPr>
            <w:r>
              <w:t xml:space="preserve">0.664</w:t>
            </w:r>
          </w:p>
        </w:tc>
      </w:tr>
      <w:tr>
        <w:tc>
          <w:tcPr/>
          <w:p>
            <w:pPr>
              <w:pStyle w:val="Compact"/>
            </w:pPr>
            <w:r>
              <w:t xml:space="preserve">1</w:t>
            </w:r>
          </w:p>
        </w:tc>
        <w:tc>
          <w:tcPr/>
          <w:p>
            <w:pPr>
              <w:pStyle w:val="Compact"/>
            </w:pPr>
            <w:r>
              <w:t xml:space="preserve">0.483</w:t>
            </w:r>
          </w:p>
        </w:tc>
      </w:tr>
      <w:tr>
        <w:tc>
          <w:tcPr/>
          <w:p>
            <w:pPr>
              <w:pStyle w:val="Compact"/>
            </w:pPr>
            <w:r>
              <w:t xml:space="preserve">2</w:t>
            </w:r>
          </w:p>
        </w:tc>
        <w:tc>
          <w:tcPr/>
          <w:p>
            <w:pPr>
              <w:pStyle w:val="Compact"/>
            </w:pPr>
            <w:r>
              <w:t xml:space="preserve">0.483</w:t>
            </w:r>
          </w:p>
        </w:tc>
      </w:tr>
      <w:tr>
        <w:tc>
          <w:tcPr/>
          <w:p>
            <w:pPr>
              <w:pStyle w:val="Compact"/>
            </w:pPr>
            <w:r>
              <w:t xml:space="preserve">pottery alone</w:t>
            </w:r>
          </w:p>
        </w:tc>
        <w:tc>
          <w:tcPr/>
          <w:p>
            <w:pPr>
              <w:pStyle w:val="Compact"/>
            </w:pPr>
            <w:r>
              <w:t xml:space="preserve">0.248</w:t>
            </w:r>
          </w:p>
        </w:tc>
      </w:tr>
      <w:tr>
        <w:tc>
          <w:tcPr/>
          <w:p>
            <w:pPr>
              <w:pStyle w:val="Compact"/>
            </w:pPr>
            <w:r>
              <w:t xml:space="preserve">same sizes, boundaries at random (400 draws)</w:t>
            </w:r>
          </w:p>
        </w:tc>
        <w:tc>
          <w:tcPr/>
          <w:p>
            <w:pPr>
              <w:pStyle w:val="Compact"/>
            </w:pPr>
            <w:r>
              <w:t xml:space="preserve">0.306</w:t>
            </w:r>
          </w:p>
        </w:tc>
      </w:tr>
    </w:tbl>
    <w:p>
      <w:pPr>
        <w:pStyle w:val="BodyText"/>
      </w:pPr>
      <w:r>
        <w:t xml:space="preserve">All 40 starting configurations return the same value at every weight.</w:t>
      </w:r>
    </w:p>
    <w:p>
      <w:pPr>
        <w:pStyle w:val="BodyText"/>
      </w:pPr>
      <w:r>
        <w:t xml:space="preserve">Under his phases the cultural</w:t>
      </w:r>
      <w:r>
        <w:t xml:space="preserve"> </w:t>
      </w:r>
      <m:oMath>
        <m:sSub>
          <m:e>
            <m:r>
              <m:t>F</m:t>
            </m:r>
          </m:e>
          <m:sub>
            <m:r>
              <m:t>S</m:t>
            </m:r>
            <m:r>
              <m:t>T</m:t>
            </m:r>
          </m:sub>
        </m:sSub>
      </m:oMath>
      <w:r>
        <w:t xml:space="preserve"> </w:t>
      </w:r>
      <w:r>
        <w:t xml:space="preserve">is 0.0470 (plug-in), with a posterior median of 0.0459 (95 percent credible interval 0.0413 to 0.0505) when each site’s class proportions are drawn from Dirichlet(counts + 1/2). Same-size divisions around random centers give a posterior median of 0.0297 and compact divisions 0.0315, and the posterior probability that his lines separate the pottery better is 0.96 and 0.94 (</w:t>
      </w:r>
      <w:r>
        <w:rPr>
          <w:rStyle w:val="VerbatimChar"/>
        </w:rPr>
        <w:t xml:space="preserve">analyses/86_partition_posterior.py</w:t>
      </w:r>
      <w:r>
        <w:t xml:space="preserve">). The compactness search returned his division in none of 1,000 starts.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Mainfort 2003</w:t>
            </w:r>
          </w:p>
        </w:tc>
        <w:tc>
          <w:tcPr/>
          <w:p>
            <w:pPr>
              <w:pStyle w:val="Compact"/>
            </w:pPr>
            <w:r>
              <w:t xml:space="preserve">Figure 1</w:t>
            </w:r>
          </w:p>
        </w:tc>
        <w:tc>
          <w:tcPr/>
          <w:p>
            <w:pPr>
              <w:pStyle w:val="Compact"/>
            </w:pPr>
            <w:r>
              <w:t xml:space="preserve">ceramic distance to his phase</w:t>
            </w:r>
          </w:p>
        </w:tc>
        <w:tc>
          <w:tcPr/>
          <w:p>
            <w:pPr>
              <w:pStyle w:val="Compact"/>
            </w:pPr>
            <w:r>
              <w:t xml:space="preserve">km</w:t>
            </w:r>
          </w:p>
        </w:tc>
        <w:tc>
          <w:tcPr/>
          <w:p>
            <w:pPr>
              <w:pStyle w:val="Compact"/>
            </w:pPr>
            <w:r>
              <w:t xml:space="preserve">ceramic distance to the Figure 1 phase</w:t>
            </w:r>
          </w:p>
        </w:tc>
        <w:tc>
          <w:tcPr/>
          <w:p>
            <w:pPr>
              <w:pStyle w:val="Compact"/>
            </w:pPr>
            <w:r>
              <w:t xml:space="preserve">km</w:t>
            </w:r>
          </w:p>
        </w:tc>
      </w:tr>
      <w:tr>
        <w:tc>
          <w:tcPr/>
          <w:p>
            <w:pPr>
              <w:pStyle w:val="Compact"/>
            </w:pPr>
            <w:r>
              <w:t xml:space="preserve">Beck</w:t>
            </w:r>
          </w:p>
        </w:tc>
        <w:tc>
          <w:tcPr/>
          <w:p>
            <w:pPr>
              <w:pStyle w:val="Compact"/>
            </w:pPr>
            <w:r>
              <w:t xml:space="preserve">Horseshoe Lake</w:t>
            </w:r>
          </w:p>
        </w:tc>
        <w:tc>
          <w:tcPr/>
          <w:p>
            <w:pPr>
              <w:pStyle w:val="Compact"/>
            </w:pPr>
            <w:r>
              <w:t xml:space="preserve">Walls</w:t>
            </w:r>
          </w:p>
        </w:tc>
        <w:tc>
          <w:tcPr/>
          <w:p>
            <w:pPr>
              <w:pStyle w:val="Compact"/>
            </w:pPr>
            <w:r>
              <w:t xml:space="preserve">0.333</w:t>
            </w:r>
          </w:p>
        </w:tc>
        <w:tc>
          <w:tcPr/>
          <w:p>
            <w:pPr>
              <w:pStyle w:val="Compact"/>
            </w:pPr>
            <w:r>
              <w:t xml:space="preserve">15</w:t>
            </w:r>
          </w:p>
        </w:tc>
        <w:tc>
          <w:tcPr/>
          <w:p>
            <w:pPr>
              <w:pStyle w:val="Compact"/>
            </w:pPr>
            <w:r>
              <w:t xml:space="preserve">0.713</w:t>
            </w:r>
          </w:p>
        </w:tc>
        <w:tc>
          <w:tcPr/>
          <w:p>
            <w:pPr>
              <w:pStyle w:val="Compact"/>
            </w:pPr>
            <w:r>
              <w:t xml:space="preserve">28</w:t>
            </w:r>
          </w:p>
        </w:tc>
      </w:tr>
      <w:tr>
        <w:tc>
          <w:tcPr/>
          <w:p>
            <w:pPr>
              <w:pStyle w:val="Compact"/>
            </w:pPr>
            <w:r>
              <w:t xml:space="preserve">Belle Meade</w:t>
            </w:r>
          </w:p>
        </w:tc>
        <w:tc>
          <w:tcPr/>
          <w:p>
            <w:pPr>
              <w:pStyle w:val="Compact"/>
            </w:pPr>
            <w:r>
              <w:t xml:space="preserve">Horseshoe Lake</w:t>
            </w:r>
          </w:p>
        </w:tc>
        <w:tc>
          <w:tcPr/>
          <w:p>
            <w:pPr>
              <w:pStyle w:val="Compact"/>
            </w:pPr>
            <w:r>
              <w:t xml:space="preserve">Walls</w:t>
            </w:r>
          </w:p>
        </w:tc>
        <w:tc>
          <w:tcPr/>
          <w:p>
            <w:pPr>
              <w:pStyle w:val="Compact"/>
            </w:pPr>
            <w:r>
              <w:t xml:space="preserve">0.256</w:t>
            </w:r>
          </w:p>
        </w:tc>
        <w:tc>
          <w:tcPr/>
          <w:p>
            <w:pPr>
              <w:pStyle w:val="Compact"/>
            </w:pPr>
            <w:r>
              <w:t xml:space="preserve">13</w:t>
            </w:r>
          </w:p>
        </w:tc>
        <w:tc>
          <w:tcPr/>
          <w:p>
            <w:pPr>
              <w:pStyle w:val="Compact"/>
            </w:pPr>
            <w:r>
              <w:t xml:space="preserve">0.677</w:t>
            </w:r>
          </w:p>
        </w:tc>
        <w:tc>
          <w:tcPr/>
          <w:p>
            <w:pPr>
              <w:pStyle w:val="Compact"/>
            </w:pPr>
            <w:r>
              <w:t xml:space="preserve">27</w:t>
            </w:r>
          </w:p>
        </w:tc>
      </w:tr>
      <w:tr>
        <w:tc>
          <w:tcPr/>
          <w:p>
            <w:pPr>
              <w:pStyle w:val="Compact"/>
            </w:pPr>
            <w:r>
              <w:t xml:space="preserve">Mound Place</w:t>
            </w:r>
          </w:p>
        </w:tc>
        <w:tc>
          <w:tcPr/>
          <w:p>
            <w:pPr>
              <w:pStyle w:val="Compact"/>
            </w:pPr>
            <w:r>
              <w:t xml:space="preserve">Horseshoe Lake</w:t>
            </w:r>
          </w:p>
        </w:tc>
        <w:tc>
          <w:tcPr/>
          <w:p>
            <w:pPr>
              <w:pStyle w:val="Compact"/>
            </w:pPr>
            <w:r>
              <w:t xml:space="preserve">Walls</w:t>
            </w:r>
          </w:p>
        </w:tc>
        <w:tc>
          <w:tcPr/>
          <w:p>
            <w:pPr>
              <w:pStyle w:val="Compact"/>
            </w:pPr>
            <w:r>
              <w:t xml:space="preserve">0.651</w:t>
            </w:r>
          </w:p>
        </w:tc>
        <w:tc>
          <w:tcPr/>
          <w:p>
            <w:pPr>
              <w:pStyle w:val="Compact"/>
            </w:pPr>
            <w:r>
              <w:t xml:space="preserve">17</w:t>
            </w:r>
          </w:p>
        </w:tc>
        <w:tc>
          <w:tcPr/>
          <w:p>
            <w:pPr>
              <w:pStyle w:val="Compact"/>
            </w:pPr>
            <w:r>
              <w:t xml:space="preserve">0.778</w:t>
            </w:r>
          </w:p>
        </w:tc>
        <w:tc>
          <w:tcPr/>
          <w:p>
            <w:pPr>
              <w:pStyle w:val="Compact"/>
            </w:pPr>
            <w:r>
              <w:t xml:space="preserve">7</w:t>
            </w:r>
          </w:p>
        </w:tc>
      </w:tr>
      <w:tr>
        <w:tc>
          <w:tcPr/>
          <w:p>
            <w:pPr>
              <w:pStyle w:val="Compact"/>
            </w:pPr>
            <w:r>
              <w:t xml:space="preserve">Young</w:t>
            </w:r>
          </w:p>
        </w:tc>
        <w:tc>
          <w:tcPr/>
          <w:p>
            <w:pPr>
              <w:pStyle w:val="Compact"/>
            </w:pPr>
            <w:r>
              <w:t xml:space="preserve">Horseshoe Lake</w:t>
            </w:r>
          </w:p>
        </w:tc>
        <w:tc>
          <w:tcPr/>
          <w:p>
            <w:pPr>
              <w:pStyle w:val="Compact"/>
            </w:pPr>
            <w:r>
              <w:t xml:space="preserve">Walls</w:t>
            </w:r>
          </w:p>
        </w:tc>
        <w:tc>
          <w:tcPr/>
          <w:p>
            <w:pPr>
              <w:pStyle w:val="Compact"/>
            </w:pPr>
            <w:r>
              <w:t xml:space="preserve">0.467</w:t>
            </w:r>
          </w:p>
        </w:tc>
        <w:tc>
          <w:tcPr/>
          <w:p>
            <w:pPr>
              <w:pStyle w:val="Compact"/>
            </w:pPr>
            <w:r>
              <w:t xml:space="preserve">13</w:t>
            </w:r>
          </w:p>
        </w:tc>
        <w:tc>
          <w:tcPr/>
          <w:p>
            <w:pPr>
              <w:pStyle w:val="Compact"/>
            </w:pPr>
            <w:r>
              <w:t xml:space="preserve">0.443</w:t>
            </w:r>
          </w:p>
        </w:tc>
        <w:tc>
          <w:tcPr/>
          <w:p>
            <w:pPr>
              <w:pStyle w:val="Compact"/>
            </w:pPr>
            <w:r>
              <w:t xml:space="preserve">15</w:t>
            </w:r>
          </w:p>
        </w:tc>
      </w:tr>
      <w:tr>
        <w:tc>
          <w:tcPr/>
          <w:p>
            <w:pPr>
              <w:pStyle w:val="Compact"/>
            </w:pPr>
            <w:r>
              <w:t xml:space="preserve">Hollywood</w:t>
            </w:r>
          </w:p>
        </w:tc>
        <w:tc>
          <w:tcPr/>
          <w:p>
            <w:pPr>
              <w:pStyle w:val="Compact"/>
            </w:pPr>
            <w:r>
              <w:t xml:space="preserve">Kent</w:t>
            </w:r>
          </w:p>
        </w:tc>
        <w:tc>
          <w:tcPr/>
          <w:p>
            <w:pPr>
              <w:pStyle w:val="Compact"/>
            </w:pPr>
            <w:r>
              <w:t xml:space="preserve">Walls</w:t>
            </w:r>
          </w:p>
        </w:tc>
        <w:tc>
          <w:tcPr/>
          <w:p>
            <w:pPr>
              <w:pStyle w:val="Compact"/>
            </w:pPr>
            <w:r>
              <w:t xml:space="preserve">0.328</w:t>
            </w:r>
          </w:p>
        </w:tc>
        <w:tc>
          <w:tcPr/>
          <w:p>
            <w:pPr>
              <w:pStyle w:val="Compact"/>
            </w:pPr>
            <w:r>
              <w:t xml:space="preserve">20</w:t>
            </w:r>
          </w:p>
        </w:tc>
        <w:tc>
          <w:tcPr/>
          <w:p>
            <w:pPr>
              <w:pStyle w:val="Compact"/>
            </w:pPr>
            <w:r>
              <w:t xml:space="preserve">0.913</w:t>
            </w:r>
          </w:p>
        </w:tc>
        <w:tc>
          <w:tcPr/>
          <w:p>
            <w:pPr>
              <w:pStyle w:val="Compact"/>
            </w:pPr>
            <w:r>
              <w:t xml:space="preserve">38</w:t>
            </w:r>
          </w:p>
        </w:tc>
      </w:tr>
      <w:tr>
        <w:tc>
          <w:tcPr/>
          <w:p>
            <w:pPr>
              <w:pStyle w:val="Compact"/>
            </w:pPr>
            <w:r>
              <w:t xml:space="preserve">Commerce</w:t>
            </w:r>
          </w:p>
        </w:tc>
        <w:tc>
          <w:tcPr/>
          <w:p>
            <w:pPr>
              <w:pStyle w:val="Compact"/>
            </w:pPr>
            <w:r>
              <w:t xml:space="preserve">Kent</w:t>
            </w:r>
          </w:p>
        </w:tc>
        <w:tc>
          <w:tcPr/>
          <w:p>
            <w:pPr>
              <w:pStyle w:val="Compact"/>
            </w:pPr>
            <w:r>
              <w:t xml:space="preserve">Walls</w:t>
            </w:r>
          </w:p>
        </w:tc>
        <w:tc>
          <w:tcPr/>
          <w:p>
            <w:pPr>
              <w:pStyle w:val="Compact"/>
            </w:pPr>
            <w:r>
              <w:t xml:space="preserve">0.609</w:t>
            </w:r>
          </w:p>
        </w:tc>
        <w:tc>
          <w:tcPr/>
          <w:p>
            <w:pPr>
              <w:pStyle w:val="Compact"/>
            </w:pPr>
            <w:r>
              <w:t xml:space="preserve">17</w:t>
            </w:r>
          </w:p>
        </w:tc>
        <w:tc>
          <w:tcPr/>
          <w:p>
            <w:pPr>
              <w:pStyle w:val="Compact"/>
            </w:pPr>
            <w:r>
              <w:t xml:space="preserve">1.100</w:t>
            </w:r>
          </w:p>
        </w:tc>
        <w:tc>
          <w:tcPr/>
          <w:p>
            <w:pPr>
              <w:pStyle w:val="Compact"/>
            </w:pPr>
            <w:r>
              <w:t xml:space="preserve">35</w:t>
            </w:r>
          </w:p>
        </w:tc>
      </w:tr>
      <w:tr>
        <w:tc>
          <w:tcPr/>
          <w:p>
            <w:pPr>
              <w:pStyle w:val="Compact"/>
            </w:pPr>
            <w:r>
              <w:t xml:space="preserve">Castile Landing</w:t>
            </w:r>
          </w:p>
        </w:tc>
        <w:tc>
          <w:tcPr/>
          <w:p>
            <w:pPr>
              <w:pStyle w:val="Compact"/>
            </w:pPr>
            <w:r>
              <w:t xml:space="preserve">Parkin</w:t>
            </w:r>
          </w:p>
        </w:tc>
        <w:tc>
          <w:tcPr/>
          <w:p>
            <w:pPr>
              <w:pStyle w:val="Compact"/>
            </w:pPr>
            <w:r>
              <w:t xml:space="preserve">Kent</w:t>
            </w:r>
          </w:p>
        </w:tc>
        <w:tc>
          <w:tcPr/>
          <w:p>
            <w:pPr>
              <w:pStyle w:val="Compact"/>
            </w:pPr>
            <w:r>
              <w:t xml:space="preserve">0.557</w:t>
            </w:r>
          </w:p>
        </w:tc>
        <w:tc>
          <w:tcPr/>
          <w:p>
            <w:pPr>
              <w:pStyle w:val="Compact"/>
            </w:pPr>
            <w:r>
              <w:t xml:space="preserve">41</w:t>
            </w:r>
          </w:p>
        </w:tc>
        <w:tc>
          <w:tcPr/>
          <w:p>
            <w:pPr>
              <w:pStyle w:val="Compact"/>
            </w:pPr>
            <w:r>
              <w:t xml:space="preserve">0.571</w:t>
            </w:r>
          </w:p>
        </w:tc>
        <w:tc>
          <w:tcPr/>
          <w:p>
            <w:pPr>
              <w:pStyle w:val="Compact"/>
            </w:pPr>
            <w:r>
              <w:t xml:space="preserve">19</w:t>
            </w:r>
          </w:p>
        </w:tc>
      </w:tr>
      <w:tr>
        <w:tc>
          <w:tcPr/>
          <w:p>
            <w:pPr>
              <w:pStyle w:val="Compact"/>
            </w:pPr>
            <w:r>
              <w:t xml:space="preserve">Carson Lake</w:t>
            </w:r>
          </w:p>
        </w:tc>
        <w:tc>
          <w:tcPr/>
          <w:p>
            <w:pPr>
              <w:pStyle w:val="Compact"/>
            </w:pPr>
            <w:r>
              <w:t xml:space="preserve">Walls</w:t>
            </w:r>
          </w:p>
        </w:tc>
        <w:tc>
          <w:tcPr/>
          <w:p>
            <w:pPr>
              <w:pStyle w:val="Compact"/>
            </w:pPr>
            <w:r>
              <w:t xml:space="preserve">Nodena</w:t>
            </w:r>
          </w:p>
        </w:tc>
        <w:tc>
          <w:tcPr/>
          <w:p>
            <w:pPr>
              <w:pStyle w:val="Compact"/>
            </w:pPr>
            <w:r>
              <w:t xml:space="preserve">1.039</w:t>
            </w:r>
          </w:p>
        </w:tc>
        <w:tc>
          <w:tcPr/>
          <w:p>
            <w:pPr>
              <w:pStyle w:val="Compact"/>
            </w:pPr>
            <w:r>
              <w:t xml:space="preserve">71</w:t>
            </w:r>
          </w:p>
        </w:tc>
        <w:tc>
          <w:tcPr/>
          <w:p>
            <w:pPr>
              <w:pStyle w:val="Compact"/>
            </w:pPr>
            <w:r>
              <w:t xml:space="preserve">no other Nodena site at the minimum</w:t>
            </w:r>
          </w:p>
        </w:tc>
        <w:tc>
          <w:tcPr/>
          <w:p>
            <w:pPr>
              <w:pStyle w:val="Compact"/>
            </w:pPr>
          </w:p>
        </w:tc>
      </w:tr>
      <w:tr>
        <w:tc>
          <w:tcPr/>
          <w:p>
            <w:pPr>
              <w:pStyle w:val="Compact"/>
            </w:pPr>
            <w:r>
              <w:t xml:space="preserve">Jeter</w:t>
            </w:r>
          </w:p>
        </w:tc>
        <w:tc>
          <w:tcPr/>
          <w:p>
            <w:pPr>
              <w:pStyle w:val="Compact"/>
            </w:pPr>
            <w:r>
              <w:t xml:space="preserve">Walls</w:t>
            </w:r>
          </w:p>
        </w:tc>
        <w:tc>
          <w:tcPr/>
          <w:p>
            <w:pPr>
              <w:pStyle w:val="Compact"/>
            </w:pPr>
            <w:r>
              <w:t xml:space="preserve">Tipton</w:t>
            </w:r>
          </w:p>
        </w:tc>
        <w:tc>
          <w:tcPr/>
          <w:p>
            <w:pPr>
              <w:pStyle w:val="Compact"/>
            </w:pPr>
            <w:r>
              <w:t xml:space="preserve">under the minimum</w:t>
            </w:r>
          </w:p>
        </w:tc>
        <w:tc>
          <w:tcPr/>
          <w:p>
            <w:pPr>
              <w:pStyle w:val="Compact"/>
            </w:pPr>
          </w:p>
        </w:tc>
        <w:tc>
          <w:tcPr/>
          <w:p>
            <w:pPr>
              <w:pStyle w:val="Compact"/>
            </w:pPr>
          </w:p>
        </w:tc>
        <w:tc>
          <w:tcPr/>
          <w:p>
            <w:pPr>
              <w:pStyle w:val="Compact"/>
            </w:pPr>
          </w:p>
        </w:tc>
      </w:tr>
    </w:tbl>
    <w:p>
      <w:pPr>
        <w:pStyle w:val="BodyText"/>
      </w:pPr>
      <w:r>
        <w:t xml:space="preserve">Distances are chi-square distances from the site’s profile to the pooled profile of the candidate phase with the site left out, and straight-line kilometers to that phase’s center. His Parkin Punctated counts equal the survey’s at 11 of the 21 shared sites and exceed them at ten (</w:t>
      </w:r>
      <w:r>
        <w:rPr>
          <w:rStyle w:val="VerbatimChar"/>
        </w:rPr>
        <w:t xml:space="preserve">output/findings/matrix_integrity.md</w:t>
      </w:r>
      <w:r>
        <w:t xml:space="preserve">), so for those sites this is a second sampling of the same collections; only the western Tennessee sites, from Tennessee Division of Archaeology collections, are material the survey never had. The copying model is not rerun on his table because it is calibrated to the main matrix, and recalibrating it would be a separate study.</w:t>
      </w:r>
    </w:p>
    <w:bookmarkEnd w:id="151"/>
    <w:bookmarkStart w:id="152" w:name="coordinates-and-datum"/>
    <w:p>
      <w:pPr>
        <w:pStyle w:val="Heading2"/>
      </w:pPr>
      <w:r>
        <w:t xml:space="preserve">Coordinates and datum</w:t>
      </w:r>
    </w:p>
    <w:p>
      <w:pPr>
        <w:pStyle w:val="FirstParagraph"/>
      </w:pPr>
      <w:r>
        <w:t xml:space="preserve">Assemblage coordinates come from</w:t>
      </w:r>
      <w:r>
        <w:t xml:space="preserve"> </w:t>
      </w:r>
      <w:r>
        <w:rPr>
          <w:rStyle w:val="VerbatimChar"/>
        </w:rPr>
        <w:t xml:space="preserve">data/raw/mainfort-pfg-cplXY.txt</w:t>
      </w:r>
      <w:r>
        <w:t xml:space="preserve">, with published corrections applied on reading (</w:t>
      </w:r>
      <w:r>
        <w:rPr>
          <w:rStyle w:val="VerbatimChar"/>
        </w:rPr>
        <w:t xml:space="preserve">data/raw/coordinate_corrections.csv</w:t>
      </w:r>
      <w:r>
        <w:t xml:space="preserve">): Belle Meade and Beck are moved to author-supplied coordinates inside the sections Phillips, Ford, and Griffin record, and Starkley and Davis (13-N-5) to the survey’s own coordinates, which fall inside their recorded sections (for Davis, SE1/4 SE1/4 of Section 14, T3N R5E, confirmed against the Bureau of Land Management’s cadastral survey layer). The survey’s coordinates were recorded in the 1927 North American Datum, and the coordinate file had read them as the 1983 datum, which puts each such point about 209 m south of where the survey placed it. We convert only where the derivation is demonstrated: an assemblage coordinate is converted when it lies within 10 m of the survey’s coordinate for that site read in the 1983 datum. That applies to 20 assemblages, 16 of them in the basin set, each moved 209 m. Eleven further coordinates lie within 100 m of that reading but outside the tolerance (14 to 54 m for the eight in the basin set), which means they were derived another way; eight of them are Mainfort’s own points, and all eleven are left as recorded. Settlement-table rows whose source is the survey (367 rows) are converted the same way. The conversion leaves the</w:t>
      </w:r>
      <w:r>
        <w:t xml:space="preserve"> </w:t>
      </w:r>
      <m:oMath>
        <m:r>
          <m:t>k</m:t>
        </m:r>
      </m:oMath>
      <w:r>
        <w:t xml:space="preserve">-means divisions at two, three, and six clusters and their plug-in</w:t>
      </w:r>
      <w:r>
        <w:t xml:space="preserve"> </w:t>
      </w:r>
      <m:oMath>
        <m:sSub>
          <m:e>
            <m:r>
              <m:t>F</m:t>
            </m:r>
          </m:e>
          <m:sub>
            <m:r>
              <m:t>S</m:t>
            </m:r>
            <m:r>
              <m:t>T</m:t>
            </m:r>
          </m:sub>
        </m:sSub>
      </m:oMath>
      <w:r>
        <w:t xml:space="preserve"> </w:t>
      </w:r>
      <w:r>
        <w:t xml:space="preserve">unchanged, and changes the divisions at four and five clusters (the four-cluster value moves from 0.0194 to 0.0186); every result reported uses the converted coordinates (</w:t>
      </w:r>
      <w:r>
        <w:rPr>
          <w:rStyle w:val="VerbatimChar"/>
        </w:rPr>
        <w:t xml:space="preserve">scripts/measure_datum.py</w:t>
      </w:r>
      <w:r>
        <w:t xml:space="preserve">,</w:t>
      </w:r>
      <w:r>
        <w:t xml:space="preserve"> </w:t>
      </w:r>
      <w:r>
        <w:rPr>
          <w:rStyle w:val="VerbatimChar"/>
        </w:rPr>
        <w:t xml:space="preserve">output/findings/datum_conversion.md</w:t>
      </w:r>
      <w:r>
        <w:t xml:space="preserve">).</w:t>
      </w:r>
    </w:p>
    <w:bookmarkEnd w:id="152"/>
    <w:bookmarkStart w:id="156"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 determinations come from seven sites in and near the St. Francis basin, nineteen of them from Parkin. The summed probability of the basin dates concentrates the occupation in the fourteenth to sixteenth centuries, with a median of AD 1428 (Parkin alone, AD 1483), and declines across the contact interval: 29 percent of the basin probability postdates AD 1541 and 18 percent postdates AD 1600 (Figure S9). This is consistent with occupation continuing through the De Soto entrada and declining afterward, although the shape of the calibration curve affects the shape of any summed distribution</w:t>
      </w:r>
      <w:r>
        <w:t xml:space="preserve"> </w:t>
      </w:r>
      <w:r>
        <w:t xml:space="preserve">(Surovell and Brantingham 2007)</w:t>
      </w:r>
      <w:r>
        <w:t xml:space="preserve">, and the latest tail is partly a product of determinations near the post-1650 plateau. To test whether the seriation axis tracks calendar time, we pooled the dates of the four proveniences matching our assemblages (Kent Place, Parkin, Neeley’s Ferry, and Clay Hill; 26 dates) and correlated their median calibrated ages with position on the first correspondence-analysis axis. With pooled calibrated medians the rank correlation is 0.40 in magnitude, with Clay Hill out of order, and it favors orienting the axis the way the analyses do; with one-sigma calibrated midpoints it is zero. Four points under two reasonable conventions that disagree cannot establish which end of the axis is later. House</w:t>
      </w:r>
      <w:r>
        <w:t xml:space="preserve"> </w:t>
      </w:r>
      <w:r>
        <w:t xml:space="preserve">(1993:23)</w:t>
      </w:r>
      <w:r>
        <w:t xml:space="preserve"> </w:t>
      </w:r>
      <w:r>
        <w:t xml:space="preserve">reports the Kent and Clay Hill determinations with their contexts. At Kent, one date comes from a house floor (Feature 6, SMU-2102, 600 ± 115 BP) and the other from a post intrusive into it (SMU-2103, 310 ± 90 BP), and an archaeomagnetic date on another feature (Feature 1) falls at AD 1345 to 1380. Pooling the intrusive post with the floor makes the Kent Place median (AD 1466) later than the floor itself. Correcting it would not orient the axis either, because Kent Place, then among the earliest dated sites, and Clay Hill, the latest, sit at the same end of the axis. Hollywood, one of the analyzed assemblages but not in the radiocarbon file, has two calibrated dates reported by Haley</w:t>
      </w:r>
      <w:r>
        <w:t xml:space="preserve"> </w:t>
      </w:r>
      <w:r>
        <w:t xml:space="preserve">(2014)</w:t>
      </w:r>
      <w:r>
        <w:t xml:space="preserve"> </w:t>
      </w:r>
      <w:r>
        <w:t xml:space="preserve">from Johnson and colleagues’ excavations (Johnson et al. 2000:48-49, as cited there): central intercepts of AD 1310, 1355, and 1385 (one-sigma AD 1285 to 1420) for the earliest features, and AD 1405 (1300 to 1435) for the top of Mound A. The uncalibrated ages are not reported, so we have not recalibrated them against IntCal20 or pooled them with the other anchors. Hollywood too lies at the same end of the axis as Kent Place and Clay Hill (ranks 6, 4, and 7 of 28, with Parkin at 21). The axis follows latitude, with a rank correlation of +0.77 as oriented, and latitude and longitude together account for 62 percent of its variance (</w:t>
      </w:r>
      <w:r>
        <w:rPr>
          <w:rStyle w:val="VerbatimChar"/>
        </w:rPr>
        <w:t xml:space="preserve">analyses/87_axis_geography.py</w:t>
      </w:r>
      <w:r>
        <w:t xml:space="preserve">). It is largely a south-to-north gradient in composition, which is what the main text’s argument would lead one to expect, and it is not a reliable proxy for time. The analyses therefore orient the axis in the direction the medians weakly favor, and every direction-dependent result is reported both ways. The basin chronology is stable under an alternative compilation: adding the net-new Mississippian dates from the lower-valley radiocarbon database compiled by Jeffrey Alvey (personal communication, 2022), twelve determinations concentrated at Hazel and Upper Nodena, shifts the summed-probability median by eight years, to AD 1436, and leaves the contact decline in place (26 percent of the probability after AD 1541 and 16 percent after AD 1600). Recent AMS dating of the Parkin platform-mound post, interpreted as the base of the cross the De Soto expedition raised at Casqui, places it at cal AD 1445 to 1650</w:t>
      </w:r>
      <w:r>
        <w:t xml:space="preserve"> </w:t>
      </w:r>
      <w:r>
        <w:t xml:space="preserve">(Mitchem et al. 2017)</w:t>
      </w:r>
      <w:r>
        <w:t xml:space="preserve">, consistent with the latest occupation inferred here. The individual determinations, with laboratory numbers, ages, calibrated medians, and sources, are listed in</w:t>
      </w:r>
      <w:r>
        <w:t xml:space="preserve"> </w:t>
      </w:r>
      <w:r>
        <w:rPr>
          <w:rStyle w:val="VerbatimChar"/>
        </w:rPr>
        <w:t xml:space="preserve">radiocarbon_dates_used.csv</w:t>
      </w:r>
      <w:r>
        <w:t xml:space="preserve">.</w:t>
      </w:r>
    </w:p>
    <w:p>
      <w:pPr>
        <w:pStyle w:val="CaptionedFigure"/>
      </w:pPr>
      <w:r>
        <w:drawing>
          <wp:inline>
            <wp:extent cx="5334000" cy="2713789"/>
            <wp:effectExtent b="0" l="0" r="0" t="0"/>
            <wp:docPr descr="Figure S9. Radiocarbon chronology of the St. Francis basin (Mainfort determinations calibrated against IntCal20). Left: summed probability for the basin Parkin-phase sites (filled) and for Parkin alone (line, scaled), with the De Soto entrada (AD 1541) marked. Occupation concentrates in the fourteenth to sixteenth centuries and declines across contact. Right: position on the first correspondence-analysis axis against pooled median calibrated age for the four proveniences matching the analyzed assemblages (point size proportional to the number of dates). The axis is oriented as in Figure 2 and the analyses; the rank correlation is +0.40, with the late-dated Clay Hill out of order, and four points do not establish the axis’s direction." title="" id="154" name="Picture"/>
            <a:graphic>
              <a:graphicData uri="http://schemas.openxmlformats.org/drawingml/2006/picture">
                <pic:pic>
                  <pic:nvPicPr>
                    <pic:cNvPr descr="../../figures/figS6_chronology.png" id="155" name="Picture"/>
                    <pic:cNvPicPr>
                      <a:picLocks noChangeArrowheads="1" noChangeAspect="1"/>
                    </pic:cNvPicPr>
                  </pic:nvPicPr>
                  <pic:blipFill>
                    <a:blip r:embed="rId153"/>
                    <a:stretch>
                      <a:fillRect/>
                    </a:stretch>
                  </pic:blipFill>
                  <pic:spPr bwMode="auto">
                    <a:xfrm>
                      <a:off x="0" y="0"/>
                      <a:ext cx="5334000" cy="2713789"/>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Radiocarbon chronology of the St. Francis basin (Mainfort determinations calibrated against IntCal20). Left: summed probability for the basin Parkin-phase sites (filled) and for Parkin alone (line, scaled), with the De Soto entrada (AD 1541) marked. Occupation concentrates in the fourteenth to sixteenth centuries and declines across contact. Right: position on the first correspondence-analysis axis against pooled median calibrated age for the four proveniences matching the analyzed assemblages (point size proportional to the number of dates). The axis is oriented as in Figure 2 and the analyses; the rank correlation is +0.40, with the late-dated Clay Hill out of order, and four points do not establish the axis’s direction.</w:t>
      </w:r>
    </w:p>
    <w:bookmarkEnd w:id="156"/>
    <w:bookmarkStart w:id="168" w:name="X490dfca6be40dac40453279b4635251c9fd7a99"/>
    <w:p>
      <w:pPr>
        <w:pStyle w:val="Heading2"/>
      </w:pPr>
      <w:r>
        <w:t xml:space="preserve">The southeast-Missouri assemblages, and why we do not analyze them</w:t>
      </w:r>
    </w:p>
    <w:p>
      <w:pPr>
        <w:pStyle w:val="FirstParagraph"/>
      </w:pPr>
      <w:r>
        <w:t xml:space="preserve">The main text tests one region. This section reports an attempt to extend the test to a second and explains why it does not appear there. The southeast-Missouri material is not adequate for the test at present, not because its phases are sounder or weaker than the basin’s but because its classes and sample sizes measure something other than the stylistic copying the test is built for. We report the attempt because a negative of this kind is useful to the next person who considers the same extension.</w:t>
      </w:r>
    </w:p>
    <w:bookmarkStart w:id="157" w:name="what-we-tried"/>
    <w:p>
      <w:pPr>
        <w:pStyle w:val="Heading3"/>
      </w:pPr>
      <w:r>
        <w:t xml:space="preserve">What we tried</w:t>
      </w:r>
    </w:p>
    <w:p>
      <w:pPr>
        <w:pStyle w:val="FirstParagraph"/>
      </w:pPr>
      <w:r>
        <w:t xml:space="preserve">Williams</w:t>
      </w:r>
      <w:r>
        <w:t xml:space="preserve"> </w:t>
      </w:r>
      <w:r>
        <w:t xml:space="preserve">(1954)</w:t>
      </w:r>
      <w:r>
        <w:t xml:space="preserve"> </w:t>
      </w:r>
      <w:r>
        <w:t xml:space="preserve">divided the southeast-Missouri lowlands into four named Mississippian phases, which makes it the obvious second case. We digitized his survey tables and georeferenced the sites through the Lower Mississippi Survey grid, which places his assemblages and the basin’s in one frame (Figure S10). Across the named physiographic regions the cultural</w:t>
      </w:r>
      <w:r>
        <w:t xml:space="preserve"> </w:t>
      </w:r>
      <m:oMath>
        <m:sSub>
          <m:e>
            <m:r>
              <m:t>F</m:t>
            </m:r>
          </m:e>
          <m:sub>
            <m:r>
              <m:t>S</m:t>
            </m:r>
            <m:r>
              <m:t>T</m:t>
            </m:r>
          </m:sub>
        </m:sSub>
      </m:oMath>
      <w:r>
        <w:t xml:space="preserve"> </w:t>
      </w:r>
      <w:r>
        <w:t xml:space="preserve">is 0.11, most of it a Woodland-to-Mississippian change in composition rather than contemporaneous social structure. Restricting the analysis to assemblages with at least 30 sherds in non-Woodland classes, and to those classes, leaves 39 assemblages over 42 classes and lowers the between-cluster</w:t>
      </w:r>
      <w:r>
        <w:t xml:space="preserve"> </w:t>
      </w:r>
      <m:oMath>
        <m:sSub>
          <m:e>
            <m:r>
              <m:t>F</m:t>
            </m:r>
          </m:e>
          <m:sub>
            <m:r>
              <m:t>S</m:t>
            </m:r>
            <m:r>
              <m:t>T</m:t>
            </m:r>
          </m:sub>
        </m:sSub>
      </m:oMath>
      <w:r>
        <w:t xml:space="preserve"> </w:t>
      </w:r>
      <w:r>
        <w:t xml:space="preserve">to 0.034 across four spatial clusters. Several assemblages from one location remain separate points, which already limits their independence.</w:t>
      </w:r>
    </w:p>
    <w:p>
      <w:pPr>
        <w:pStyle w:val="BodyText"/>
      </w:pPr>
      <w:r>
        <w:t xml:space="preserve">Run through the same calibrated comparison as the basin, the set behaves much as the basin does. Its assemblages do not separate into clusters on the ordination (Figure S11A and B). Ten parameter combinations match its diversity under pooled-profile innovation on the screen and eight on the fifty-run check, and at the matched combination most favorable to the model (120 learners, innovation 0.004, mixing 0.02, great-circle distance) the observed</w:t>
      </w:r>
      <w:r>
        <w:t xml:space="preserve"> </w:t>
      </w:r>
      <m:oMath>
        <m:sSub>
          <m:e>
            <m:r>
              <m:t>F</m:t>
            </m:r>
          </m:e>
          <m:sub>
            <m:r>
              <m:t>S</m:t>
            </m:r>
            <m:r>
              <m:t>T</m:t>
            </m:r>
          </m:sub>
        </m:sSub>
      </m:oMath>
      <w:r>
        <w:t xml:space="preserve"> </w:t>
      </w:r>
      <w:r>
        <w:t xml:space="preserve">lies inside the simulated range of 0.004 to 0.040 (median 0.012), reached by 4.6 percent of simulated datasets in seriation order, 3.2 percent in reverse, and 5.4 percent as contemporaneous. Uniform innovation fits at no combination and overpredicts the differentiation about two-and-a-half-fold at its nearest one (median 0.083). The bounded-groups model at a copying factor of 0.03 raises the median to 0.025 and reaches the observation in 30 percent of 30 runs (Figure S11C). Taken at face value this repeats the basin’s result, and it matches the verdict Fox</w:t>
      </w:r>
      <w:r>
        <w:t xml:space="preserve"> </w:t>
      </w:r>
      <w:r>
        <w:t xml:space="preserve">(1998)</w:t>
      </w:r>
      <w:r>
        <w:t xml:space="preserve"> </w:t>
      </w:r>
      <w:r>
        <w:t xml:space="preserve">reached for these phases by cluster analysis and ordination.</w:t>
      </w:r>
    </w:p>
    <w:bookmarkEnd w:id="157"/>
    <w:bookmarkStart w:id="158" w:name="why-we-do-not-report-it-as-a-result"/>
    <w:p>
      <w:pPr>
        <w:pStyle w:val="Heading3"/>
      </w:pPr>
      <w:r>
        <w:t xml:space="preserve">Why we do not report it as a result</w:t>
      </w:r>
    </w:p>
    <w:p>
      <w:pPr>
        <w:pStyle w:val="FirstParagraph"/>
      </w:pPr>
      <w:r>
        <w:t xml:space="preserve">Taking it at face value would be a mistake, for three reasons that appear only once the classes are examined rather than counted (</w:t>
      </w:r>
      <w:r>
        <w:rPr>
          <w:rStyle w:val="VerbatimChar"/>
        </w:rPr>
        <w:t xml:space="preserve">analyses/66_cmv_class_composition.py</w:t>
      </w:r>
      <w:r>
        <w:t xml:space="preserve">).</w:t>
      </w:r>
    </w:p>
    <w:p>
      <w:pPr>
        <w:pStyle w:val="BodyText"/>
      </w:pPr>
      <w:r>
        <w:rPr>
          <w:b/>
          <w:bCs/>
        </w:rPr>
        <w:t xml:space="preserve">The set is ninety percent plain ware.</w:t>
      </w:r>
      <w:r>
        <w:t xml:space="preserve"> </w:t>
      </w:r>
      <w:r>
        <w:t xml:space="preserve">Mississippi Plain alone is 81.5 percent of the 8,958 analyzed sherds, Bell Plain a further 7.5 percent, and the four plain classes together 90.1 percent. The basin analysis uses ten decorated types and no plain ware at all. Plain wares are utility pottery, and the paste difference between Mississippi Plain and Bell Plain is a matter of manufacture and function rather than style. It is also where most of the differentiation lies: the plain component alone gives a between-cluster</w:t>
      </w:r>
      <w:r>
        <w:t xml:space="preserve"> </w:t>
      </w:r>
      <m:oMath>
        <m:sSub>
          <m:e>
            <m:r>
              <m:t>F</m:t>
            </m:r>
          </m:e>
          <m:sub>
            <m:r>
              <m:t>S</m:t>
            </m:r>
            <m:r>
              <m:t>T</m:t>
            </m:r>
          </m:sub>
        </m:sSub>
      </m:oMath>
      <w:r>
        <w:t xml:space="preserve"> </w:t>
      </w:r>
      <w:r>
        <w:t xml:space="preserve">of 0.065, and the Mississippi-to-Bell ratio alone 0.076, both well above the 0.034 of the full set. A difference between groups in that variable is what Table S1 files under environmental patchiness, which the test cannot separate from bounded interaction on this evidence.</w:t>
      </w:r>
    </w:p>
    <w:p>
      <w:pPr>
        <w:pStyle w:val="BodyText"/>
      </w:pPr>
      <w:r>
        <w:rPr>
          <w:b/>
          <w:bCs/>
        </w:rPr>
        <w:t xml:space="preserve">The stylistic part is too small to test.</w:t>
      </w:r>
      <w:r>
        <w:t xml:space="preserve"> </w:t>
      </w:r>
      <w:r>
        <w:t xml:space="preserve">Only 883 sherds, 9.9 percent of the set, are not plain, a median of 16 per assemblage spread across 38 classes. Even a 30-sherd minimum for decorated material leaves 12 of the 39 assemblages. The basin set carries 14,101 decorated sherds, a median of 251 per assemblage across ten classes.</w:t>
      </w:r>
    </w:p>
    <w:p>
      <w:pPr>
        <w:pStyle w:val="BodyText"/>
      </w:pPr>
      <w:r>
        <w:rPr>
          <w:b/>
          <w:bCs/>
        </w:rPr>
        <w:t xml:space="preserve">Most of the decorated material is surface film rather than design, and it is chronologically loaded.</w:t>
      </w:r>
      <w:r>
        <w:t xml:space="preserve"> </w:t>
      </w:r>
      <w:r>
        <w:t xml:space="preserve">Varney Red is 38.7 percent of the non-plain sherds and Old Town Red Filmed a further 17.4 percent. Varney Red is a chronologically diagnostic red-filmed ware that the Woodland exclusion does not catch, so its spatial pattern carries the very gradient that exclusion was meant to remove. Dropping it moves the</w:t>
      </w:r>
      <w:r>
        <w:t xml:space="preserve"> </w:t>
      </w:r>
      <m:oMath>
        <m:sSub>
          <m:e>
            <m:r>
              <m:t>F</m:t>
            </m:r>
          </m:e>
          <m:sub>
            <m:r>
              <m:t>S</m:t>
            </m:r>
            <m:r>
              <m:t>T</m:t>
            </m:r>
          </m:sub>
        </m:sSub>
      </m:oMath>
      <w:r>
        <w:t xml:space="preserve"> </w:t>
      </w:r>
      <w:r>
        <w:t xml:space="preserve">of the named non-plain types from 0.351 to 0.180. Twenty-nine of the 38 non-plain classes occur in only one of the four spatial clusters while holding 302 sherds among them, so rarity and spatial restriction cannot be separated at this sample size.</w:t>
      </w:r>
    </w:p>
    <w:p>
      <w:pPr>
        <w:pStyle w:val="BodyText"/>
      </w:pPr>
      <w:r>
        <w:t xml:space="preserve">The non-plain subset does differentiate strongly (0.325), and not as an artifact of small samples: resampling every assemblage from the regional pooled profile at its own count gives a median of 0.003. Neither is it a clean measurement of style, for the reasons just given. The honest statement is not that southeast Missouri is differentiated or undifferentiated. It is that this set cannot answer the question the basin set is asked.</w:t>
      </w:r>
    </w:p>
    <w:bookmarkEnd w:id="158"/>
    <w:bookmarkStart w:id="159" w:name="how-this-shows-up-in-the-modeling"/>
    <w:p>
      <w:pPr>
        <w:pStyle w:val="Heading3"/>
      </w:pPr>
      <w:r>
        <w:t xml:space="preserve">How this shows up in the modeling</w:t>
      </w:r>
    </w:p>
    <w:p>
      <w:pPr>
        <w:pStyle w:val="FirstParagraph"/>
      </w:pPr>
      <w:r>
        <w:t xml:space="preserve">The composition problem is visible in the model’s behavior, which is what first drew our attention to it. In the basin, the innovation boundary raises differentiation with the diversity match intact: from a reordered share of 0 to 0.3 the median</w:t>
      </w:r>
      <w:r>
        <w:t xml:space="preserve"> </w:t>
      </w:r>
      <m:oMath>
        <m:sSub>
          <m:e>
            <m:r>
              <m:t>F</m:t>
            </m:r>
          </m:e>
          <m:sub>
            <m:r>
              <m:t>S</m:t>
            </m:r>
            <m:r>
              <m:t>T</m:t>
            </m:r>
          </m:sub>
        </m:sSub>
      </m:oMath>
      <w:r>
        <w:t xml:space="preserve"> </w:t>
      </w:r>
      <w:r>
        <w:t xml:space="preserve">rises from 0.0022 to 0.0122, passing the observed 0.0062 between 0.2 and 0.25, and all three diversity summaries stay within tolerance until the share reaches 0.4 (1,200 runs per setting,</w:t>
      </w:r>
      <w:r>
        <w:t xml:space="preserve"> </w:t>
      </w:r>
      <w:r>
        <w:rPr>
          <w:rStyle w:val="VerbatimChar"/>
        </w:rPr>
        <w:t xml:space="preserve">output/findings/other_departures_c_highrep.md</w:t>
      </w:r>
      <w:r>
        <w:t xml:space="preserve">). On the southeast-Missouri set the same change reaches the observed 0.034 at a share of 0.2 (median 0.033), but the diversity match is already lost at 0.15 and at every share above it, so no setting both reaches the observation and holds the match; the largest share that keeps the match, 0.1, leaves the median at 0.017, half the observed value. The cause is the plain ware. With the top two classes holding 89 percent of all sherds, reordering a group’s innovation profile so that it catches Mississippi Plain moves the whole assemblage rather than its margins. The quantity being varied is the composition of utility pottery.</w:t>
      </w:r>
    </w:p>
    <w:bookmarkEnd w:id="159"/>
    <w:bookmarkStart w:id="160" w:name="a-defect-in-the-source-table"/>
    <w:p>
      <w:pPr>
        <w:pStyle w:val="Heading3"/>
      </w:pPr>
      <w:r>
        <w:t xml:space="preserve">A defect in the source table</w:t>
      </w:r>
    </w:p>
    <w:p>
      <w:pPr>
        <w:pStyle w:val="FirstParagraph"/>
      </w:pPr>
      <w:r>
        <w:t xml:space="preserve">Three classes in the digitized Williams tables are each carried twice, because their names differ only in capitalization:</w:t>
      </w:r>
      <w:r>
        <w:t xml:space="preserve"> </w:t>
      </w:r>
      <w:r>
        <w:t xml:space="preserve">“Thin Ware”</w:t>
      </w:r>
      <w:r>
        <w:t xml:space="preserve"> </w:t>
      </w:r>
      <w:r>
        <w:t xml:space="preserve">and</w:t>
      </w:r>
      <w:r>
        <w:t xml:space="preserve"> </w:t>
      </w:r>
      <w:r>
        <w:t xml:space="preserve">“Thin ware”</w:t>
      </w:r>
      <w:r>
        <w:t xml:space="preserve"> </w:t>
      </w:r>
      <w:r>
        <w:t xml:space="preserve">(5 and 49 sherds),</w:t>
      </w:r>
      <w:r>
        <w:t xml:space="preserve"> </w:t>
      </w:r>
      <w:r>
        <w:t xml:space="preserve">“Fine Ware”</w:t>
      </w:r>
      <w:r>
        <w:t xml:space="preserve"> </w:t>
      </w:r>
      <w:r>
        <w:t xml:space="preserve">and</w:t>
      </w:r>
      <w:r>
        <w:t xml:space="preserve"> </w:t>
      </w:r>
      <w:r>
        <w:t xml:space="preserve">“Fine ware”</w:t>
      </w:r>
      <w:r>
        <w:t xml:space="preserve"> </w:t>
      </w:r>
      <w:r>
        <w:t xml:space="preserve">(4 and 30), and</w:t>
      </w:r>
      <w:r>
        <w:t xml:space="preserve"> </w:t>
      </w:r>
      <w:r>
        <w:t xml:space="preserve">“Brown Slip”</w:t>
      </w:r>
      <w:r>
        <w:t xml:space="preserve"> </w:t>
      </w:r>
      <w:r>
        <w:t xml:space="preserve">and</w:t>
      </w:r>
      <w:r>
        <w:t xml:space="preserve"> </w:t>
      </w:r>
      <w:r>
        <w:t xml:space="preserve">“Brown slip”</w:t>
      </w:r>
      <w:r>
        <w:t xml:space="preserve"> </w:t>
      </w:r>
      <w:r>
        <w:t xml:space="preserve">(2 and 2). Together they are 92 sherds, and nothing above turns on them, but they inflate the class count and should be merged at the source before anyone builds on this table.</w:t>
      </w:r>
    </w:p>
    <w:bookmarkEnd w:id="160"/>
    <w:bookmarkStart w:id="167" w:name="what-would-make-the-extension-possible"/>
    <w:p>
      <w:pPr>
        <w:pStyle w:val="Heading3"/>
      </w:pPr>
      <w:r>
        <w:t xml:space="preserve">What would make the extension possible</w:t>
      </w:r>
    </w:p>
    <w:p>
      <w:pPr>
        <w:pStyle w:val="FirstParagraph"/>
      </w:pPr>
      <w:r>
        <w:t xml:space="preserve">The extension needs a decorated-only analysis of these assemblages, on named types with red films treated separately from incised and punctated design, and with sample sizes raised by returning to the collections rather than to the published tables. Until then the southeast-Missouri phases stand on Fox’s ordination as independent evidence that they do not hold as groups, a different and weaker claim than the one the main text makes for the St. Francis basin.</w:t>
      </w:r>
    </w:p>
    <w:p>
      <w:pPr>
        <w:pStyle w:val="CaptionedFigure"/>
      </w:pPr>
      <w:r>
        <w:drawing>
          <wp:inline>
            <wp:extent cx="4572000" cy="5251704"/>
            <wp:effectExtent b="0" l="0" r="0" t="0"/>
            <wp:docPr descr="Figure S10. Regional setting of the St. Francis basin analysis and of the southeast-Missouri survey discussed in this section. The central-valley southeast-Missouri survey of Williams (1954) is shown in blue and the lower-valley St. Francis basin assemblages in vermilion, with Parkin as a black star. Italic labels mark the named physiographic regions: Cairo Lowland, Sikeston Ridge, Malden Plain, and Little River in the central valley, and the St. Francis basin in the lower valley. Hydrography is from HydroRIVERS (Lehner and Grill 2013), with line width scaled by flow order so that the Mississippi appears as the heaviest line. State boundaries and the locator inset are from Natural Earth." title="" id="162" name="Picture"/>
            <a:graphic>
              <a:graphicData uri="http://schemas.openxmlformats.org/drawingml/2006/picture">
                <pic:pic>
                  <pic:nvPicPr>
                    <pic:cNvPr descr="../../figures/figS7_regional.png" id="163" name="Picture"/>
                    <pic:cNvPicPr>
                      <a:picLocks noChangeArrowheads="1" noChangeAspect="1"/>
                    </pic:cNvPicPr>
                  </pic:nvPicPr>
                  <pic:blipFill>
                    <a:blip r:embed="rId161"/>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S10.</w:t>
      </w:r>
      <w:r>
        <w:t xml:space="preserve"> </w:t>
      </w:r>
      <w:r>
        <w:t xml:space="preserve">Regional setting of the St. Francis basin analysis and of the southeast-Missouri survey discussed in this section. The central-valley southeast-Missouri survey of Williams</w:t>
      </w:r>
      <w:r>
        <w:t xml:space="preserve"> </w:t>
      </w:r>
      <w:r>
        <w:t xml:space="preserve">(1954)</w:t>
      </w:r>
      <w:r>
        <w:t xml:space="preserve"> </w:t>
      </w:r>
      <w:r>
        <w:t xml:space="preserve">is shown in blue and the lower-valley St. Francis basin assemblages in vermilion, with Parkin as a black star. Italic labels mark the named physiographic regions: Cairo Lowland, Sikeston Ridge, Malden Plain, and Little River in the central valley, and the St. Francis basin in the lower valley. Hydrography is from HydroRIVERS</w:t>
      </w:r>
      <w:r>
        <w:t xml:space="preserve"> </w:t>
      </w:r>
      <w:r>
        <w:t xml:space="preserve">(Lehner and Grill 2013)</w:t>
      </w:r>
      <w:r>
        <w:t xml:space="preserve">, with line width scaled by flow order so that the Mississippi appears as the heaviest line. State boundaries and the locator inset are from Natural Earth.</w:t>
      </w:r>
    </w:p>
    <w:p>
      <w:pPr>
        <w:pStyle w:val="CaptionedFigure"/>
      </w:pPr>
      <w:r>
        <w:drawing>
          <wp:inline>
            <wp:extent cx="4754880" cy="3691584"/>
            <wp:effectExtent b="0" l="0" r="0" t="0"/>
            <wp:docPr descr="Figure S11. Within-region structure under the calibrated comparison. (A, B) Multidimensional scaling of decorated Brainerd-Robinson dissimilarity for the St. Francis basin and for the southeast-Missouri assemblages (Mississippian classes only, so the comparison is not driven by the Woodland-to-Mississippian change), with markers distinguishing within-region spatial clusters. The basin assemblages intermix; in southeast Missouri one cluster separates along the first axis. (C) The observed between-cluster cultural F_{ST} for each region (diamond; 0.006 for the basin at two clusters) against the 95 percent ranges of three models run on the real coordinates and subsampled to the observed counts: the calibrated neutral copying model with pooled-profile innovation (dark), the same model with uniform innovation at its nearest calibration combination (mid-gray, which does not fit robustly in either region), and the bounded-groups model at a copying factor of 0.03 (light). In both regions the observed value lies inside the calibrated model’s range. The southeast-Missouri panels document the attempt described in this section rather than a result." title="" id="165" name="Picture"/>
            <a:graphic>
              <a:graphicData uri="http://schemas.openxmlformats.org/drawingml/2006/picture">
                <pic:pic>
                  <pic:nvPicPr>
                    <pic:cNvPr descr="../../figures/figS8_within_region.png" id="166" name="Picture"/>
                    <pic:cNvPicPr>
                      <a:picLocks noChangeArrowheads="1" noChangeAspect="1"/>
                    </pic:cNvPicPr>
                  </pic:nvPicPr>
                  <pic:blipFill>
                    <a:blip r:embed="rId164"/>
                    <a:stretch>
                      <a:fillRect/>
                    </a:stretch>
                  </pic:blipFill>
                  <pic:spPr bwMode="auto">
                    <a:xfrm>
                      <a:off x="0" y="0"/>
                      <a:ext cx="4754880" cy="3691584"/>
                    </a:xfrm>
                    <a:prstGeom prst="rect">
                      <a:avLst/>
                    </a:prstGeom>
                    <a:noFill/>
                    <a:ln w="9525">
                      <a:noFill/>
                      <a:headEnd/>
                      <a:tailEnd/>
                    </a:ln>
                  </pic:spPr>
                </pic:pic>
              </a:graphicData>
            </a:graphic>
          </wp:inline>
        </w:drawing>
      </w:r>
    </w:p>
    <w:p>
      <w:pPr>
        <w:pStyle w:val="ImageCaption"/>
      </w:pPr>
      <w:r>
        <w:rPr>
          <w:b/>
          <w:bCs/>
        </w:rPr>
        <w:t xml:space="preserve">Figure S11.</w:t>
      </w:r>
      <w:r>
        <w:t xml:space="preserve"> </w:t>
      </w:r>
      <w:r>
        <w:t xml:space="preserve">Within-region structure under the calibrated comparison. (A, B) Multidimensional scaling of decorated Brainerd-Robinson dissimilarity for the St. Francis basin and for the southeast-Missouri assemblages (Mississippian classes only, so the comparison is not driven by the Woodland-to-Mississippian change), with markers distinguishing within-region spatial clusters. The basin assemblages intermix; in southeast Missouri one cluster separates along the first axis. (C) The observed between-cluster cultural</w:t>
      </w:r>
      <w:r>
        <w:t xml:space="preserve"> </w:t>
      </w:r>
      <m:oMath>
        <m:sSub>
          <m:e>
            <m:r>
              <m:t>F</m:t>
            </m:r>
          </m:e>
          <m:sub>
            <m:r>
              <m:t>S</m:t>
            </m:r>
            <m:r>
              <m:t>T</m:t>
            </m:r>
          </m:sub>
        </m:sSub>
      </m:oMath>
      <w:r>
        <w:t xml:space="preserve"> </w:t>
      </w:r>
      <w:r>
        <w:t xml:space="preserve">for each region (diamond; 0.006 for the basin at two clusters) against the 95 percent ranges of three models run on the real coordinates and subsampled to the observed counts: the calibrated neutral copying model with pooled-profile innovation (dark), the same model with uniform innovation at its nearest calibration combination (mid-gray, which does not fit robustly in either region), and the bounded-groups model at a copying factor of 0.03 (light). In both regions the observed value lies inside the calibrated model’s range. The southeast-Missouri panels document the attempt described in this section rather than a result.</w:t>
      </w:r>
    </w:p>
    <w:bookmarkEnd w:id="167"/>
    <w:bookmarkEnd w:id="168"/>
    <w:bookmarkStart w:id="236" w:name="references"/>
    <w:p>
      <w:pPr>
        <w:pStyle w:val="Heading2"/>
      </w:pPr>
      <w:r>
        <w:t xml:space="preserve">References</w:t>
      </w:r>
    </w:p>
    <w:bookmarkStart w:id="235" w:name="refs"/>
    <w:bookmarkStart w:id="169"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69"/>
    <w:bookmarkStart w:id="171"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70">
        <w:r>
          <w:rPr>
            <w:rStyle w:val="Hyperlink"/>
          </w:rPr>
          <w:t xml:space="preserve">https://doi.org/10.1073/pnas.0903232106</w:t>
        </w:r>
      </w:hyperlink>
      <w:r>
        <w:t xml:space="preserve">.</w:t>
      </w:r>
    </w:p>
    <w:bookmarkEnd w:id="171"/>
    <w:bookmarkStart w:id="173"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72">
        <w:r>
          <w:rPr>
            <w:rStyle w:val="Hyperlink"/>
          </w:rPr>
          <w:t xml:space="preserve">https://doi.org/10.1098/rspb.2004.2746</w:t>
        </w:r>
      </w:hyperlink>
      <w:r>
        <w:t xml:space="preserve">.</w:t>
      </w:r>
    </w:p>
    <w:bookmarkEnd w:id="173"/>
    <w:bookmarkStart w:id="175"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74">
        <w:r>
          <w:rPr>
            <w:rStyle w:val="Hyperlink"/>
          </w:rPr>
          <w:t xml:space="preserve">https://doi.org/10.1057/s41599-019-0295-9</w:t>
        </w:r>
      </w:hyperlink>
      <w:r>
        <w:t xml:space="preserve">.</w:t>
      </w:r>
    </w:p>
    <w:bookmarkEnd w:id="175"/>
    <w:bookmarkStart w:id="176"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76"/>
    <w:bookmarkStart w:id="178"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77">
        <w:r>
          <w:rPr>
            <w:rStyle w:val="Hyperlink"/>
          </w:rPr>
          <w:t xml:space="preserve">https://doi.org/10.1016/j.jas.2014.07.014</w:t>
        </w:r>
      </w:hyperlink>
      <w:r>
        <w:t xml:space="preserve">.</w:t>
      </w:r>
    </w:p>
    <w:bookmarkEnd w:id="178"/>
    <w:bookmarkStart w:id="180"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79">
        <w:r>
          <w:rPr>
            <w:rStyle w:val="Hyperlink"/>
          </w:rPr>
          <w:t xml:space="preserve">https://doi.org/10.1038/srep39122</w:t>
        </w:r>
      </w:hyperlink>
      <w:r>
        <w:t xml:space="preserve">.</w:t>
      </w:r>
    </w:p>
    <w:bookmarkEnd w:id="180"/>
    <w:bookmarkStart w:id="182"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81">
        <w:r>
          <w:rPr>
            <w:rStyle w:val="Hyperlink"/>
          </w:rPr>
          <w:t xml:space="preserve">https://doi.org/10.1371/journal.pone.0041010</w:t>
        </w:r>
      </w:hyperlink>
      <w:r>
        <w:t xml:space="preserve">.</w:t>
      </w:r>
    </w:p>
    <w:bookmarkEnd w:id="182"/>
    <w:bookmarkStart w:id="18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83">
        <w:r>
          <w:rPr>
            <w:rStyle w:val="Hyperlink"/>
          </w:rPr>
          <w:t xml:space="preserve">https://doi.org/10.2307/278341</w:t>
        </w:r>
      </w:hyperlink>
      <w:r>
        <w:t xml:space="preserve">.</w:t>
      </w:r>
    </w:p>
    <w:bookmarkEnd w:id="184"/>
    <w:bookmarkStart w:id="185"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85"/>
    <w:bookmarkStart w:id="187"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86">
        <w:r>
          <w:rPr>
            <w:rStyle w:val="Hyperlink"/>
          </w:rPr>
          <w:t xml:space="preserve">https://doi.org/10.1534/genetics.113.158220</w:t>
        </w:r>
      </w:hyperlink>
      <w:r>
        <w:t xml:space="preserve">.</w:t>
      </w:r>
    </w:p>
    <w:bookmarkEnd w:id="187"/>
    <w:bookmarkStart w:id="188"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88"/>
    <w:bookmarkStart w:id="189"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89"/>
    <w:bookmarkStart w:id="191" w:name="ref-haley_2014"/>
    <w:p>
      <w:pPr>
        <w:pStyle w:val="Bibliography"/>
      </w:pPr>
      <w:r>
        <w:t xml:space="preserve">Haley, Bryan S. 2014. The Big Picture at</w:t>
      </w:r>
      <w:r>
        <w:t xml:space="preserve"> </w:t>
      </w:r>
      <w:r>
        <w:t xml:space="preserve">Hollywood</w:t>
      </w:r>
      <w:r>
        <w:t xml:space="preserve">: Geophysical and Archaeological Investigations at a</w:t>
      </w:r>
      <w:r>
        <w:t xml:space="preserve"> </w:t>
      </w:r>
      <w:r>
        <w:t xml:space="preserve">Mississippian</w:t>
      </w:r>
      <w:r>
        <w:t xml:space="preserve"> </w:t>
      </w:r>
      <w:r>
        <w:t xml:space="preserve">Mound Centre.</w:t>
      </w:r>
      <w:r>
        <w:t xml:space="preserve"> </w:t>
      </w:r>
      <w:r>
        <w:rPr>
          <w:i/>
          <w:iCs/>
        </w:rPr>
        <w:t xml:space="preserve">Archaeological Prospection</w:t>
      </w:r>
      <w:r>
        <w:t xml:space="preserve"> </w:t>
      </w:r>
      <w:r>
        <w:t xml:space="preserve">21(1):39–47.</w:t>
      </w:r>
      <w:r>
        <w:t xml:space="preserve"> </w:t>
      </w:r>
      <w:hyperlink r:id="rId190">
        <w:r>
          <w:rPr>
            <w:rStyle w:val="Hyperlink"/>
          </w:rPr>
          <w:t xml:space="preserve">https://doi.org/10.1002/arp.1477</w:t>
        </w:r>
      </w:hyperlink>
      <w:r>
        <w:t xml:space="preserve">.</w:t>
      </w:r>
    </w:p>
    <w:bookmarkEnd w:id="191"/>
    <w:bookmarkStart w:id="193"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92">
        <w:r>
          <w:rPr>
            <w:rStyle w:val="Hyperlink"/>
          </w:rPr>
          <w:t xml:space="preserve">https://doi.org/10.1525/aa.2001.103.4.992</w:t>
        </w:r>
      </w:hyperlink>
      <w:r>
        <w:t xml:space="preserve">.</w:t>
      </w:r>
    </w:p>
    <w:bookmarkEnd w:id="193"/>
    <w:bookmarkStart w:id="194"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94"/>
    <w:bookmarkStart w:id="195"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95"/>
    <w:bookmarkStart w:id="196"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96"/>
    <w:bookmarkStart w:id="19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97">
        <w:r>
          <w:rPr>
            <w:rStyle w:val="Hyperlink"/>
          </w:rPr>
          <w:t xml:space="preserve">https://doi.org/10.1666/05070.1</w:t>
        </w:r>
      </w:hyperlink>
      <w:r>
        <w:t xml:space="preserve">.</w:t>
      </w:r>
    </w:p>
    <w:bookmarkEnd w:id="198"/>
    <w:bookmarkStart w:id="20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99">
        <w:r>
          <w:rPr>
            <w:rStyle w:val="Hyperlink"/>
          </w:rPr>
          <w:t xml:space="preserve">https://doi.org/10.1111/j.1558-5646.2007.00310.x</w:t>
        </w:r>
      </w:hyperlink>
      <w:r>
        <w:t xml:space="preserve">.</w:t>
      </w:r>
    </w:p>
    <w:bookmarkEnd w:id="200"/>
    <w:bookmarkStart w:id="202"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201">
        <w:r>
          <w:rPr>
            <w:rStyle w:val="Hyperlink"/>
          </w:rPr>
          <w:t xml:space="preserve">https://doi.org/10.1016/j.jtbi.2013.03.006</w:t>
        </w:r>
      </w:hyperlink>
      <w:r>
        <w:t xml:space="preserve">.</w:t>
      </w:r>
    </w:p>
    <w:bookmarkEnd w:id="202"/>
    <w:bookmarkStart w:id="204"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03">
        <w:r>
          <w:rPr>
            <w:rStyle w:val="Hyperlink"/>
          </w:rPr>
          <w:t xml:space="preserve">https://doi.org/10.1098/rsif.2015.0905</w:t>
        </w:r>
      </w:hyperlink>
      <w:r>
        <w:t xml:space="preserve">.</w:t>
      </w:r>
    </w:p>
    <w:bookmarkEnd w:id="204"/>
    <w:bookmarkStart w:id="205"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05"/>
    <w:bookmarkStart w:id="207"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06">
        <w:r>
          <w:rPr>
            <w:rStyle w:val="Hyperlink"/>
          </w:rPr>
          <w:t xml:space="preserve">https://doi.org/10.1371/journal.pone.0250690</w:t>
        </w:r>
      </w:hyperlink>
      <w:r>
        <w:t xml:space="preserve">.</w:t>
      </w:r>
    </w:p>
    <w:bookmarkEnd w:id="207"/>
    <w:bookmarkStart w:id="209"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08">
        <w:r>
          <w:rPr>
            <w:rStyle w:val="Hyperlink"/>
          </w:rPr>
          <w:t xml:space="preserve">https://doi.org/10.1371/journal.pone.0124942</w:t>
        </w:r>
      </w:hyperlink>
      <w:r>
        <w:t xml:space="preserve">.</w:t>
      </w:r>
    </w:p>
    <w:bookmarkEnd w:id="209"/>
    <w:bookmarkStart w:id="211"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10">
        <w:r>
          <w:rPr>
            <w:rStyle w:val="Hyperlink"/>
          </w:rPr>
          <w:t xml:space="preserve">https://doi.org/10.1006/jaar.1997.0314</w:t>
        </w:r>
      </w:hyperlink>
      <w:r>
        <w:t xml:space="preserve">.</w:t>
      </w:r>
    </w:p>
    <w:bookmarkEnd w:id="211"/>
    <w:bookmarkStart w:id="212"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212"/>
    <w:bookmarkStart w:id="21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13"/>
    <w:bookmarkStart w:id="214"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14"/>
    <w:bookmarkStart w:id="215"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215"/>
    <w:bookmarkStart w:id="216" w:name="ref-mitchem_2017"/>
    <w:p>
      <w:pPr>
        <w:pStyle w:val="Bibliography"/>
      </w:pPr>
      <w:r>
        <w:t xml:space="preserve">Mitchem, Jeffrey M., David W. Stahle, Timothy S. Mulvihill, and Jami J. Lockhart.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216"/>
    <w:bookmarkStart w:id="218" w:name="ref-nei_1973"/>
    <w:p>
      <w:pPr>
        <w:pStyle w:val="Bibliography"/>
      </w:pPr>
      <w:r>
        <w:t xml:space="preserve">Nei, Masatoshi. 1973. Analysis of Gene Diversity in Subdivided Populations.</w:t>
      </w:r>
      <w:r>
        <w:t xml:space="preserve"> </w:t>
      </w:r>
      <w:r>
        <w:rPr>
          <w:i/>
          <w:iCs/>
        </w:rPr>
        <w:t xml:space="preserve">Proceedings of the National Academy of Sciences</w:t>
      </w:r>
      <w:r>
        <w:t xml:space="preserve"> </w:t>
      </w:r>
      <w:r>
        <w:t xml:space="preserve">70(12):3321–3323.</w:t>
      </w:r>
      <w:r>
        <w:t xml:space="preserve"> </w:t>
      </w:r>
      <w:hyperlink r:id="rId217">
        <w:r>
          <w:rPr>
            <w:rStyle w:val="Hyperlink"/>
          </w:rPr>
          <w:t xml:space="preserve">https://doi.org/10.1073/pnas.70.12.3321</w:t>
        </w:r>
      </w:hyperlink>
      <w:r>
        <w:t xml:space="preserve">.</w:t>
      </w:r>
    </w:p>
    <w:bookmarkEnd w:id="218"/>
    <w:bookmarkStart w:id="219"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19"/>
    <w:bookmarkStart w:id="220"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220"/>
    <w:bookmarkStart w:id="221"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21"/>
    <w:bookmarkStart w:id="223"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22">
        <w:r>
          <w:rPr>
            <w:rStyle w:val="Hyperlink"/>
          </w:rPr>
          <w:t xml:space="preserve">https://doi.org/10.1017/RDC.2020.41</w:t>
        </w:r>
      </w:hyperlink>
      <w:r>
        <w:t xml:space="preserve">.</w:t>
      </w:r>
    </w:p>
    <w:bookmarkEnd w:id="223"/>
    <w:bookmarkStart w:id="224"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224"/>
    <w:bookmarkStart w:id="226"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25">
        <w:r>
          <w:rPr>
            <w:rStyle w:val="Hyperlink"/>
          </w:rPr>
          <w:t xml:space="preserve">https://doi.org/10.1038/nature08227</w:t>
        </w:r>
      </w:hyperlink>
      <w:r>
        <w:t xml:space="preserve">.</w:t>
      </w:r>
    </w:p>
    <w:bookmarkEnd w:id="226"/>
    <w:bookmarkStart w:id="228"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227">
        <w:r>
          <w:rPr>
            <w:rStyle w:val="Hyperlink"/>
          </w:rPr>
          <w:t xml:space="preserve">https://doi.org/10.1016/j.jas.2007.01.003</w:t>
        </w:r>
      </w:hyperlink>
      <w:r>
        <w:t xml:space="preserve">.</w:t>
      </w:r>
    </w:p>
    <w:bookmarkEnd w:id="228"/>
    <w:bookmarkStart w:id="230" w:name="ref-talts_etal_2018"/>
    <w:p>
      <w:pPr>
        <w:pStyle w:val="Bibliography"/>
      </w:pPr>
      <w:r>
        <w:t xml:space="preserve">Talts, Sean, Michael Betancourt, Daniel Simpson, Aki Vehtari, and Andrew Gelman. 2018.</w:t>
      </w:r>
      <w:r>
        <w:t xml:space="preserve"> </w:t>
      </w:r>
      <w:hyperlink r:id="rId229">
        <w:r>
          <w:rPr>
            <w:rStyle w:val="Hyperlink"/>
          </w:rPr>
          <w:t xml:space="preserve">Validating</w:t>
        </w:r>
        <w:r>
          <w:rPr>
            <w:rStyle w:val="Hyperlink"/>
          </w:rPr>
          <w:t xml:space="preserve"> </w:t>
        </w:r>
        <w:r>
          <w:rPr>
            <w:rStyle w:val="Hyperlink"/>
          </w:rPr>
          <w:t xml:space="preserve">Bayesian</w:t>
        </w:r>
        <w:r>
          <w:rPr>
            <w:rStyle w:val="Hyperlink"/>
          </w:rPr>
          <w:t xml:space="preserve"> </w:t>
        </w:r>
        <w:r>
          <w:rPr>
            <w:rStyle w:val="Hyperlink"/>
          </w:rPr>
          <w:t xml:space="preserve">Inference Algorithms with Simulation-Based Calibration</w:t>
        </w:r>
      </w:hyperlink>
      <w:r>
        <w:t xml:space="preserve">. arXiv preprint arXiv:1804.06788.</w:t>
      </w:r>
    </w:p>
    <w:bookmarkEnd w:id="230"/>
    <w:bookmarkStart w:id="231"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231"/>
    <w:bookmarkStart w:id="233"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232">
        <w:r>
          <w:rPr>
            <w:rStyle w:val="Hyperlink"/>
          </w:rPr>
          <w:t xml:space="preserve">https://doi.org/10.1098/rsif.2008.0172</w:t>
        </w:r>
      </w:hyperlink>
      <w:r>
        <w:t xml:space="preserve">.</w:t>
      </w:r>
    </w:p>
    <w:bookmarkEnd w:id="233"/>
    <w:bookmarkStart w:id="234" w:name="ref-williams_1954"/>
    <w:p>
      <w:pPr>
        <w:pStyle w:val="Bibliography"/>
      </w:pPr>
      <w:r>
        <w:t xml:space="preserve">Williams, Stephen. 1954. An Archeological Study of the Mississippian Culture in Southeast Missouri. PhD thesis, Yale University, New Haven.</w:t>
      </w:r>
    </w:p>
    <w:bookmarkEnd w:id="234"/>
    <w:bookmarkEnd w:id="235"/>
    <w:bookmarkEnd w:id="236"/>
    <w:bookmarkEnd w:id="237"/>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45" Target="media/rId145.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hyperlink" Id="rId190" Target="https://doi.org/10.1002/arp.1477" TargetMode="External" /><Relationship Type="http://schemas.openxmlformats.org/officeDocument/2006/relationships/hyperlink" Id="rId210" Target="https://doi.org/10.1006/jaar.1997.0314" TargetMode="External" /><Relationship Type="http://schemas.openxmlformats.org/officeDocument/2006/relationships/hyperlink" Id="rId227" Target="https://doi.org/10.1016/j.jas.2007.01.003" TargetMode="External" /><Relationship Type="http://schemas.openxmlformats.org/officeDocument/2006/relationships/hyperlink" Id="rId177" Target="https://doi.org/10.1016/j.jas.2014.07.014" TargetMode="External" /><Relationship Type="http://schemas.openxmlformats.org/officeDocument/2006/relationships/hyperlink" Id="rId201" Target="https://doi.org/10.1016/j.jtbi.2013.03.006" TargetMode="External" /><Relationship Type="http://schemas.openxmlformats.org/officeDocument/2006/relationships/hyperlink" Id="rId222" Target="https://doi.org/10.1017/RDC.2020.41" TargetMode="External" /><Relationship Type="http://schemas.openxmlformats.org/officeDocument/2006/relationships/hyperlink" Id="rId225" Target="https://doi.org/10.1038/nature08227" TargetMode="External" /><Relationship Type="http://schemas.openxmlformats.org/officeDocument/2006/relationships/hyperlink" Id="rId179" Target="https://doi.org/10.1038/srep39122" TargetMode="External" /><Relationship Type="http://schemas.openxmlformats.org/officeDocument/2006/relationships/hyperlink" Id="rId174" Target="https://doi.org/10.1057/s41599-019-0295-9" TargetMode="External" /><Relationship Type="http://schemas.openxmlformats.org/officeDocument/2006/relationships/hyperlink" Id="rId170" Target="https://doi.org/10.1073/pnas.0903232106" TargetMode="External" /><Relationship Type="http://schemas.openxmlformats.org/officeDocument/2006/relationships/hyperlink" Id="rId217" Target="https://doi.org/10.1073/pnas.70.12.3321" TargetMode="External" /><Relationship Type="http://schemas.openxmlformats.org/officeDocument/2006/relationships/hyperlink" Id="rId232" Target="https://doi.org/10.1098/rsif.2008.0172" TargetMode="External" /><Relationship Type="http://schemas.openxmlformats.org/officeDocument/2006/relationships/hyperlink" Id="rId203" Target="https://doi.org/10.1098/rsif.2015.0905" TargetMode="External" /><Relationship Type="http://schemas.openxmlformats.org/officeDocument/2006/relationships/hyperlink" Id="rId172" Target="https://doi.org/10.1098/rspb.2004.2746" TargetMode="External" /><Relationship Type="http://schemas.openxmlformats.org/officeDocument/2006/relationships/hyperlink" Id="rId199" Target="https://doi.org/10.1111/j.1558-5646.2007.00310.x" TargetMode="External" /><Relationship Type="http://schemas.openxmlformats.org/officeDocument/2006/relationships/hyperlink" Id="rId181" Target="https://doi.org/10.1371/journal.pone.0041010" TargetMode="External" /><Relationship Type="http://schemas.openxmlformats.org/officeDocument/2006/relationships/hyperlink" Id="rId208" Target="https://doi.org/10.1371/journal.pone.0124942" TargetMode="External" /><Relationship Type="http://schemas.openxmlformats.org/officeDocument/2006/relationships/hyperlink" Id="rId206" Target="https://doi.org/10.1371/journal.pone.0250690" TargetMode="External" /><Relationship Type="http://schemas.openxmlformats.org/officeDocument/2006/relationships/hyperlink" Id="rId192" Target="https://doi.org/10.1525/aa.2001.103.4.992" TargetMode="External" /><Relationship Type="http://schemas.openxmlformats.org/officeDocument/2006/relationships/hyperlink" Id="rId186" Target="https://doi.org/10.1534/genetics.113.158220" TargetMode="External" /><Relationship Type="http://schemas.openxmlformats.org/officeDocument/2006/relationships/hyperlink" Id="rId197" Target="https://doi.org/10.1666/05070.1" TargetMode="External" /><Relationship Type="http://schemas.openxmlformats.org/officeDocument/2006/relationships/hyperlink" Id="rId183" Target="https://doi.org/10.2307/278341" TargetMode="External" /><Relationship Type="http://schemas.openxmlformats.org/officeDocument/2006/relationships/hyperlink" Id="rId229" Target="https://doi.org/10.48550/arXiv.1804.06788" TargetMode="External" /></Relationships>
</file>

<file path=word/_rels/footnotes.xml.rels><?xml version="1.0" encoding="UTF-8"?><Relationships xmlns="http://schemas.openxmlformats.org/package/2006/relationships"><Relationship Type="http://schemas.openxmlformats.org/officeDocument/2006/relationships/hyperlink" Id="rId190" Target="https://doi.org/10.1002/arp.1477" TargetMode="External" /><Relationship Type="http://schemas.openxmlformats.org/officeDocument/2006/relationships/hyperlink" Id="rId210" Target="https://doi.org/10.1006/jaar.1997.0314" TargetMode="External" /><Relationship Type="http://schemas.openxmlformats.org/officeDocument/2006/relationships/hyperlink" Id="rId227" Target="https://doi.org/10.1016/j.jas.2007.01.003" TargetMode="External" /><Relationship Type="http://schemas.openxmlformats.org/officeDocument/2006/relationships/hyperlink" Id="rId177" Target="https://doi.org/10.1016/j.jas.2014.07.014" TargetMode="External" /><Relationship Type="http://schemas.openxmlformats.org/officeDocument/2006/relationships/hyperlink" Id="rId201" Target="https://doi.org/10.1016/j.jtbi.2013.03.006" TargetMode="External" /><Relationship Type="http://schemas.openxmlformats.org/officeDocument/2006/relationships/hyperlink" Id="rId222" Target="https://doi.org/10.1017/RDC.2020.41" TargetMode="External" /><Relationship Type="http://schemas.openxmlformats.org/officeDocument/2006/relationships/hyperlink" Id="rId225" Target="https://doi.org/10.1038/nature08227" TargetMode="External" /><Relationship Type="http://schemas.openxmlformats.org/officeDocument/2006/relationships/hyperlink" Id="rId179" Target="https://doi.org/10.1038/srep39122" TargetMode="External" /><Relationship Type="http://schemas.openxmlformats.org/officeDocument/2006/relationships/hyperlink" Id="rId174" Target="https://doi.org/10.1057/s41599-019-0295-9" TargetMode="External" /><Relationship Type="http://schemas.openxmlformats.org/officeDocument/2006/relationships/hyperlink" Id="rId170" Target="https://doi.org/10.1073/pnas.0903232106" TargetMode="External" /><Relationship Type="http://schemas.openxmlformats.org/officeDocument/2006/relationships/hyperlink" Id="rId217" Target="https://doi.org/10.1073/pnas.70.12.3321" TargetMode="External" /><Relationship Type="http://schemas.openxmlformats.org/officeDocument/2006/relationships/hyperlink" Id="rId232" Target="https://doi.org/10.1098/rsif.2008.0172" TargetMode="External" /><Relationship Type="http://schemas.openxmlformats.org/officeDocument/2006/relationships/hyperlink" Id="rId203" Target="https://doi.org/10.1098/rsif.2015.0905" TargetMode="External" /><Relationship Type="http://schemas.openxmlformats.org/officeDocument/2006/relationships/hyperlink" Id="rId172" Target="https://doi.org/10.1098/rspb.2004.2746" TargetMode="External" /><Relationship Type="http://schemas.openxmlformats.org/officeDocument/2006/relationships/hyperlink" Id="rId199" Target="https://doi.org/10.1111/j.1558-5646.2007.00310.x" TargetMode="External" /><Relationship Type="http://schemas.openxmlformats.org/officeDocument/2006/relationships/hyperlink" Id="rId181" Target="https://doi.org/10.1371/journal.pone.0041010" TargetMode="External" /><Relationship Type="http://schemas.openxmlformats.org/officeDocument/2006/relationships/hyperlink" Id="rId208" Target="https://doi.org/10.1371/journal.pone.0124942" TargetMode="External" /><Relationship Type="http://schemas.openxmlformats.org/officeDocument/2006/relationships/hyperlink" Id="rId206" Target="https://doi.org/10.1371/journal.pone.0250690" TargetMode="External" /><Relationship Type="http://schemas.openxmlformats.org/officeDocument/2006/relationships/hyperlink" Id="rId192" Target="https://doi.org/10.1525/aa.2001.103.4.992" TargetMode="External" /><Relationship Type="http://schemas.openxmlformats.org/officeDocument/2006/relationships/hyperlink" Id="rId186" Target="https://doi.org/10.1534/genetics.113.158220" TargetMode="External" /><Relationship Type="http://schemas.openxmlformats.org/officeDocument/2006/relationships/hyperlink" Id="rId197" Target="https://doi.org/10.1666/05070.1" TargetMode="External" /><Relationship Type="http://schemas.openxmlformats.org/officeDocument/2006/relationships/hyperlink" Id="rId183" Target="https://doi.org/10.2307/278341" TargetMode="External" /><Relationship Type="http://schemas.openxmlformats.org/officeDocument/2006/relationships/hyperlink" Id="rId229" Target="https://doi.org/10.48550/arXiv.1804.067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2026-09-24T00:01:36Z</dcterms:created>
  <dcterms:modified xsi:type="dcterms:W3CDTF">2026-09-24T00:01:36Z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