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54.png" ContentType="image/png"/>
  <Override PartName="/word/media/rId157.png" ContentType="image/png"/>
  <Override PartName="/word/media/rId160.png" ContentType="image/png"/>
  <Override PartName="/word/media/rId163.png" ContentType="image/png"/>
  <Override PartName="/word/media/rId166.png" ContentType="image/png"/>
  <Override PartName="/word/media/rId170.png" ContentType="image/png"/>
  <Override PartName="/word/media/rId111.png" ContentType="image/png"/>
  <Override PartName="/word/media/rId119.png" ContentType="image/png"/>
  <Override PartName="/word/media/rId122.png" ContentType="image/png"/>
  <Override PartName="/word/media/rId127.png" ContentType="image/png"/>
  <Override PartName="/word/media/rId138.png" ContentType="image/png"/>
  <Override PartName="/word/media/rId142.png" ContentType="image/png"/>
  <Override PartName="/word/media/rId14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7"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Archaeologists group assemblages into phases and then treat those phases as groups, giving them the qualities of communities or polities. Copying among neighbors produces spatial structure in stylistic frequencies whatever else is happening, so a phase can have the qualities of a group only if its frequencies show properties that spatially structured drift cannot produce. We ask what explains the decorated-type frequencies of the Late Mississippian St. Francis basin in northeastern Arkansas, including the Parkin phase, long read as a polity, and whether any of their variation requires processes beyond drift. Neutral copying on the real site map, tuned to the assemblages’ own diversity, reproduces the differences among assemblages at the scale of the phases, and a spatial model with no groups assigns 99 percent of the variation to location. No boundary develops through the sequence. A small excess appears only at finer scales, in the most thinly sampled clusters rather than around Parkin, and new styles arising locally reproduce it. The phases look like groups because settlement is clustered and similarity fades with distance: the site map alone recovers them, their boundaries fall where the pottery changes least, and simulated pottery sorts into them as readily as real pottery.</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Los arqueólogos agrupan los conjuntos cerámicos en fases y luego tratan esas fases como grupos, atribuyéndoles las cualidades de comunidades o entidades políticas. La copia entre vecinos produce estructura espacial en las frecuencias estilísticas ocurra lo que ocurra, de modo que una fase solo puede tener las cualidades de un grupo si sus frecuencias muestran propiedades que la deriva estructurada espacialmente no puede producir. Preguntamos qué explica las frecuencias de los tipos decorados del Misisipiano tardío en la cuenca del río St. Francis, en el noreste de Arkansas, incluida la fase Parkin, interpretada durante mucho tiempo como una entidad política, y si alguna parte de su variación requiere procesos además de la deriva. La copia neutral sobre el mapa real de sitios, ajustada a la diversidad propia de los conjuntos, reproduce las diferencias entre conjuntos a la escala de las fases, y un modelo espacial sin grupos atribuye el 99 % de la variación a la ubicación. Ninguna frontera se desarrolla a lo largo de la secuencia. Un pequeño exceso aparece solo a escalas más finas, en los agrupamientos con muestras más escasas y no alrededor de Parkin, y la aparición local de nuevos estilos lo reproduce. Las fases parecen grupos porque los asentamientos están agrupados y la semejanza disminuye con la distancia: el mapa de sitios por sí solo las recupera, sus límites caen donde la cerámica cambia menos, y la cerámica simulada se clasifica en ellas con la misma facilidad que la cerámica real.</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divide the late pre-contact record of the Lower Mississippi River Valley into spatially and temporally bounded units known as phases (Figure 1). These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contains the Parkin site, the largest moated and palisaded town in the St. Francis basin of northeastern Arkansas. Reconstructions of the route of the Hernando de Soto expedition identify it as Casqui, the seat of a paramount chief the expedition met in 1541</w:t>
      </w:r>
      <w:r>
        <w:t xml:space="preserve"> </w:t>
      </w:r>
      <w:r>
        <w:t xml:space="preserve">(Hudson et al. 1990; Mitchem et al. 2017; Phyllis A. Morse 1990:125–129)</w:t>
      </w:r>
      <w:r>
        <w:t xml:space="preserve">. Because of its size, fortification, platform mound, and ethnohistoric identification, Parkin is routinely read as the center of a Mississippian polity, following the long-standing expectation that a ranked society leaves a hierarchy of settlement types and sizes with its center at the top</w:t>
      </w:r>
      <w:r>
        <w:t xml:space="preserve"> </w:t>
      </w:r>
      <w:r>
        <w:t xml:space="preserve">(Peebles and Kus 1977:431)</w:t>
      </w:r>
      <w:r>
        <w:t xml:space="preserve">. That reading makes a specific claim: the Parkin phase was a bounded, hierarchically organized society with Parkin at its head.</w:t>
      </w:r>
    </w:p>
    <w:p>
      <w:pPr>
        <w:pStyle w:val="CaptionedFigure"/>
      </w:pPr>
      <w:r>
        <w:drawing>
          <wp:inline>
            <wp:extent cx="4114800" cy="8037789"/>
            <wp:effectExtent b="0" l="0" r="0" t="0"/>
            <wp:docPr descr="Figure 1. Decorated-ceramic assemblages of the lower Mississippi Valley and the culture-historical phase scheme this paper tests. Five of the seven Late Mississippian phases (Parkin, Nodena, Kent, Walls, and Parchman) are drawn as territories; Jones Bayou and Tipton, in western Tennessee, have no assemblage with decorated counts in this study’s matrix and appear only in the legend. Assemblages without a phase assignment are not drawn. Each territory is built by assigning every point on the map to its nearest assemblage and then merging those areas according to the phase Mainfort (1996) assigns each assemblage, with a gap drawn between adjacent territories for legibility. Territories are drawn over the HydroRIVERS river network (Lehner and Grill 2013), with line width scaled by flow order. Markers show each assemblage’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377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Five of the seven Late Mississippian phases (Parkin, Nodena, Kent, Walls, and Parchman) are drawn as territories; Jones Bayou and Tipton, in western Tennessee, have no assemblage with decorated counts in this study’s matrix and appear only in the legend. Assemblages without a phase assignment are not drawn. Each territory is built by assigning every point on the map to its nearest assemblage and then merging those areas according to the phase Mainfort</w:t>
      </w:r>
      <w:r>
        <w:t xml:space="preserve"> </w:t>
      </w:r>
      <w:r>
        <w:t xml:space="preserve">(1996)</w:t>
      </w:r>
      <w:r>
        <w:t xml:space="preserve"> </w:t>
      </w:r>
      <w:r>
        <w:t xml:space="preserve">assigns each assemblage, with a gap drawn between adjacent territories for legibility. Territories are drawn over the HydroRIVERS river network</w:t>
      </w:r>
      <w:r>
        <w:t xml:space="preserve"> </w:t>
      </w:r>
      <w:r>
        <w:t xml:space="preserve">(Lehner and Grill 2013)</w:t>
      </w:r>
      <w:r>
        <w:t xml:space="preserve">, with line width scaled by flow order. Markers show each assemblage’s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w:t>
      </w:r>
    </w:p>
    <w:p>
      <w:pPr>
        <w:pStyle w:val="BodyText"/>
      </w:pPr>
      <w:r>
        <w:t xml:space="preserve">That claim makes the Parkin phase a good place to ask what a phase is. Of all the late Mississippian phases, it has the strongest independent reason to be a real social unit, since a documented paramountcy is said to sit at its center. If phases record bounded societies anywhere, the pattern should be visible here. Settlement form alone cannot settle the matter, because a large center with a palisade and a platform mound is as compatible with competing peer communities as with a consolidated hierarchy</w:t>
      </w:r>
      <w:r>
        <w:t xml:space="preserve"> </w:t>
      </w:r>
      <w:r>
        <w:t xml:space="preserve">(King and Freer 1995; Rees 2001)</w:t>
      </w:r>
      <w:r>
        <w:t xml:space="preserve">. The chronicles are equivocal as well, having been read both as describing rivalry among peers and as describing a ranked order</w:t>
      </w:r>
      <w:r>
        <w:t xml:space="preserve"> </w:t>
      </w:r>
      <w:r>
        <w:t xml:space="preserve">(Hudson et al. 1990; Phyllis A. Morse 1990)</w:t>
      </w:r>
      <w:r>
        <w:t xml:space="preserve">. Within the basin, settlement size is graded rather than stepped, with no single center set above the rest, and the Mill Creek chert hoes whose control would mark an economic apex were made by autonomous workshops at the source and moved largely down the line, with elites at consuming centers gaining at most privileged access</w:t>
      </w:r>
      <w:r>
        <w:t xml:space="preserve"> </w:t>
      </w:r>
      <w:r>
        <w:t xml:space="preserve">(Cobb 2000:75, 154, 198)</w:t>
      </w:r>
      <w:r>
        <w:t xml:space="preserve">.</w:t>
      </w:r>
    </w:p>
    <w:p>
      <w:pPr>
        <w:pStyle w:val="BodyText"/>
      </w:pPr>
      <w:r>
        <w:t xml:space="preserve">The more revealing question is why the phases were taken for societies in the first place. A phase is a culture-history construct: a set of assemblages grouped together because their decorated-class frequencies seriate, meaning they can be placed in one sequence of gradually changing frequencies, and because the sites lie near one another. In the Willey-Phillips framework the phase is</w:t>
      </w:r>
      <w:r>
        <w:t xml:space="preserve"> </w:t>
      </w:r>
      <w:r>
        <w:t xml:space="preserve">“the practicable and intelligible unit”</w:t>
      </w:r>
      <w:r>
        <w:t xml:space="preserve"> </w:t>
      </w:r>
      <w:r>
        <w:t xml:space="preserve">of archaeological study, defined by traits in space and time with no social criterion</w:t>
      </w:r>
      <w:r>
        <w:t xml:space="preserve"> </w:t>
      </w:r>
      <w:r>
        <w:t xml:space="preserve">(Phillips and Willey 1953; Willey and Phillips 1958:22)</w:t>
      </w:r>
      <w:r>
        <w:t xml:space="preserve">, and the lower-valley phases tested here were formulated in that framework by Phillips</w:t>
      </w:r>
      <w:r>
        <w:t xml:space="preserve"> </w:t>
      </w:r>
      <w:r>
        <w:t xml:space="preserve">(1970)</w:t>
      </w:r>
      <w:r>
        <w:t xml:space="preserve">. In practice, however, researchers have treated phases as societies, and the survey phases of the lower valley were built as units</w:t>
      </w:r>
      <w:r>
        <w:t xml:space="preserve"> </w:t>
      </w:r>
      <w:r>
        <w:t xml:space="preserve">“which were also spatial and intended to elucidate sociopolitical boundaries”</w:t>
      </w:r>
      <w:r>
        <w:t xml:space="preserve"> </w:t>
      </w:r>
      <w:r>
        <w:t xml:space="preserve">(Haley 2014)</w:t>
      </w:r>
      <w:r>
        <w:t xml:space="preserve">. Willey and Phillips</w:t>
      </w:r>
      <w:r>
        <w:t xml:space="preserve"> </w:t>
      </w:r>
      <w:r>
        <w:t xml:space="preserve">(1958:48–50)</w:t>
      </w:r>
      <w:r>
        <w:t xml:space="preserve"> </w:t>
      </w:r>
      <w:r>
        <w:t xml:space="preserve">set out the reasoning that equates phase with society, conceded that</w:t>
      </w:r>
      <w:r>
        <w:t xml:space="preserve"> </w:t>
      </w:r>
      <w:r>
        <w:t xml:space="preserve">“in practice it does not work,”</w:t>
      </w:r>
      <w:r>
        <w:t xml:space="preserve"> </w:t>
      </w:r>
      <w:r>
        <w:t xml:space="preserve">and then proposed that archaeologists</w:t>
      </w:r>
      <w:r>
        <w:t xml:space="preserve"> </w:t>
      </w:r>
      <w:r>
        <w:t xml:space="preserve">“may act as if”</w:t>
      </w:r>
      <w:r>
        <w:t xml:space="preserve"> </w:t>
      </w:r>
      <w:r>
        <w:t xml:space="preserve">phases had social reality. Williams, defining the southeast-Missouri phases, wrote that</w:t>
      </w:r>
      <w:r>
        <w:t xml:space="preserve"> </w:t>
      </w:r>
      <w:r>
        <w:t xml:space="preserve">“in most cases, phase probably equals</w:t>
      </w:r>
      <w:r>
        <w:t xml:space="preserve"> </w:t>
      </w:r>
      <w:r>
        <w:t xml:space="preserve">‘society’</w:t>
      </w:r>
      <w:r>
        <w:t xml:space="preserve">”</w:t>
      </w:r>
      <w:r>
        <w:t xml:space="preserve"> </w:t>
      </w:r>
      <w:r>
        <w:t xml:space="preserve">(Williams 1954:25; quoted in Fox 1998:33)</w:t>
      </w:r>
      <w:r>
        <w:t xml:space="preserve">. The premise underneath is rarely stated. It holds that assemblages more similar to one another than to their neighbors record a bounded group of people who interacted mainly with each other. Once such a group is paired with a dominant center, the phase becomes a polity, and the social unit has been assumed before any evidence for it has been weighed</w:t>
      </w:r>
      <w:r>
        <w:t xml:space="preserve"> </w:t>
      </w:r>
      <w:r>
        <w:t xml:space="preserve">(Fox 1998)</w:t>
      </w:r>
      <w:r>
        <w:t xml:space="preserve">.</w:t>
      </w:r>
    </w:p>
    <w:p>
      <w:pPr>
        <w:pStyle w:val="BodyText"/>
      </w:pPr>
      <w:r>
        <w:t xml:space="preserve">The phase concept has been questioned on this ground before. Fox</w:t>
      </w:r>
      <w:r>
        <w:t xml:space="preserve"> </w:t>
      </w:r>
      <w:r>
        <w:t xml:space="preserve">(1998)</w:t>
      </w:r>
      <w:r>
        <w:t xml:space="preserve"> </w:t>
      </w:r>
      <w:r>
        <w:t xml:space="preserve">used cluster analysis and ordination to show that the southeast-Missouri phases fail as both groups and classes, with member assemblages falling into statistical clusters at random rather than by phase. Mainfort</w:t>
      </w:r>
      <w:r>
        <w:t xml:space="preserve"> </w:t>
      </w:r>
      <w:r>
        <w:t xml:space="preserve">(2003)</w:t>
      </w:r>
      <w:r>
        <w:t xml:space="preserve"> </w:t>
      </w:r>
      <w:r>
        <w:t xml:space="preserve">put the same question to very nearly the record we use, ordinating ten decorated types from 39 sites and finding</w:t>
      </w:r>
      <w:r>
        <w:t xml:space="preserve"> </w:t>
      </w:r>
      <w:r>
        <w:t xml:space="preserve">“little evidence for the integrity of the traditional late period phases,”</w:t>
      </w:r>
      <w:r>
        <w:t xml:space="preserve"> </w:t>
      </w:r>
      <w:r>
        <w:t xml:space="preserve">with no clear grouping even though</w:t>
      </w:r>
      <w:r>
        <w:t xml:space="preserve"> </w:t>
      </w:r>
      <w:r>
        <w:t xml:space="preserve">“most sites assigned to most phases are located in the general vicinity of each other in ordination space”</w:t>
      </w:r>
      <w:r>
        <w:t xml:space="preserve"> </w:t>
      </w:r>
      <w:r>
        <w:t xml:space="preserve">(Mainfort 2003:180)</w:t>
      </w:r>
      <w:r>
        <w:t xml:space="preserve">. Lipo</w:t>
      </w:r>
      <w:r>
        <w:t xml:space="preserve"> </w:t>
      </w:r>
      <w:r>
        <w:t xml:space="preserve">(2001)</w:t>
      </w:r>
      <w:r>
        <w:t xml:space="preserve"> </w:t>
      </w:r>
      <w:r>
        <w:t xml:space="preserve">reached a similar view through frequency seriation, suggesting that</w:t>
      </w:r>
      <w:r>
        <w:t xml:space="preserve"> </w:t>
      </w:r>
      <w:r>
        <w:t xml:space="preserve">“the phases themselves might be simply arbitrary spatial and temporal slices of a single interacting population that is much larger in size”</w:t>
      </w:r>
      <w:r>
        <w:t xml:space="preserve"> </w:t>
      </w:r>
      <w:r>
        <w:t xml:space="preserve">(Lipo 2001:60)</w:t>
      </w:r>
      <w:r>
        <w:t xml:space="preserve">. These studies show that the phases do not separate cleanly. None of them explains why the phases looked real to the people who drew them, and an ordination alone cannot, because loosely clustered assemblages are what both bounded groups and unbounded copying across distance would produce.</w:t>
      </w:r>
    </w:p>
    <w:p>
      <w:pPr>
        <w:pStyle w:val="BodyText"/>
      </w:pPr>
      <w:r>
        <w:t xml:space="preserve">That explanation is what this paper sets out to provide. Under the neutral model of cultural transmission, decorative style behaves as a selectively neutral trait whose frequencies change by chance copying in a finite population of learners</w:t>
      </w:r>
      <w:r>
        <w:t xml:space="preserve"> </w:t>
      </w:r>
      <w:r>
        <w:t xml:space="preserve">(Bentley et al. 2004; Dunnell 1978; Eerkens and Lipo 2007; Fogarty et al. 2024; Neiman 1995)</w:t>
      </w:r>
      <w:r>
        <w:t xml:space="preserve">. When potters copy near neighbors more often than distant ones, similarity is highest over short distances and fades with distance. Cut into discrete units, that smooth gradient can look like a set of distinct groups even though no boundary exists anywhere</w:t>
      </w:r>
      <w:r>
        <w:t xml:space="preserve"> </w:t>
      </w:r>
      <w:r>
        <w:t xml:space="preserve">(Lipo et al. 1997, 2021)</w:t>
      </w:r>
      <w:r>
        <w:t xml:space="preserve">. The culture historians were responding to structure that is really in the assemblages. Our question is whether that structure requires bounded social groups or whether distance-limited copying across the settlement pattern produces it on its own</w:t>
      </w:r>
      <w:r>
        <w:t xml:space="preserve"> </w:t>
      </w:r>
      <w:r>
        <w:t xml:space="preserve">(Riede et al. 2019)</w:t>
      </w:r>
      <w:r>
        <w:t xml:space="preserve">.</w:t>
      </w:r>
    </w:p>
    <w:p>
      <w:pPr>
        <w:pStyle w:val="BodyText"/>
      </w:pPr>
      <w:r>
        <w:t xml:space="preserve">The logic of the test follows from that. Copying across space produces spatial structure in stylistic frequencies no matter what else is happening, so spatial structure alone cannot show that a phase was a community or a polity. A phase has the qualities of a group only if its stylistic frequencies carry properties that spatially structured drift cannot produce: differences between phases larger than distance predicts, boundaries where the pottery changes fastest, divergence that grows as interaction narrows, or a center around which the pattern is organized. Our question is therefore twofold. What explains the decorated-type frequencies we observe, and is there any variability that requires a process in addition to drift? Answering the first also explains why the phases looked like groups to the people who drew them. Two requirements shape the answer. A record must first be shown able to detect a boundary before its failure to show one means anything, and a model of copying with no groups must be shown to reproduce the diversity of the real assemblages before it is credited with explaining their differences.</w:t>
      </w:r>
    </w:p>
    <w:p>
      <w:pPr>
        <w:pStyle w:val="BodyText"/>
      </w:pPr>
      <w:r>
        <w:t xml:space="preserve">The late pre-contact St. Francis basin suits the test. Its decorated assemblages are well documented, the decorated classes are the long-established Phillips-Ford-Griffin types, and European contact and the demographic collapse that followed ended the sequence before any later reorganization could overwrite it</w:t>
      </w:r>
      <w:r>
        <w:t xml:space="preserve"> </w:t>
      </w:r>
      <w:r>
        <w:t xml:space="preserve">(Lipo 2001; Morse and Morse 1996)</w:t>
      </w:r>
      <w:r>
        <w:t xml:space="preserve">. Its assemblages are time-averaged surface collections, built up over many years of use and discard. We treat them as the accumulated product of copying across a population, to be measured and explained as they are, rather than as degraded snapshots of a single moment that must be reconstructed</w:t>
      </w:r>
      <w:r>
        <w:t xml:space="preserve"> </w:t>
      </w:r>
      <w:r>
        <w:t xml:space="preserve">(Dunnell 1995a; Holdaway and Wandsnider 2008; Lipo et al. 2015; Neiman 1995; Perreault 2019; Schiffer 1972)</w:t>
      </w:r>
      <w:r>
        <w:t xml:space="preserve">. Their coarse resolution sets what questions they can answer rather than disqualifying them.</w:t>
      </w:r>
    </w:p>
    <w:bookmarkEnd w:id="114"/>
    <w:bookmarkStart w:id="118" w:name="background"/>
    <w:p>
      <w:pPr>
        <w:pStyle w:val="Heading2"/>
      </w:pPr>
      <w:r>
        <w:t xml:space="preserve">Background</w:t>
      </w:r>
    </w:p>
    <w:bookmarkStart w:id="115" w:name="phases-groups-and-gradients"/>
    <w:p>
      <w:pPr>
        <w:pStyle w:val="Heading3"/>
      </w:pPr>
      <w:r>
        <w:t xml:space="preserve">Phases, groups, and gradients</w:t>
      </w:r>
    </w:p>
    <w:p>
      <w:pPr>
        <w:pStyle w:val="FirstParagraph"/>
      </w:pPr>
      <w:r>
        <w:t xml:space="preserve">We approach the phase from the standpoint of population thinking</w:t>
      </w:r>
      <w:r>
        <w:t xml:space="preserve"> </w:t>
      </w:r>
      <w:r>
        <w:t xml:space="preserve">(Mayr 1959)</w:t>
      </w:r>
      <w:r>
        <w:t xml:space="preserve">, which Dunnell</w:t>
      </w:r>
      <w:r>
        <w:t xml:space="preserve"> </w:t>
      </w:r>
      <w:r>
        <w:t xml:space="preserve">(1980)</w:t>
      </w:r>
      <w:r>
        <w:t xml:space="preserve"> </w:t>
      </w:r>
      <w:r>
        <w:t xml:space="preserve">set against typological conceptions of change in archaeology. Archaeologists often treat the past as made of bounded units, the phase, the polity, the society, each with members and edges, and read a cluster of similar assemblages as one such unit. That is typological thinking, in which the type is the real object and variation around it is noise. Population thinking reverses the priority. Variation is the reality, and the type is an abstraction from it. We accordingly treat the transmission of decoration as a continuous field of copying among potters with no built-in boundaries, in which interaction falls off with distance and is more local in some places than in others.</w:t>
      </w:r>
    </w:p>
    <w:p>
      <w:pPr>
        <w:pStyle w:val="BodyText"/>
      </w:pPr>
      <w:r>
        <w:t xml:space="preserve">On this view a social group is not a thing with an edge but a place where copying is more concentrated than distance alone would make it. Potters everywhere interact more with near neighbors than with distant ones, and that tendency alone produces clustering, a pattern known as isolation by distance</w:t>
      </w:r>
      <w:r>
        <w:t xml:space="preserve"> </w:t>
      </w:r>
      <w:r>
        <w:t xml:space="preserve">(Neiman 1995; Shennan et al. 2015; Wright 1943)</w:t>
      </w:r>
      <w:r>
        <w:t xml:space="preserve">. What marks a social group is the excess over that expectation: interaction that narrows further than distance predicts. We call that narrowing</w:t>
      </w:r>
      <w:r>
        <w:t xml:space="preserve"> </w:t>
      </w:r>
      <w:r>
        <w:rPr>
          <w:i/>
          <w:iCs/>
        </w:rPr>
        <w:t xml:space="preserve">closure</w:t>
      </w:r>
      <w:r>
        <w:t xml:space="preserve">. It is a quantity rather than a condition, running from none, where distance fully accounts for who copied whom, up to complete, where groups are sealed off from one another. Neither extreme is expected in a real settlement system. The question for a phase is how much closure the record carries. Every comparison below therefore measures the observed structure against a model run on the real geography of the assemblages, so that whatever is left over is by construction the part geography does not explain.</w:t>
      </w:r>
    </w:p>
    <w:bookmarkEnd w:id="115"/>
    <w:bookmarkStart w:id="116" w:name="why-decorated-ceramics"/>
    <w:p>
      <w:pPr>
        <w:pStyle w:val="Heading3"/>
      </w:pPr>
      <w:r>
        <w:t xml:space="preserve">Why decorated ceramics</w:t>
      </w:r>
    </w:p>
    <w:p>
      <w:pPr>
        <w:pStyle w:val="FirstParagraph"/>
      </w:pPr>
      <w:r>
        <w:t xml:space="preserve">Under the neutral model, stylistic variants behave like selectively neutral alleles whose frequencies are governed by innovation and chance copying</w:t>
      </w:r>
      <w:r>
        <w:t xml:space="preserve"> </w:t>
      </w:r>
      <w:r>
        <w:t xml:space="preserve">(Bentley et al. 2004; Bentley 2008; Dunnell 1978; Eerkens and Lipo 2005; Neiman 1995)</w:t>
      </w:r>
      <w:r>
        <w:t xml:space="preserve">. Assemblages drawn from a single interacting community share one drifting pool of variants, and their decorated-class frequencies form one battleship-curve seriation, an ordering in which each type rises to a single peak and then declines</w:t>
      </w:r>
      <w:r>
        <w:t xml:space="preserve"> </w:t>
      </w:r>
      <w:r>
        <w:t xml:space="preserve">(Dunnell 1995b; Lipo 2001; Lipo et al. 2015; Lipo and Madsen 2001; O’Brien and Leonard 2001)</w:t>
      </w:r>
      <w:r>
        <w:t xml:space="preserve">. If copying becomes restricted within groups, and especially if potters within a group favor whatever is already common among them, each group’s range of variants narrows, the groups diverge, and the single pool breaks apart</w:t>
      </w:r>
      <w:r>
        <w:t xml:space="preserve"> </w:t>
      </w:r>
      <w:r>
        <w:t xml:space="preserve">(Crema et al. 2016; Henrich 2001; Henrich and Boyd 1998)</w:t>
      </w:r>
      <w:r>
        <w:t xml:space="preserve">. Decoration would then act as a marker of group membership rather than as neutral style.</w:t>
      </w:r>
    </w:p>
    <w:p>
      <w:pPr>
        <w:pStyle w:val="BodyText"/>
      </w:pPr>
      <w:r>
        <w:t xml:space="preserve">No single frequency pattern identifies the process that produced it. A departure from neutral copying can reflect conformity, a preference for novelty, a bias toward particular content, or the fact that durable objects rather than people accumulate in a deposit</w:t>
      </w:r>
      <w:r>
        <w:t xml:space="preserve"> </w:t>
      </w:r>
      <w:r>
        <w:t xml:space="preserve">(Crema et al. 2016, 2024; Henrich 2001)</w:t>
      </w:r>
      <w:r>
        <w:t xml:space="preserve">. Time-averaging makes the problem harder, because deposits that accumulate over a use-life inflate richness, flatten evenness, and bias neutrality statistics</w:t>
      </w:r>
      <w:r>
        <w:t xml:space="preserve"> </w:t>
      </w:r>
      <w:r>
        <w:t xml:space="preserve">(Madsen 2012; Premo 2014)</w:t>
      </w:r>
      <w:r>
        <w:t xml:space="preserve">. Several processes can therefore produce the same population-level pattern</w:t>
      </w:r>
      <w:r>
        <w:t xml:space="preserve"> </w:t>
      </w:r>
      <w:r>
        <w:t xml:space="preserve">(Carrignon et al. 2019; Kandler et al. 2017; Mesoudi 2021)</w:t>
      </w:r>
      <w:r>
        <w:t xml:space="preserve">, and where a discriminating signal survives at all it tends to lie in the rarest types</w:t>
      </w:r>
      <w:r>
        <w:t xml:space="preserve"> </w:t>
      </w:r>
      <w:r>
        <w:t xml:space="preserve">(O’Dwyer and Kandler 2017)</w:t>
      </w:r>
      <w:r>
        <w:t xml:space="preserve">. For this reason we do not rely on any one statistic. We compare processes by simulating them on the real geography and asking which one reproduces the record.</w:t>
      </w:r>
    </w:p>
    <w:bookmarkEnd w:id="116"/>
    <w:bookmarkStart w:id="117" w:name="two-readings-of-the-parkin-phase"/>
    <w:p>
      <w:pPr>
        <w:pStyle w:val="Heading3"/>
      </w:pPr>
      <w:r>
        <w:t xml:space="preserve">Two readings of the Parkin phase</w:t>
      </w:r>
    </w:p>
    <w:p>
      <w:pPr>
        <w:pStyle w:val="FirstParagraph"/>
      </w:pPr>
      <w:r>
        <w:t xml:space="preserve">The late pre-contact lower valley supports two readings of the same record. The first holds that the region was moving toward greater political complexity. The Parkin phase (ca. AD 1400 to 1650) is a dense cluster of fortified, moated St. Francis-type towns along the St. Francis and Tyronza rivers, and Parkin dominates it: a palisaded center of about 17 acres with a platform mound more than 6 m high, identified by reconstructions of the De Soto route as the seat of Casqui</w:t>
      </w:r>
      <w:r>
        <w:t xml:space="preserve"> </w:t>
      </w:r>
      <w:r>
        <w:t xml:space="preserve">(Dye and Cox 1990; Mitchem et al. 2017; Morse and Morse 1996:17; Phyllis A. Morse 1990:118–129)</w:t>
      </w:r>
      <w:r>
        <w:t xml:space="preserve">. On this reading, Parkin’s position on agriculturally poor soil implies that it drew tribute from surrounding villages, a hallmark of an emerging chiefly hierarchy</w:t>
      </w:r>
      <w:r>
        <w:t xml:space="preserve"> </w:t>
      </w:r>
      <w:r>
        <w:t xml:space="preserve">(Phyllis A. Morse 1990:123–124)</w:t>
      </w:r>
      <w:r>
        <w:t xml:space="preserve">, part of a political florescence that contact then cut short</w:t>
      </w:r>
      <w:r>
        <w:t xml:space="preserve"> </w:t>
      </w:r>
      <w:r>
        <w:t xml:space="preserve">(Morse and Morse 1996:18)</w:t>
      </w:r>
      <w:r>
        <w:t xml:space="preserve">. The second reading holds that polities in this part of the valley never achieved that kind of regional integration</w:t>
      </w:r>
      <w:r>
        <w:t xml:space="preserve"> </w:t>
      </w:r>
      <w:r>
        <w:t xml:space="preserve">(Rees 2001)</w:t>
      </w:r>
      <w:r>
        <w:t xml:space="preserve">, consistent with models in which Mississippian polities were weakly consolidated, cycling, and short-lived</w:t>
      </w:r>
      <w:r>
        <w:t xml:space="preserve"> </w:t>
      </w:r>
      <w:r>
        <w:t xml:space="preserve">(Anderson 1996; Beck 2003; Blitz 1999; King and Freer 1995)</w:t>
      </w:r>
      <w:r>
        <w:t xml:space="preserve">. In the chronicles, Casqui and its neighbor Pacaha appear in open conflict, as peers would, although the same sources have also been read as ranking Casqui below Pacaha</w:t>
      </w:r>
      <w:r>
        <w:t xml:space="preserve"> </w:t>
      </w:r>
      <w:r>
        <w:t xml:space="preserve">(Hudson et al. 1990; Mitchem 2001; Phyllis A. Morse 1990)</w:t>
      </w:r>
      <w:r>
        <w:t xml:space="preserve">. The first reading predicts that the Parkin phase should show closure; the second does not require it.</w:t>
      </w:r>
    </w:p>
    <w:bookmarkEnd w:id="117"/>
    <w:bookmarkEnd w:id="118"/>
    <w:bookmarkStart w:id="125" w:name="X63a04b856a0e0f0ea4c1ac23e9bd6846a39082a"/>
    <w:p>
      <w:pPr>
        <w:pStyle w:val="Heading2"/>
      </w:pPr>
      <w:r>
        <w:t xml:space="preserve">How a social boundary would show in pottery</w:t>
      </w:r>
    </w:p>
    <w:p>
      <w:pPr>
        <w:pStyle w:val="FirstParagraph"/>
      </w:pPr>
      <w:r>
        <w:t xml:space="preserve">A process that genuinely divides a population into groups should leave its mark on every aspect of how decoration was copied, whereas a process that only resembles it leaves a mark on some aspects and not others. We use four measures, each a different consequence of closure, and state each in plain terms before naming it.</w:t>
      </w:r>
    </w:p>
    <w:p>
      <w:pPr>
        <w:pStyle w:val="BodyText"/>
      </w:pPr>
      <w:r>
        <w:t xml:space="preserve">The first asks whether potters copied at random or with a bias. Under random copying, two independent measures of an assemblage’s diversity agree: one based on the chance that two sherds drawn at random share a class, the other on the number of classes present. Conformity, in which potters favor what is already common, concentrates sherds on a few classes without removing the rare ones, and the two measures come apart</w:t>
      </w:r>
      <w:r>
        <w:t xml:space="preserve"> </w:t>
      </w:r>
      <w:r>
        <w:t xml:space="preserve">(Neiman 1995; Shennan and Wilkinson 2001)</w:t>
      </w:r>
      <w:r>
        <w:t xml:space="preserve">. A group enforcing a shared decorative marker would copy conformist fashion.</w:t>
      </w:r>
    </w:p>
    <w:p>
      <w:pPr>
        <w:pStyle w:val="BodyText"/>
      </w:pPr>
      <w:r>
        <w:t xml:space="preserve">The second asks whether the assemblages belong to one interacting community or to several. It rests on frequency seriation. A set of assemblages is co-seriable when a single ordering makes every decorated class rise to one peak and then decline, which is what one continuously interacting population produces</w:t>
      </w:r>
      <w:r>
        <w:t xml:space="preserve"> </w:t>
      </w:r>
      <w:r>
        <w:t xml:space="preserve">(Dunnell 1970)</w:t>
      </w:r>
      <w:r>
        <w:t xml:space="preserve">. When learning splits into separate groups, no single ordering satisfies them all, and the assemblages break into several incompatible orderings whose number measures how divided past interaction was</w:t>
      </w:r>
      <w:r>
        <w:t xml:space="preserve"> </w:t>
      </w:r>
      <w:r>
        <w:t xml:space="preserve">(Lipo et al. 1997, 2015)</w:t>
      </w:r>
      <w:r>
        <w:t xml:space="preserve">. An assemblage that falls into several orderings links sequences rather than forming the core of a bounded community.</w:t>
      </w:r>
    </w:p>
    <w:p>
      <w:pPr>
        <w:pStyle w:val="BodyText"/>
      </w:pPr>
      <w:r>
        <w:t xml:space="preserve">The third asks how much of the variation in decoration lies between groups rather than within them. Its measure is a cultural version of Wright’s</w:t>
      </w:r>
      <w:r>
        <w:t xml:space="preserve"> </w:t>
      </w:r>
      <m:oMath>
        <m:sSub>
          <m:e>
            <m:r>
              <m:t>F</m:t>
            </m:r>
          </m:e>
          <m:sub>
            <m:r>
              <m:t>S</m:t>
            </m:r>
            <m:r>
              <m:t>T</m:t>
            </m:r>
          </m:sub>
        </m:sSub>
      </m:oMath>
      <w:r>
        <w:t xml:space="preserve"> </w:t>
      </w:r>
      <w:r>
        <w:t xml:space="preserve">(Wright 1951)</w:t>
      </w:r>
      <w:r>
        <w:t xml:space="preserve">, an index of how differentiated groups are from one another</w:t>
      </w:r>
      <w:r>
        <w:t xml:space="preserve"> </w:t>
      </w:r>
      <w:r>
        <w:t xml:space="preserve">(Bell et al. 2009)</w:t>
      </w:r>
      <w:r>
        <w:t xml:space="preserve">. We measure decorated diversity with the Gini-Simpson index, the probability that two sherds drawn at random belong to different classes. Cultural</w:t>
      </w:r>
      <w:r>
        <w:t xml:space="preserve"> </w:t>
      </w:r>
      <m:oMath>
        <m:sSub>
          <m:e>
            <m:r>
              <m:t>F</m:t>
            </m:r>
          </m:e>
          <m:sub>
            <m:r>
              <m:t>S</m:t>
            </m:r>
            <m:r>
              <m:t>T</m:t>
            </m:r>
          </m:sub>
        </m:sSub>
      </m:oMath>
      <w:r>
        <w:t xml:space="preserve"> </w:t>
      </w:r>
      <w:r>
        <w:t xml:space="preserve">is how much more diverse the pooled assemblages are than the average group, as a fraction of the pooled diversity. When all groups draw on one shared pool it sits near zero, and as groups come to favor distinct repertoires it climbs</w:t>
      </w:r>
      <w:r>
        <w:t xml:space="preserve"> </w:t>
      </w:r>
      <w:r>
        <w:t xml:space="preserve">(Neiman 1995)</w:t>
      </w:r>
      <w:r>
        <w:t xml:space="preserve">. One caveat matters throughout. Copying across space produces between-group variation on its own, because small or poorly connected places drift toward depleted, idiosyncratic repertoires</w:t>
      </w:r>
      <w:r>
        <w:t xml:space="preserve"> </w:t>
      </w:r>
      <w:r>
        <w:t xml:space="preserve">(Lipo et al. 2021)</w:t>
      </w:r>
      <w:r>
        <w:t xml:space="preserve">.</w:t>
      </w:r>
      <w:r>
        <w:t xml:space="preserve"> </w:t>
      </w:r>
      <m:oMath>
        <m:sSub>
          <m:e>
            <m:r>
              <m:t>F</m:t>
            </m:r>
          </m:e>
          <m:sub>
            <m:r>
              <m:t>S</m:t>
            </m:r>
            <m:r>
              <m:t>T</m:t>
            </m:r>
          </m:sub>
        </m:sSub>
      </m:oMath>
      <w:r>
        <w:t xml:space="preserve"> </w:t>
      </w:r>
      <w:r>
        <w:t xml:space="preserve">must therefore be judged against what copying with no groups produces on the same geography, not against zero.</w:t>
      </w:r>
    </w:p>
    <w:p>
      <w:pPr>
        <w:pStyle w:val="BodyText"/>
      </w:pPr>
      <w:r>
        <w:t xml:space="preserve">The fourth asks whether assemblages on the same side of a boundary are more alike than assemblages the same distance apart on opposite sides. Similarity normally fades smoothly with distance. A real social boundary adds a step to that fade, which we measure as a boundary excess, the loss of similarity across a boundary beyond what distance predicts. Copying on a finite network can itself produce differentiation that mimics a boundary</w:t>
      </w:r>
      <w:r>
        <w:t xml:space="preserve"> </w:t>
      </w:r>
      <w:r>
        <w:t xml:space="preserve">(Lipo et al. 2021)</w:t>
      </w:r>
      <w:r>
        <w:t xml:space="preserve">, so the excess, too, has to be judged against a model.</w:t>
      </w:r>
    </w:p>
    <w:p>
      <w:pPr>
        <w:pStyle w:val="BodyText"/>
      </w:pPr>
      <w:r>
        <w:t xml:space="preserve">Only a bounded interaction group drives all four measures together (Table 1). Environmental patchiness, in which similar people occupy distinct ecological zones, produces spatial structure without departing from neutral copying or breaking the seriation. Conformity within a single community departs from neutral copying without creating any boundaries. Smooth distance-limited copying produces only a fading of similarity with distance. Copying on a finite network, however, is less tidy than that smooth ideal, because chance divergence among places raises</w:t>
      </w:r>
      <w:r>
        <w:t xml:space="preserve"> </w:t>
      </w:r>
      <m:oMath>
        <m:sSub>
          <m:e>
            <m:r>
              <m:t>F</m:t>
            </m:r>
          </m:e>
          <m:sub>
            <m:r>
              <m:t>S</m:t>
            </m:r>
            <m:r>
              <m:t>T</m:t>
            </m:r>
          </m:sub>
        </m:sSub>
      </m:oMath>
      <w:r>
        <w:t xml:space="preserve"> </w:t>
      </w:r>
      <w:r>
        <w:t xml:space="preserve">and the boundary excess with no social boundary present. That is the difficulty the rest of the paper works around.</w:t>
      </w:r>
    </w:p>
    <w:p>
      <w:pPr>
        <w:pStyle w:val="BodyText"/>
      </w:pPr>
      <w:r>
        <w:rPr>
          <w:b/>
          <w:bCs/>
        </w:rPr>
        <w:t xml:space="preserve">Table 1.</w:t>
      </w:r>
      <w:r>
        <w:t xml:space="preserve"> </w:t>
      </w:r>
      <w:r>
        <w:t xml:space="preserve">What each process does to the four measures, and which measure this record can use. A filled circle (●) marks a measure the process drives and an open circle (○) one it does not. The last column reports the recovery experiment described below, which tests each measure against this record.</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Measure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Conformity in one community</w:t>
            </w:r>
          </w:p>
        </w:tc>
        <w:tc>
          <w:tcPr/>
          <w:p>
            <w:pPr>
              <w:pStyle w:val="Compact"/>
              <w:jc w:val="center"/>
            </w:pPr>
            <w:r>
              <w:t xml:space="preserve">Smooth distance-limited copying</w:t>
            </w:r>
          </w:p>
        </w:tc>
        <w:tc>
          <w:tcPr/>
          <w:p>
            <w:pPr>
              <w:pStyle w:val="Compact"/>
              <w:jc w:val="center"/>
            </w:pPr>
            <w:r>
              <w:t xml:space="preserve">Copying on a finite network</w:t>
            </w:r>
          </w:p>
        </w:tc>
        <w:tc>
          <w:tcPr/>
          <w:p>
            <w:pPr>
              <w:pStyle w:val="Compact"/>
              <w:jc w:val="center"/>
            </w:pPr>
            <w:r>
              <w:t xml:space="preserve">Usable on this record?</w:t>
            </w:r>
          </w:p>
        </w:tc>
      </w:tr>
      <w:tr>
        <w:tc>
          <w:tcPr/>
          <w:p>
            <w:pPr>
              <w:pStyle w:val="Compact"/>
            </w:pPr>
            <w:r>
              <w:t xml:space="preserve">Departure from neutral copying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Breakdown of a single seriation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w:t>
            </w:r>
            <w:r>
              <w:t xml:space="preserve"> </w:t>
            </w:r>
            <m:oMath>
              <m:sSub>
                <m:e>
                  <m:r>
                    <m:t>F</m:t>
                  </m:r>
                </m:e>
                <m:sub>
                  <m:r>
                    <m:t>S</m:t>
                  </m:r>
                  <m:r>
                    <m:t>T</m:t>
                  </m:r>
                </m:sub>
              </m:sSub>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CaptionedFigure"/>
      </w:pPr>
      <w:r>
        <w:drawing>
          <wp:inline>
            <wp:extent cx="5334000" cy="4683019"/>
            <wp:effectExtent b="0" l="0" r="0" t="0"/>
            <wp:docPr descr="Figure 2. 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3 (95 percent interval 0.97 to 0.99), and none of the three other processes was identified at all (95 percent upper bound 0.007). Right panel: the mean absolute correlation among the four measures, about 0.88 under closure and 0.18 to 0.28 under the other processes, so their joint movement is informative rather than redundant." title="" id="120" name="Picture"/>
            <a:graphic>
              <a:graphicData uri="http://schemas.openxmlformats.org/drawingml/2006/picture">
                <pic:pic>
                  <pic:nvPicPr>
                    <pic:cNvPr descr="../../figures/fig2_validation.png" id="121" name="Picture"/>
                    <pic:cNvPicPr>
                      <a:picLocks noChangeArrowheads="1" noChangeAspect="1"/>
                    </pic:cNvPicPr>
                  </pic:nvPicPr>
                  <pic:blipFill>
                    <a:blip r:embed="rId119"/>
                    <a:stretch>
                      <a:fillRect/>
                    </a:stretch>
                  </pic:blipFill>
                  <pic:spPr bwMode="auto">
                    <a:xfrm>
                      <a:off x="0" y="0"/>
                      <a:ext cx="5334000" cy="468301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four measures on idealized data. Trajectories of the four measures along the sequence under each of four simulated processes, using large, clean synthetic assemblages. Only a bounded interaction group drives all four together (starred). Across 500 random seeds the bounded-group case was identified in 493 (95 percent interval 0.97 to 0.99), and none of the three other processes was identified at all (95 percent upper bound 0.007). Right panel: the mean absolute correlation among the four measures, about 0.88 under closure and 0.18 to 0.28 under the other processes, so their joint movement is informative rather than redundant.</w:t>
      </w:r>
    </w:p>
    <w:p>
      <w:pPr>
        <w:pStyle w:val="BodyText"/>
      </w:pPr>
      <w:r>
        <w:t xml:space="preserve">Figure 2 shows these expectations on idealized data, where the four measures separate the processes cleanly. A real record is smaller, noisier, and time-averaged, so a measure that works in principle may fail in practice. We therefore test each measure against synthetic assemblages built to match the Parkin record before using it, and we treat a measure as usable only if it recovers closure that we deliberately put into those synthetic assemblages</w:t>
      </w:r>
      <w:r>
        <w:t xml:space="preserve"> </w:t>
      </w:r>
      <w:r>
        <w:t xml:space="preserve">(Holdaway and Wandsnider 2008; Perreault 2019)</w:t>
      </w:r>
      <w:r>
        <w:t xml:space="preserve">. Figure 3 previews what the test can and cannot distinguish.</w:t>
      </w:r>
    </w:p>
    <w:p>
      <w:pPr>
        <w:pStyle w:val="CaptionedFigure"/>
      </w:pPr>
      <w:r>
        <w:drawing>
          <wp:inline>
            <wp:extent cx="5334000" cy="4404980"/>
            <wp:effectExtent b="0" l="0" r="0" t="0"/>
            <wp:docPr descr="Figure 3. What the test distinguishes, shown with synthetic assemblages matched to the record. Top: the basin assemblages in a two-dimensional map of decorated dissimilarity, in which more similar assemblages sit closer together (points colored by the two spatial clusters that best fit the site layout), as they would appear if the Parkin phase were a bounded interaction group (left, sharp clusters), under copying that fades with distance (center, a continuous gradient), and as observed (right, a diffuse scatter that resembles the gradient). Bottom: the trend of cultural F_{ST} along the sequence recovered from synthetic assemblages as imposed closure rises from 0 (no groups) to 1 (strong groups). The dashed line is the observed trend, a rank correlation of -0.048, not an F_{ST} value; the band around it is the range of -0.80 to +0.40 that a single random subsample returns. The shaded vertical band is the 95 percent credible interval for the closure consistent with that observation (0.00 to 0.37, median 0.15)." title="" id="123" name="Picture"/>
            <a:graphic>
              <a:graphicData uri="http://schemas.openxmlformats.org/drawingml/2006/picture">
                <pic:pic>
                  <pic:nvPicPr>
                    <pic:cNvPr descr="../../figures/fig3_concept.png" id="124" name="Picture"/>
                    <pic:cNvPicPr>
                      <a:picLocks noChangeArrowheads="1" noChangeAspect="1"/>
                    </pic:cNvPicPr>
                  </pic:nvPicPr>
                  <pic:blipFill>
                    <a:blip r:embed="rId122"/>
                    <a:stretch>
                      <a:fillRect/>
                    </a:stretch>
                  </pic:blipFill>
                  <pic:spPr bwMode="auto">
                    <a:xfrm>
                      <a:off x="0" y="0"/>
                      <a:ext cx="5334000" cy="4404980"/>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What the test distinguishes, shown with synthetic assemblages matched to the record. Top: the basin assemblages in a two-dimensional map of decorated dissimilarity, in which more similar assemblages sit closer together (points colored by the two spatial clusters that best fit the site layout), as they would appear if the Parkin phase were a bounded interaction group (left, sharp clusters), under copying that fades with distance (center, a continuous gradient), and as observed (right, a diffuse scatter that resembles the gradient). Bottom: the trend of cultural</w:t>
      </w:r>
      <w:r>
        <w:t xml:space="preserve"> </w:t>
      </w:r>
      <m:oMath>
        <m:sSub>
          <m:e>
            <m:r>
              <m:t>F</m:t>
            </m:r>
          </m:e>
          <m:sub>
            <m:r>
              <m:t>S</m:t>
            </m:r>
            <m:r>
              <m:t>T</m:t>
            </m:r>
          </m:sub>
        </m:sSub>
      </m:oMath>
      <w:r>
        <w:t xml:space="preserve"> </w:t>
      </w:r>
      <w:r>
        <w:t xml:space="preserve">along the sequence recovered from synthetic assemblages as imposed closure rises from 0 (no groups) to 1 (strong groups). The dashed line is the observed trend, a rank correlation of -0.048, not an</w:t>
      </w:r>
      <w:r>
        <w:t xml:space="preserve"> </w:t>
      </w:r>
      <m:oMath>
        <m:sSub>
          <m:e>
            <m:r>
              <m:t>F</m:t>
            </m:r>
          </m:e>
          <m:sub>
            <m:r>
              <m:t>S</m:t>
            </m:r>
            <m:r>
              <m:t>T</m:t>
            </m:r>
          </m:sub>
        </m:sSub>
      </m:oMath>
      <w:r>
        <w:t xml:space="preserve"> </w:t>
      </w:r>
      <w:r>
        <w:t xml:space="preserve">value; the band around it is the range of -0.80 to +0.40 that a single random subsample returns. The shaded vertical band is the 95 percent credible interval for the closure consistent with that observation (0.00 to 0.37, median 0.15).</w:t>
      </w:r>
    </w:p>
    <w:bookmarkEnd w:id="125"/>
    <w:bookmarkStart w:id="136" w:name="materials-and-methods"/>
    <w:p>
      <w:pPr>
        <w:pStyle w:val="Heading2"/>
      </w:pPr>
      <w:r>
        <w:t xml:space="preserve">Materials and methods</w:t>
      </w:r>
    </w:p>
    <w:bookmarkStart w:id="126" w:name="data"/>
    <w:p>
      <w:pPr>
        <w:pStyle w:val="Heading3"/>
      </w:pPr>
      <w:r>
        <w:t xml:space="preserve">Data</w:t>
      </w:r>
    </w:p>
    <w:p>
      <w:pPr>
        <w:pStyle w:val="FirstParagraph"/>
      </w:pPr>
      <w:r>
        <w:t xml:space="preserve">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We use decorated classes only, on theoretical grounds. The neutral model applies to stylistic variation, variants that make no difference to how a pot performs and whose frequencies therefore change through copying and chance</w:t>
      </w:r>
      <w:r>
        <w:t xml:space="preserve"> </w:t>
      </w:r>
      <w:r>
        <w:t xml:space="preserve">(Dunnell 1978; Neiman 1995)</w:t>
      </w:r>
      <w:r>
        <w:t xml:space="preserve">. Plain wares are everything without decoration, and their abundance tracks vessel function, paste, and the activities carried out at a site, none of which a copying model represents. Mississippi Plain and Bell Plain, which differ only in paste, make up 87 percent of the typed sherds in the one published table for the region that reports them</w:t>
      </w:r>
      <w:r>
        <w:t xml:space="preserve"> </w:t>
      </w:r>
      <w:r>
        <w:t xml:space="preserve">(Mainfort 2003)</w:t>
      </w:r>
      <w:r>
        <w:t xml:space="preserve">. Ten decorated classes remain, one pooling Barton Incised, Kent Incised, and Mound Place Incised and one pooling the painted types Old Town Red, Nodena Red and White, and Avenue Polychrome. Each class is a culture-history type, a unit of measurement built by analysts, not a category assumed to have existed in the past.</w:t>
      </w:r>
    </w:p>
    <w:p>
      <w:pPr>
        <w:pStyle w:val="BodyText"/>
      </w:pPr>
      <w:r>
        <w:t xml:space="preserve">Each assemblage takes its counts from a single source, and no counts are summed across sources. Of the 38 assemblages in the matrix, 20 come from Lipo’s compilation, which adds controlled surface collections and limited excavation in 1996 and 1997 at seven sites, six of them recollections of sites the original survey sampled and one, Holden Lake, a new collection</w:t>
      </w:r>
      <w:r>
        <w:t xml:space="preserve"> </w:t>
      </w:r>
      <w:r>
        <w:t xml:space="preserve">(Lipo 2001)</w:t>
      </w:r>
      <w:r>
        <w:t xml:space="preserve">. The other 18 carry the original survey counts alone. Mainfort</w:t>
      </w:r>
      <w:r>
        <w:t xml:space="preserve"> </w:t>
      </w:r>
      <w:r>
        <w:t xml:space="preserve">(2003)</w:t>
      </w:r>
      <w:r>
        <w:t xml:space="preserve"> </w:t>
      </w:r>
      <w:r>
        <w:t xml:space="preserve">compiled a separate table of 39 sites, each with at least 800 sherds, drawn largely from the same survey files. His counts match the survey at 11 of the 21 sites the two tables share and exceed it at the other ten, which reflects the additional sources he lists: reanalyzed C. H. Nash Museum collections for Beck, Belle Meade, and Walls, House’s</w:t>
      </w:r>
      <w:r>
        <w:t xml:space="preserve"> </w:t>
      </w:r>
      <w:r>
        <w:t xml:space="preserve">(1991)</w:t>
      </w:r>
      <w:r>
        <w:t xml:space="preserve"> </w:t>
      </w:r>
      <w:r>
        <w:t xml:space="preserve">counts for the Kent area, and later excavated material for Parkin</w:t>
      </w:r>
      <w:r>
        <w:t xml:space="preserve"> </w:t>
      </w:r>
      <w:r>
        <w:t xml:space="preserve">(Mainfort 2003:182)</w:t>
      </w:r>
      <w:r>
        <w:t xml:space="preserve">. Because his counts are not independent of ours, we never combine them. We use his table only for a second, separate test under his own phase assignments. The wider 266-assemblage compilation of the survey counts</w:t>
      </w:r>
      <w:r>
        <w:t xml:space="preserve"> </w:t>
      </w:r>
      <w:r>
        <w:t xml:space="preserve">(Lipo 2001)</w:t>
      </w:r>
      <w:r>
        <w:t xml:space="preserve"> </w:t>
      </w:r>
      <w:r>
        <w:t xml:space="preserve">enters only regional comparisons and settlement checks.</w:t>
      </w:r>
    </w:p>
    <w:p>
      <w:pPr>
        <w:pStyle w:val="BodyText"/>
      </w:pPr>
      <w:r>
        <w:t xml:space="preserve">The phases are the unit under test, so an assemblage enters the analysis when Mainfort</w:t>
      </w:r>
      <w:r>
        <w:t xml:space="preserve"> </w:t>
      </w:r>
      <w:r>
        <w:t xml:space="preserve">(1996)</w:t>
      </w:r>
      <w:r>
        <w:t xml:space="preserve"> </w:t>
      </w:r>
      <w:r>
        <w:t xml:space="preserve">assigns it to one of the basin’s phases, or when it falls inside the territory his assignments define. Two further rules apply. The Parchman phase is excluded on geography: its three assemblages lie across the Mississippi in Coahoma County, 30 to 46 km from the nearest other assemblage. An assemblage also needs at least 75 decorated sherds. We chose that number by measurement. Sampling alone creates apparent differences between two assemblages drawn from one and the same population of pots. Drawing pairs of samples from the basin’s pooled class profile, so that everything between them is sampling, the spurious</w:t>
      </w:r>
      <w:r>
        <w:t xml:space="preserve"> </w:t>
      </w:r>
      <m:oMath>
        <m:sSub>
          <m:e>
            <m:r>
              <m:t>F</m:t>
            </m:r>
          </m:e>
          <m:sub>
            <m:r>
              <m:t>S</m:t>
            </m:r>
            <m:r>
              <m:t>T</m:t>
            </m:r>
          </m:sub>
        </m:sSub>
      </m:oMath>
      <w:r>
        <w:t xml:space="preserve"> </w:t>
      </w:r>
      <w:r>
        <w:t xml:space="preserve">has a median of about half the observed five-cluster value at 25 sherds, a quarter at 50, a seventh at 75, and a ninth at 100 (Supplemental Text). We measure against the five-cluster value because that is the scale at which the record departs from the copying model, and so the scale at which a sampling artifact could be mistaken for a real difference. At 75 sherds the artifact’s 95th percentile lies well below that value, whereas at 50 it roughly equals it; seventy-five is the smallest sample at which sampling alone could not produce the observed difference. Mainfort’s 800-sherd rule corresponds to about 100 decorated sherds, so ours is slightly more permissive.</w:t>
      </w:r>
    </w:p>
    <w:p>
      <w:pPr>
        <w:pStyle w:val="BodyText"/>
      </w:pPr>
      <w:r>
        <w:t xml:space="preserve">These rules leave 28 assemblages holding 14,101 decorated sherds (median 251 per assemblage, range 79 to 1,709) in three phases: Parkin with 11 assemblages, Kent with 8, and Walls with 9. Twenty-five carry Mainfort’s assignment and three the territory’s. Figure 1 shows seven phases, and the analysis tests three, for three reasons. Jones Bayou and Tipton, in western Tennessee, have decorated counts only in Mainfort’s table. Parchman is excluded on geography. Nodena’s three assemblages hold 47, 38, and 153 decorated sherds, so only one survives the minimum, and a phase of one assemblage has no internal variation to compare. The three phases tested are therefore the ones whose assemblages the survey and our own collections sampled well enough for a between-group measure to mean something. As drawn, they extend beyond the drainage that names them, and the farthest member lies 40.5 km from the St. Francis system.</w:t>
      </w:r>
    </w:p>
    <w:p>
      <w:pPr>
        <w:pStyle w:val="BodyText"/>
      </w:pPr>
      <w:r>
        <w:t xml:space="preserve">We georeferenced each assemblage from the Lower Mississippi Survey site files. Where a location derives from a survey coordinate, we read it in the survey’s original 1927 datum; the correction moves 13 of the 28 assemblages by 209 m and changes no result (Supplemental Text). Settlement attributes, namely site size, mound count and height, and the presence of ditches and St. Francis-type fortification, come from a regional database</w:t>
      </w:r>
      <w:r>
        <w:t xml:space="preserve"> </w:t>
      </w:r>
      <w:r>
        <w:t xml:space="preserve">(Lipo and Dunnell 2007)</w:t>
      </w:r>
      <w:r>
        <w:t xml:space="preserve">.</w:t>
      </w:r>
    </w:p>
    <w:p>
      <w:pPr>
        <w:pStyle w:val="BodyText"/>
      </w:pPr>
      <w:r>
        <w:t xml:space="preserve">Two properties of the data limit what any transmission analysis can claim. The assemblages are time-averaged, so sherds made at different times are counted together, which distorts diversity and neutrality measures in proportion to how long variants remain in use</w:t>
      </w:r>
      <w:r>
        <w:t xml:space="preserve"> </w:t>
      </w:r>
      <w:r>
        <w:t xml:space="preserve">(Madsen 2012; Miller-Atkins and Premo 2018)</w:t>
      </w:r>
      <w:r>
        <w:t xml:space="preserve">. The neutral model also describes people copying one another, whereas an assemblage counts durable objects, so its expectations apply to this record only approximately</w:t>
      </w:r>
      <w:r>
        <w:t xml:space="preserve"> </w:t>
      </w:r>
      <w:r>
        <w:t xml:space="preserve">(Crema et al. 2024)</w:t>
      </w:r>
      <w:r>
        <w:t xml:space="preserve">.</w:t>
      </w:r>
    </w:p>
    <w:bookmarkEnd w:id="126"/>
    <w:bookmarkStart w:id="130" w:name="chronology"/>
    <w:p>
      <w:pPr>
        <w:pStyle w:val="Heading3"/>
      </w:pPr>
      <w:r>
        <w:t xml:space="preserve">Chronology</w:t>
      </w:r>
    </w:p>
    <w:p>
      <w:pPr>
        <w:pStyle w:val="FirstParagraph"/>
      </w:pPr>
      <w:r>
        <w:t xml:space="preserve">Mainfort’s</w:t>
      </w:r>
      <w:r>
        <w:t xml:space="preserve"> </w:t>
      </w:r>
      <w:r>
        <w:t xml:space="preserve">(2001)</w:t>
      </w:r>
      <w:r>
        <w:t xml:space="preserve"> </w:t>
      </w:r>
      <w:r>
        <w:t xml:space="preserve">compilation provides 108 radiocarbon determinations for this part of the valley, 40 of them from seven sites in and near the St. Francis basin and 19 from Parkin itself</w:t>
      </w:r>
      <w:r>
        <w:t xml:space="preserve"> </w:t>
      </w:r>
      <w:r>
        <w:t xml:space="preserve">(House 1993; Mainfort 1996)</w:t>
      </w:r>
      <w:r>
        <w:t xml:space="preserve">. Calibrated against IntCal20</w:t>
      </w:r>
      <w:r>
        <w:t xml:space="preserve"> </w:t>
      </w:r>
      <w:r>
        <w:t xml:space="preserve">(</w:t>
      </w:r>
      <w:r>
        <w:t xml:space="preserve">Reimer et al.</w:t>
      </w:r>
      <w:r>
        <w:t xml:space="preserve"> </w:t>
      </w:r>
      <w:r>
        <w:t xml:space="preserve">2020)</w:t>
      </w:r>
      <w:r>
        <w:t xml:space="preserve">, they place the basin occupation in the fourteenth to sixteenth centuries (summed-probability median AD 1428; Parkin, AD 1483), with a decline across the contact interval (Supplemental Text). A calibration plateau across that interval prevents year-scale resolution</w:t>
      </w:r>
      <w:r>
        <w:t xml:space="preserve"> </w:t>
      </w:r>
      <w:r>
        <w:t xml:space="preserve">(Holland-Lulewicz and Ritchison 2021)</w:t>
      </w:r>
      <w:r>
        <w:t xml:space="preserve">, so we order the assemblages by seriation instead. We use the first axis of a correspondence analysis of the decorated-class frequencies, which arranges assemblages by the similarity of their frequencies, as a relative chronological order (Figure 4)</w:t>
      </w:r>
      <w:r>
        <w:t xml:space="preserve"> </w:t>
      </w:r>
      <w:r>
        <w:t xml:space="preserve">(Baxter 1994; Peeples and Schachner 2012; Smith and Neiman 2007)</w:t>
      </w:r>
      <w:r>
        <w:t xml:space="preserve">. Only four dated proveniences match our assemblages (26 dates pooled), and they cannot establish which end of the axis is later: using pooled calibrated medians, age and position correlate at Spearman 0.40 in magnitude, with Clay Hill out of order, and using one-sigma calibrated midpoints the correlation is zero. The axis also follows geography more closely than time. Its rank correlation with latitude is -0.77, and latitude and longitude together account for 62 percent of its variance; Kent Place and Hollywood, the two earliest dated sites (House 1993 reports an archaeomagnetic date of AD 1345 to 1380 for the Kent floor, and Haley reports calibrated one-sigma ranges of AD 1285 to 1435 for Hollywood), lie at the same end as Clay Hill, the latest</w:t>
      </w:r>
      <w:r>
        <w:t xml:space="preserve"> </w:t>
      </w:r>
      <w:r>
        <w:t xml:space="preserve">(Haley 2014; House 1993:23)</w:t>
      </w:r>
      <w:r>
        <w:t xml:space="preserve">. The first axis is therefore largely a south-to-north gradient in composition, and an order along it is an order in space at least as much as in time. We use it in its computed orientation, report every result that depends on its direction both ways, and treat any trend along it as a trend across the basin rather than through time (Supplemental Text).</w:t>
      </w:r>
    </w:p>
    <w:p>
      <w:pPr>
        <w:pStyle w:val="CaptionedFigure"/>
      </w:pPr>
      <w:r>
        <w:drawing>
          <wp:inline>
            <wp:extent cx="5334000" cy="3639186"/>
            <wp:effectExtent b="0" l="0" r="0" t="0"/>
            <wp:docPr descr="Figure 4. Correspondence-analysis seriation of the 28 decorated assemblages, plotted on the first two dimensions and colored by rank on the first, the relative chronological order (shown in its computed orientation, since the four radiocarbon-dated assemblages do not establish which end is later). Parkin is starred. The assemblages form a continuum rather than discrete clusters, echoing Mainfort’s (2003) independent ordination." title="" id="128" name="Picture"/>
            <a:graphic>
              <a:graphicData uri="http://schemas.openxmlformats.org/drawingml/2006/picture">
                <pic:pic>
                  <pic:nvPicPr>
                    <pic:cNvPr descr="../../figures/fig4_ca_ordination.png" id="129" name="Picture"/>
                    <pic:cNvPicPr>
                      <a:picLocks noChangeArrowheads="1" noChangeAspect="1"/>
                    </pic:cNvPicPr>
                  </pic:nvPicPr>
                  <pic:blipFill>
                    <a:blip r:embed="rId127"/>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Correspondence-analysis seriation of the 28 decorated assemblages, plotted on the first two dimensions and colored by rank on the first, the relative chronological order (shown in its computed orientation, since the four radiocarbon-dated assemblages do not establish which end is later). Parkin is starred. The assemblages form a continuum rather than discrete clusters, echoing Mainfort’s (2003) independent ordination.</w:t>
      </w:r>
    </w:p>
    <w:bookmarkEnd w:id="130"/>
    <w:bookmarkStart w:id="131" w:name="measuring-the-four-signals"/>
    <w:p>
      <w:pPr>
        <w:pStyle w:val="Heading3"/>
      </w:pPr>
      <w:r>
        <w:t xml:space="preserve">Measuring the four signals</w:t>
      </w:r>
    </w:p>
    <w:p>
      <w:pPr>
        <w:pStyle w:val="FirstParagraph"/>
      </w:pPr>
      <w:r>
        <w:t xml:space="preserve">The departure from neutral copying is the ratio of two estimates of Neiman’s</w:t>
      </w:r>
      <w:r>
        <w:t xml:space="preserve"> </w:t>
      </w:r>
      <w:r>
        <w:t xml:space="preserve">(1995)</w:t>
      </w:r>
      <w:r>
        <w:t xml:space="preserve"> </w:t>
      </w:r>
      <w:r>
        <w:t xml:space="preserve">transmission parameter, one from an assemblage’s homozygosity and one from its number of classes through the Ewens sampling formula</w:t>
      </w:r>
      <w:r>
        <w:t xml:space="preserve"> </w:t>
      </w:r>
      <w:r>
        <w:t xml:space="preserve">(Ewens 1972; Shennan and Wilkinson 2001)</w:t>
      </w:r>
      <w:r>
        <w:t xml:space="preserve">. Seriation structure is the number of maximal co-seriable groups returned by the iterative deterministic method of Lipo, Madsen, and Dunnell</w:t>
      </w:r>
      <w:r>
        <w:t xml:space="preserve"> </w:t>
      </w:r>
      <w:r>
        <w:t xml:space="preserve">(2015)</w:t>
      </w:r>
      <w:r>
        <w:t xml:space="preserve">, together with the number of groups each assemblage joins. Cultural</w:t>
      </w:r>
      <w:r>
        <w:t xml:space="preserve"> </w:t>
      </w:r>
      <m:oMath>
        <m:sSub>
          <m:e>
            <m:r>
              <m:t>F</m:t>
            </m:r>
          </m:e>
          <m:sub>
            <m:r>
              <m:t>S</m:t>
            </m:r>
            <m:r>
              <m:t>T</m:t>
            </m:r>
          </m:sub>
        </m:sSub>
      </m:oMath>
      <w:r>
        <w:t xml:space="preserve"> </w:t>
      </w:r>
      <w:r>
        <w:t xml:space="preserve">is computed as a partition of Gini-Simpson diversity across spatial clusters, weighted by assemblage size, which is Nei’s</w:t>
      </w:r>
      <w:r>
        <w:t xml:space="preserve"> </w:t>
      </w:r>
      <w:r>
        <w:t xml:space="preserve">(1973)</w:t>
      </w:r>
      <w:r>
        <w:t xml:space="preserve"> </w:t>
      </w:r>
      <w:r>
        <w:t xml:space="preserve">diversity form of the index that Bell, Richerson, and McElreath</w:t>
      </w:r>
      <w:r>
        <w:t xml:space="preserve"> </w:t>
      </w:r>
      <w:r>
        <w:t xml:space="preserve">(2009)</w:t>
      </w:r>
      <w:r>
        <w:t xml:space="preserve"> </w:t>
      </w:r>
      <w:r>
        <w:t xml:space="preserve">apply to cultural variation. Similarity between assemblages uses the Brainerd-Robinson coefficient</w:t>
      </w:r>
      <w:r>
        <w:t xml:space="preserve"> </w:t>
      </w:r>
      <w:r>
        <w:t xml:space="preserve">(Brainerd 1951; Robinson 1951)</w:t>
      </w:r>
      <w:r>
        <w:t xml:space="preserve">, which runs from 0 for no overlap to 200 for identical proportions, and the boundary excess is the loss of that similarity across a boundary beyond what distance predicts. Full definitions are in the Supplemental Text.</w:t>
      </w:r>
    </w:p>
    <w:p>
      <w:pPr>
        <w:pStyle w:val="BodyText"/>
      </w:pPr>
      <w:r>
        <w:t xml:space="preserve">Spatial clusters are formed by</w:t>
      </w:r>
      <w:r>
        <w:t xml:space="preserve"> </w:t>
      </w:r>
      <w:r>
        <w:rPr>
          <w:i/>
          <w:iCs/>
        </w:rPr>
        <w:t xml:space="preserve">k</w:t>
      </w:r>
      <w:r>
        <w:t xml:space="preserve">-means on the assemblage coordinates. The site layout is best described by two clusters, judged by the silhouette score, which rewards clusters that are compact and well separated. Because cultural</w:t>
      </w:r>
      <w:r>
        <w:t xml:space="preserve"> </w:t>
      </w:r>
      <m:oMath>
        <m:sSub>
          <m:e>
            <m:r>
              <m:t>F</m:t>
            </m:r>
          </m:e>
          <m:sub>
            <m:r>
              <m:t>S</m:t>
            </m:r>
            <m:r>
              <m:t>T</m:t>
            </m:r>
          </m:sub>
        </m:sSub>
      </m:oMath>
      <w:r>
        <w:t xml:space="preserve"> </w:t>
      </w:r>
      <w:r>
        <w:t xml:space="preserve">depends on how many clusters the basin is cut into, we also fit a model that uses no clusters at all. It treats decorated-class composition as a continuous surface over the map, with a separate term for whatever is specific to each site, and asks how much of the variation among assemblages follows location and how much belongs to individual sites. Bounded groups would leave site-specific character that location does not explain.</w:t>
      </w:r>
    </w:p>
    <w:p>
      <w:pPr>
        <w:pStyle w:val="BodyText"/>
      </w:pPr>
      <w:r>
        <w:t xml:space="preserve">Assemblage size rises along the seriation (Spearman +0.61), and several measures are sensitive to sample size, so a measure could move along the sequence through sampling alone. Before scoring any trend we therefore subsample every assemblage, without replacement, to a common 50 sherds, a procedure known as rarefaction</w:t>
      </w:r>
      <w:r>
        <w:t xml:space="preserve"> </w:t>
      </w:r>
      <w:r>
        <w:t xml:space="preserve">(Hurlbert 1971)</w:t>
      </w:r>
      <w:r>
        <w:t xml:space="preserve">.</w:t>
      </w:r>
    </w:p>
    <w:bookmarkEnd w:id="131"/>
    <w:bookmarkStart w:id="132" w:name="neutral-copying-on-the-real-map"/>
    <w:p>
      <w:pPr>
        <w:pStyle w:val="Heading3"/>
      </w:pPr>
      <w:r>
        <w:t xml:space="preserve">Neutral copying on the real map</w:t>
      </w:r>
    </w:p>
    <w:p>
      <w:pPr>
        <w:pStyle w:val="FirstParagraph"/>
      </w:pPr>
      <w:r>
        <w:t xml:space="preserve">The central comparison runs a model of copying with no groups on the real geography of the assemblages and asks whether it reproduces the record. The model follows the finite-population network model of Lipo, DiNapoli, Madsen, and Hunt</w:t>
      </w:r>
      <w:r>
        <w:t xml:space="preserve"> </w:t>
      </w:r>
      <w:r>
        <w:t xml:space="preserve">(2021)</w:t>
      </w:r>
      <w:r>
        <w:t xml:space="preserve">. Each assemblage is a node holding a finite population of learners, who copy decorated classes mostly within their node and occasionally from other nodes, with a probability that falls off with distance along the rivers. New variants enter at a constant rate, and deposition is pooled over a trailing window of eight time steps to reproduce time-averaging. The simulated assemblages are sampled at each real assemblage’s position in the sequence and subsampled to its real sherd count. A second version adds a boundary: every copying link that crosses a cluster boundary is weakened by a factor between 0.5 and 0.03.</w:t>
      </w:r>
    </w:p>
    <w:p>
      <w:pPr>
        <w:pStyle w:val="BodyText"/>
      </w:pPr>
      <w:r>
        <w:t xml:space="preserve">Two design choices matter. The first concerns what a class is. The standard assumption lets new variants fall into any class with equal probability, which treats the ten types as interchangeable. We also run a version in which new variants fall into each class in proportion to its share of the region’s pooled counts, which reflects that the types lump unequal numbers of decorative variants. The second choice is calibration. A copying model’s predictions about differences between groups depend on population size, innovation rate, and mixing rate together, so we first tune those three to reproduce the diversity within the real assemblages: mean within-assemblage diversity, mean number of classes present, and the diversity of all assemblages pooled. None of these involves the groups being tested. We simulate a grid of 297 parameter combinations and call a combination matched when all three summaries fall within 10 percent of the observed values. Each combination is screened at six simulations, and every matched combination is then rerun at fifty to confirm the match. Among the confirmed combinations we use the one that produces the most between-group difference, so the comparison is as favorable to the no-groups model as the grid allows. That combination is run 500 times, and we report where the observed value falls among those runs.</w:t>
      </w:r>
    </w:p>
    <w:bookmarkEnd w:id="132"/>
    <w:bookmarkStart w:id="133" w:name="can-the-record-detect-a-boundary"/>
    <w:p>
      <w:pPr>
        <w:pStyle w:val="Heading3"/>
      </w:pPr>
      <w:r>
        <w:t xml:space="preserve">Can the record detect a boundary?</w:t>
      </w:r>
    </w:p>
    <w:p>
      <w:pPr>
        <w:pStyle w:val="FirstParagraph"/>
      </w:pPr>
      <w:r>
        <w:t xml:space="preserve">We ran two simulation experiments before looking at the real trend. The first used large, clean synthetic assemblages to check that the four measures can separate a bounded group from the three processes that resemble it (Figure 2). Its generator copies decorated variants in proportion to their frequency</w:t>
      </w:r>
      <w:r>
        <w:t xml:space="preserve"> </w:t>
      </w:r>
      <w:r>
        <w:t xml:space="preserve">(Bentley et al. 2004; Neiman 1995)</w:t>
      </w:r>
      <w:r>
        <w:t xml:space="preserve"> </w:t>
      </w:r>
      <w:r>
        <w:t xml:space="preserve">and has three controls: how far group profiles diverge, how strongly potters conform within groups, and how profiles are placed on the landscape</w:t>
      </w:r>
      <w:r>
        <w:t xml:space="preserve"> </w:t>
      </w:r>
      <w:r>
        <w:t xml:space="preserve">(Mesoudi 2021)</w:t>
      </w:r>
      <w:r>
        <w:t xml:space="preserve">.</w:t>
      </w:r>
    </w:p>
    <w:p>
      <w:pPr>
        <w:pStyle w:val="BodyText"/>
      </w:pPr>
      <w:r>
        <w:t xml:space="preserve">The second experiment matched the real record. We built one synthetic assemblage for each real one, at its real sample size, spatial cluster, and position in the sequence, and imposed closure of a known strength</w:t>
      </w:r>
      <w:r>
        <w:t xml:space="preserve"> </w:t>
      </w:r>
      <w:r>
        <w:rPr>
          <w:i/>
          <w:iCs/>
        </w:rPr>
        <w:t xml:space="preserve">s</w:t>
      </w:r>
      <w:r>
        <w:t xml:space="preserve">, from 0 (no groups) to 1 (sharply separated groups), rising along the sequence. We time-averaged the synthetic assemblages by blending neighboring periods, subsampled them exactly as we did the real ones, and asked which measures recovered the imposed closure</w:t>
      </w:r>
      <w:r>
        <w:t xml:space="preserve"> </w:t>
      </w:r>
      <w:r>
        <w:t xml:space="preserve">(Crema et al. 2014; Kandler and Shennan 2015)</w:t>
      </w:r>
      <w:r>
        <w:t xml:space="preserve">. Treating the simulation series as a likelihood then turns the observed trend into a posterior distribution for how much closure the basin could contain, under a uniform prior over</w:t>
      </w:r>
      <w:r>
        <w:t xml:space="preserve"> </w:t>
      </w:r>
      <w:r>
        <w:rPr>
          <w:i/>
          <w:iCs/>
        </w:rPr>
        <w:t xml:space="preserve">s</w:t>
      </w:r>
      <w:r>
        <w:t xml:space="preserve">. This posterior refers to closure that grows along the sequence; a boundary present from the start would not produce a trend, and the comparison in the next section addresses that case.</w:t>
      </w:r>
    </w:p>
    <w:bookmarkEnd w:id="133"/>
    <w:bookmarkStart w:id="134" w:name="where-the-phase-lines-fall"/>
    <w:p>
      <w:pPr>
        <w:pStyle w:val="Heading3"/>
      </w:pPr>
      <w:r>
        <w:t xml:space="preserve">Where the phase lines fall</w:t>
      </w:r>
    </w:p>
    <w:p>
      <w:pPr>
        <w:pStyle w:val="FirstParagraph"/>
      </w:pPr>
      <w:r>
        <w:t xml:space="preserve">Five further tests ask whether the published phase boundaries behave as the edges of groups would. First, we compared the between-group</w:t>
      </w:r>
      <w:r>
        <w:t xml:space="preserve"> </w:t>
      </w:r>
      <m:oMath>
        <m:sSub>
          <m:e>
            <m:r>
              <m:t>F</m:t>
            </m:r>
          </m:e>
          <m:sub>
            <m:r>
              <m:t>S</m:t>
            </m:r>
            <m:r>
              <m:t>T</m:t>
            </m:r>
          </m:sub>
        </m:sSub>
      </m:oMath>
      <w:r>
        <w:t xml:space="preserve"> </w:t>
      </w:r>
      <w:r>
        <w:t xml:space="preserve">under the phase assignments with alternative divisions of the same assemblages into groups of the same sizes (8, 11, and 9), drawn either around randomly placed centers or to be as spatially compact as possible. We state the comparison as the posterior probability that the phase lines separate the pottery better than an alternative, drawing each assemblage’s class proportions from their posterior 2,000 times so that the uncertainty in the counts is carried through. Second, we clustered the assemblages using site coordinates and decorated-class composition together, varying how much weight composition carries, and measured agreement with Mainfort’s assignments with the adjusted Rand index, which is zero on average for unrelated divisions and one for identical ones. Third, we mapped the local rate at which composition changes across the basin and asked whether the phase boundaries fall where it changes fastest. Fourth, we ran the neutral copying model on the real map and clustered its simulated pottery exactly as we clustered the real pottery. Fifth, we asked whether the phase boundaries run through gaps in late-period settlement, using sites independent of the analyzed assemblages.</w:t>
      </w:r>
    </w:p>
    <w:bookmarkEnd w:id="134"/>
    <w:bookmarkStart w:id="135" w:name="settlement-and-exchange"/>
    <w:p>
      <w:pPr>
        <w:pStyle w:val="Heading3"/>
      </w:pPr>
      <w:r>
        <w:t xml:space="preserve">Settlement and exchange</w:t>
      </w:r>
    </w:p>
    <w:p>
      <w:pPr>
        <w:pStyle w:val="FirstParagraph"/>
      </w:pPr>
      <w:r>
        <w:t xml:space="preserve">A polity should also leave traces outside the pottery. We examined the distribution of maximum mound height within the basin, the one attribute recorded the same way at every site, to ask whether site sizes form the hierarchy of settlement types and sizes that Peebles and Kus</w:t>
      </w:r>
      <w:r>
        <w:t xml:space="preserve"> </w:t>
      </w:r>
      <w:r>
        <w:t xml:space="preserve">(1977:431)</w:t>
      </w:r>
      <w:r>
        <w:t xml:space="preserve"> </w:t>
      </w:r>
      <w:r>
        <w:t xml:space="preserve">take as a correlate of ranked society, with a single center set above the rest. For exchange we drew on Cobb’s</w:t>
      </w:r>
      <w:r>
        <w:t xml:space="preserve"> </w:t>
      </w:r>
      <w:r>
        <w:t xml:space="preserve">(2000)</w:t>
      </w:r>
      <w:r>
        <w:t xml:space="preserve"> </w:t>
      </w:r>
      <w:r>
        <w:t xml:space="preserve">analysis of the production and distribution of Mill Creek chert hoes, goods whose control would mark economic centralization.</w:t>
      </w:r>
    </w:p>
    <w:bookmarkEnd w:id="135"/>
    <w:bookmarkEnd w:id="136"/>
    <w:bookmarkStart w:id="174" w:name="results"/>
    <w:p>
      <w:pPr>
        <w:pStyle w:val="Heading2"/>
      </w:pPr>
      <w:r>
        <w:t xml:space="preserve">Results</w:t>
      </w:r>
    </w:p>
    <w:bookmarkStart w:id="137" w:name="what-spatially-structured-drift-explains"/>
    <w:p>
      <w:pPr>
        <w:pStyle w:val="Heading3"/>
      </w:pPr>
      <w:r>
        <w:t xml:space="preserve">What spatially structured drift explains</w:t>
      </w:r>
    </w:p>
    <w:p>
      <w:pPr>
        <w:pStyle w:val="FirstParagraph"/>
      </w:pPr>
      <w:r>
        <w:t xml:space="preserve">Copying across space produces differences among assemblages whatever else is happening, so the first question is how much of the observed variation it accounts for. We answer it with the neutral copying model run on the real map and tuned to the real assemblages. Tuning the model is itself informative. A model that treats the ten classes as interchangeable matches the record’s diversity at only one of the 297 parameter combinations, at the corner of the grid where mixing is highest. The obstacle is the record’s shape: two classes hold 86 percent of all sherds, yet the average assemblage contains six of the ten classes, and copying strong enough to produce that skew removes the rare classes. Letting new variants fall into each class in proportion to its regional share resolves the conflict. Fifty-six combinations then match on the six-run screen, and 49 still match when rerun fifty times (Supplemental Text, Figure S4).</w:t>
      </w:r>
    </w:p>
    <w:p>
      <w:pPr>
        <w:pStyle w:val="BodyText"/>
      </w:pPr>
      <w:r>
        <w:t xml:space="preserve">At the matched combination most favorable to it, copying with no groups produces the observed differences between the basin’s two spatial clusters (Figure S2). The observed between-cluster cultural</w:t>
      </w:r>
      <w:r>
        <w:t xml:space="preserve"> </w:t>
      </w:r>
      <m:oMath>
        <m:sSub>
          <m:e>
            <m:r>
              <m:t>F</m:t>
            </m:r>
          </m:e>
          <m:sub>
            <m:r>
              <m:t>S</m:t>
            </m:r>
            <m:r>
              <m:t>T</m:t>
            </m:r>
          </m:sub>
        </m:sSub>
      </m:oMath>
      <w:r>
        <w:t xml:space="preserve"> </w:t>
      </w:r>
      <w:r>
        <w:t xml:space="preserve">of 0.0062 lies inside the model’s 95 percent range of 0.0003 to 0.0153 (median 0.0026). Sixteen percent of simulated datasets reach the observed value when assemblages are sampled in seriation order, 16 percent in reverse order, and 22 percent when they are treated as contemporaneous. Across all 49 matched combinations, 19 include the observed value within their 95 percent range. The model also reproduces the fading of similarity with distance (observed correlation -0.21 against a simulated range of -0.29 to +0.08).</w:t>
      </w:r>
    </w:p>
    <w:p>
      <w:pPr>
        <w:pStyle w:val="BodyText"/>
      </w:pPr>
      <w:r>
        <w:t xml:space="preserve">A model with no groups also produces the clustered look of the record. When the simulated assemblages are sorted into communities by their similarity, the model returns a single community in 325 of 500 runs and two or more in the rest, so apparent communities arise a third of the time with no boundary anywhere. Where the model returns two or more, the difference between them ranges from 0.008 to 0.043, against an observed 0.039, which 1 of those 175 runs reaches. The number of apparent communities therefore says little; how different they are is the stronger evidence.</w:t>
      </w:r>
    </w:p>
    <w:p>
      <w:pPr>
        <w:pStyle w:val="BodyText"/>
      </w:pPr>
      <w:r>
        <w:t xml:space="preserve">Scored on the published phases themselves rather than on spatial clusters, the model gives the same answer. The between-phase</w:t>
      </w:r>
      <w:r>
        <w:t xml:space="preserve"> </w:t>
      </w:r>
      <m:oMath>
        <m:sSub>
          <m:e>
            <m:r>
              <m:t>F</m:t>
            </m:r>
          </m:e>
          <m:sub>
            <m:r>
              <m:t>S</m:t>
            </m:r>
            <m:r>
              <m:t>T</m:t>
            </m:r>
          </m:sub>
        </m:sSub>
      </m:oMath>
      <w:r>
        <w:t xml:space="preserve"> </w:t>
      </w:r>
      <w:r>
        <w:t xml:space="preserve">of 0.0110 lies inside the range the model produces when its runs are divided along the phase lines, 0.0012 to 0.0164 (median 0.0049, 300 runs), so copying with no groups produces as much difference between the phases as the record shows.</w:t>
      </w:r>
    </w:p>
    <w:p>
      <w:pPr>
        <w:pStyle w:val="BodyText"/>
      </w:pPr>
      <w:r>
        <w:t xml:space="preserve">One measure falls outside what the model produces. Assemblages on the same side of a line are more alike than assemblages the same distance apart across it: the boundary excess is +14.0 at the two spatial clusters, against a simulated range of -9.7 to +8.7, and +10.7 at the phase lines, against -9.2 to +8.0. This excess does not single out the phase lines. With the uncertainty in the counts carried through, the excess at the phase lines (posterior median +9.9, 95 percent credible interval +5.1 to +14.8) is no larger than at divisions of the same sizes drawn around random centers (median +7.4) or made compact (median +5.3), and the probability that it is larger is 0.59 in both cases. Any division of this map shows it. The record’s similarity falls off over short distances more steeply than the model’s does, but the phase lines do not mark a step in it.</w:t>
      </w:r>
    </w:p>
    <w:p>
      <w:pPr>
        <w:pStyle w:val="BodyText"/>
      </w:pPr>
      <w:r>
        <w:t xml:space="preserve">A model of bounded groups does not account for the excess either, even with every advantage. We gave the phases both properties a bounded group would have, copying across phase lines weakened to between half and three percent of its strength and new variants drawn in each phase from a partly reordered version of the regional profile, crossed in 16 combinations of 300 runs each (Supplemental Text). Weakening copying at the phase lines changes the statistics little, because at the calibrated mixing rate copying between sites is already rare, and the data cannot tell a copying boundary from none: the posterior probability of a boundary is 0.68, against a prior of 0.75, and in test runs with a boundary built in it rises only to 0.75 to 0.79. What moves the between-phase</w:t>
      </w:r>
      <w:r>
        <w:t xml:space="preserve"> </w:t>
      </w:r>
      <m:oMath>
        <m:sSub>
          <m:e>
            <m:r>
              <m:t>F</m:t>
            </m:r>
          </m:e>
          <m:sub>
            <m:r>
              <m:t>S</m:t>
            </m:r>
            <m:r>
              <m:t>T</m:t>
            </m:r>
          </m:sub>
        </m:sSub>
      </m:oMath>
      <w:r>
        <w:t xml:space="preserve"> </w:t>
      </w:r>
      <w:r>
        <w:t xml:space="preserve">and the boundary excess is local innovation, with or without a copying boundary. Weakening copying across the two spatial clusters tells the same story, leaving the median</w:t>
      </w:r>
      <w:r>
        <w:t xml:space="preserve"> </w:t>
      </w:r>
      <m:oMath>
        <m:sSub>
          <m:e>
            <m:r>
              <m:t>F</m:t>
            </m:r>
          </m:e>
          <m:sub>
            <m:r>
              <m:t>S</m:t>
            </m:r>
            <m:r>
              <m:t>T</m:t>
            </m:r>
          </m:sub>
        </m:sSub>
      </m:oMath>
      <w:r>
        <w:t xml:space="preserve"> </w:t>
      </w:r>
      <w:r>
        <w:t xml:space="preserve">between 0.0020 and 0.0037 and the observed value reached in 20 to 30 percent of runs, against 23 to 33 percent with no boundary. Groups in the sense the phase concept requires, people who copied mainly one another, are therefore neither required nor excluded by the copying model. The case against the phases as groups rests on the other tests: where the lines fall, what they separate, and what could have drawn them.</w:t>
      </w:r>
    </w:p>
    <w:p>
      <w:pPr>
        <w:pStyle w:val="BodyText"/>
      </w:pPr>
      <w:r>
        <w:t xml:space="preserve">The model with no clusters gives the same answer from a different direction. It assigns 99.6 percent of the variation in composition among assemblages to location (95 percent credible interval 0.972 to 1.000), leaving almost none of the site-specific character that bounded groups would produce. Without containing any groups, it also reproduces the observed between-cluster</w:t>
      </w:r>
      <w:r>
        <w:t xml:space="preserve"> </w:t>
      </w:r>
      <m:oMath>
        <m:sSub>
          <m:e>
            <m:r>
              <m:t>F</m:t>
            </m:r>
          </m:e>
          <m:sub>
            <m:r>
              <m:t>S</m:t>
            </m:r>
            <m:r>
              <m:t>T</m:t>
            </m:r>
          </m:sub>
        </m:sSub>
      </m:oMath>
      <w:r>
        <w:t xml:space="preserve"> </w:t>
      </w:r>
      <w:r>
        <w:t xml:space="preserve">at three clusters, the fading of similarity with distance, and the spread of diversity among assemblages (Supplemental Text).</w:t>
      </w:r>
    </w:p>
    <w:bookmarkEnd w:id="137"/>
    <w:bookmarkStart w:id="141" w:name="Xb5854cf276628e16f42312eac8ef8b0866a2b4a"/>
    <w:p>
      <w:pPr>
        <w:pStyle w:val="Heading3"/>
      </w:pPr>
      <w:r>
        <w:t xml:space="preserve">Could the record show a boundary if there were one?</w:t>
      </w:r>
    </w:p>
    <w:p>
      <w:pPr>
        <w:pStyle w:val="FirstParagraph"/>
      </w:pPr>
      <w:r>
        <w:t xml:space="preserve">Before asking whether any variation requires more than drift, we need to know whether this record could reveal it. On idealized data the four measures behave as designed. When interaction narrows toward closed groups all four rise together, whereas the three other processes each move only some of them. Under closure the four are tightly correlated (mean absolute correlation 0.88), and under the other processes they are nearly independent (0.18 to 0.28), so their joint movement carries information (Figure 2).</w:t>
      </w:r>
    </w:p>
    <w:p>
      <w:pPr>
        <w:pStyle w:val="BodyText"/>
      </w:pPr>
      <w:r>
        <w:t xml:space="preserve">On synthetic assemblages matched to the real record, only one measure survives (Figure 5). Cultural</w:t>
      </w:r>
      <w:r>
        <w:t xml:space="preserve"> </w:t>
      </w:r>
      <m:oMath>
        <m:sSub>
          <m:e>
            <m:r>
              <m:t>F</m:t>
            </m:r>
          </m:e>
          <m:sub>
            <m:r>
              <m:t>S</m:t>
            </m:r>
            <m:r>
              <m:t>T</m:t>
            </m:r>
          </m:sub>
        </m:sSub>
      </m:oMath>
      <w:r>
        <w:t xml:space="preserve"> </w:t>
      </w:r>
      <w:r>
        <w:t xml:space="preserve">rises steadily as imposed closure increases. The departure from neutral copying does not move in one direction as conformity increases, the boundary excess does not respond at all to the two spatial clusters the site layout supports, and the number of seriation groups does not rise as closure predicts. At this record’s size and time-averaging, cultural</w:t>
      </w:r>
      <w:r>
        <w:t xml:space="preserve"> </w:t>
      </w:r>
      <m:oMath>
        <m:sSub>
          <m:e>
            <m:r>
              <m:t>F</m:t>
            </m:r>
          </m:e>
          <m:sub>
            <m:r>
              <m:t>S</m:t>
            </m:r>
            <m:r>
              <m:t>T</m:t>
            </m:r>
          </m:sub>
        </m:sSub>
      </m:oMath>
      <w:r>
        <w:t xml:space="preserve"> </w:t>
      </w:r>
      <w:r>
        <w:t xml:space="preserve">is the only measure that can tell a bounded group from copying across distance. We report the other three for completeness and draw no inference from them.</w:t>
      </w:r>
    </w:p>
    <w:p>
      <w:pPr>
        <w:pStyle w:val="CaptionedFigure"/>
      </w:pPr>
      <w:r>
        <w:drawing>
          <wp:inline>
            <wp:extent cx="5334000" cy="2692949"/>
            <wp:effectExtent b="0" l="0" r="0" t="0"/>
            <wp:docPr descr="Figure 5. 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 F_{ST} tracks the imposed closure steadily. Right: the posterior over closure strength given the observed trend, with and without the record’s time-averaging. The median is 0.15 (interval 0.00 to 0.37) without time-averaging and 0.22 (0.00 to 0.57) with it, and the probability of closure of 0.5 or more is 0.001 and 0.088. The observed trend is a rank correlation of -0.048, averaged over 4,000 subsamples, against a draw-to-draw spread of -0.80 to +0.40." title="" id="139" name="Picture"/>
            <a:graphic>
              <a:graphicData uri="http://schemas.openxmlformats.org/drawingml/2006/picture">
                <pic:pic>
                  <pic:nvPicPr>
                    <pic:cNvPr descr="../../figures/fig5_recovery.png" id="140" name="Picture"/>
                    <pic:cNvPicPr>
                      <a:picLocks noChangeArrowheads="1" noChangeAspect="1"/>
                    </pic:cNvPicPr>
                  </pic:nvPicPr>
                  <pic:blipFill>
                    <a:blip r:embed="rId138"/>
                    <a:stretch>
                      <a:fillRect/>
                    </a:stretch>
                  </pic:blipFill>
                  <pic:spPr bwMode="auto">
                    <a:xfrm>
                      <a:off x="0" y="0"/>
                      <a:ext cx="5334000" cy="2692949"/>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Which measures can detect a boundary on a record like this one. Left: each measure’s response (its rank-correlation trend along the sequence) to closure of known strength imposed on synthetic assemblages built to the real record’s 28 sample sizes, clusters, and sequence positions, subsampled to a common count. Only cultural</w:t>
      </w:r>
      <w:r>
        <w:t xml:space="preserve"> </w:t>
      </w:r>
      <m:oMath>
        <m:sSub>
          <m:e>
            <m:r>
              <m:t>F</m:t>
            </m:r>
          </m:e>
          <m:sub>
            <m:r>
              <m:t>S</m:t>
            </m:r>
            <m:r>
              <m:t>T</m:t>
            </m:r>
          </m:sub>
        </m:sSub>
      </m:oMath>
      <w:r>
        <w:t xml:space="preserve"> </w:t>
      </w:r>
      <w:r>
        <w:t xml:space="preserve">tracks the imposed closure steadily. Right: the posterior over closure strength given the observed trend, with and without the record’s time-averaging. The median is 0.15 (interval 0.00 to 0.37) without time-averaging and 0.22 (0.00 to 0.57) with it, and the probability of closure of 0.5 or more is 0.001 and 0.088. The observed trend is a rank correlation of -0.048, averaged over 4,000 subsamples, against a draw-to-draw spread of -0.80 to +0.40.</w:t>
      </w:r>
    </w:p>
    <w:bookmarkEnd w:id="141"/>
    <w:bookmarkStart w:id="145" w:name="did-interaction-narrow-over-time"/>
    <w:p>
      <w:pPr>
        <w:pStyle w:val="Heading3"/>
      </w:pPr>
      <w:r>
        <w:t xml:space="preserve">Did interaction narrow over time?</w:t>
      </w:r>
    </w:p>
    <w:p>
      <w:pPr>
        <w:pStyle w:val="FirstParagraph"/>
      </w:pPr>
      <w:r>
        <w:t xml:space="preserve">If phases were becoming bounded groups, differences between them should grow as interaction narrows. Along the seriation order they do not (Figure 6), although that order is largely south to north rather than early to late, so this test speaks to change across the basin more than to change through time. The raw trend in cultural</w:t>
      </w:r>
      <w:r>
        <w:t xml:space="preserve"> </w:t>
      </w:r>
      <m:oMath>
        <m:sSub>
          <m:e>
            <m:r>
              <m:t>F</m:t>
            </m:r>
          </m:e>
          <m:sub>
            <m:r>
              <m:t>S</m:t>
            </m:r>
            <m:r>
              <m:t>T</m:t>
            </m:r>
          </m:sub>
        </m:sSub>
      </m:oMath>
      <w:r>
        <w:t xml:space="preserve"> </w:t>
      </w:r>
      <w:r>
        <w:t xml:space="preserve">along the sequence is strongly negative, a rank correlation of -0.80, but that trend is a sampling artifact: assemblage size also rises along the sequence. Once every assemblage is subsampled to a common count, the trend averages -0.048 over 4,000 subsamples, and a single subsample returns anything from -0.80 to +0.40. The record resolves no trend at all. Two of the six periods hold assemblages from a single spatial cluster and carry no between-cluster variance, so the trend rests on four.</w:t>
      </w:r>
    </w:p>
    <w:p>
      <w:pPr>
        <w:pStyle w:val="BodyText"/>
      </w:pPr>
      <w:r>
        <w:t xml:space="preserve">Read against the recovery experiment, a trend this small corresponds to closure with a posterior median of 0.15 and a 95 percent credible interval of 0.00 to 0.37, with a probability of 0.001 on closure of 0.5 or more. Once the record’s time-averaging is built into the simulations, the posterior widens to a median of 0.22 and an interval of 0.00 to 0.57, and 9 percent of it lies at 0.5 or above. Reversing the order, in case its later end is the other one, barely changes this: the median becomes 0.17 (0.00 to 0.39), or 0.25 (0.00 to 0.60) with time-averaging. The record is consistent with no closure and with weak closure. It shows no moderate or strong closure of the kind that would register as growing divergence.</w:t>
      </w:r>
    </w:p>
    <w:p>
      <w:pPr>
        <w:pStyle w:val="CaptionedFigure"/>
      </w:pPr>
      <w:r>
        <w:drawing>
          <wp:inline>
            <wp:extent cx="5334000" cy="3952347"/>
            <wp:effectExtent b="0" l="0" r="0" t="0"/>
            <wp:docPr descr="Figure 6. The four measures along the seriation sequence for the 28 basin assemblages in six periods, after subsampling every assemblage to a common 50 sherds. Two periods hold assemblages from a single spatial cluster and so carry no between-cluster F_{ST}. Cultural F_{ST}, the one usable measure, shows no resolvable trend (rank correlation -0.048 averaged over 4,000 subsamples, against a draw-to-draw spread of -0.80 to +0.40; the raw -0.80 is a sample-size artifact). The other three measures cannot discriminate at this resolution (Figure 5) and are shown for completeness, averaged over 400 subsamples. Each panel is annotated with its rank correlation." title="" id="143" name="Picture"/>
            <a:graphic>
              <a:graphicData uri="http://schemas.openxmlformats.org/drawingml/2006/picture">
                <pic:pic>
                  <pic:nvPicPr>
                    <pic:cNvPr descr="../../figures/fig6_empirical_trajectory.png" id="144" name="Picture"/>
                    <pic:cNvPicPr>
                      <a:picLocks noChangeArrowheads="1" noChangeAspect="1"/>
                    </pic:cNvPicPr>
                  </pic:nvPicPr>
                  <pic:blipFill>
                    <a:blip r:embed="rId142"/>
                    <a:stretch>
                      <a:fillRect/>
                    </a:stretch>
                  </pic:blipFill>
                  <pic:spPr bwMode="auto">
                    <a:xfrm>
                      <a:off x="0" y="0"/>
                      <a:ext cx="5334000" cy="3952347"/>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The four measures along the seriation sequence for the 28 basin assemblages in six periods, after subsampling every assemblage to a common 50 sherds. Two periods hold assemblages from a single spatial cluster and so carry no between-cluster</w:t>
      </w:r>
      <w:r>
        <w:t xml:space="preserve"> </w:t>
      </w:r>
      <m:oMath>
        <m:sSub>
          <m:e>
            <m:r>
              <m:t>F</m:t>
            </m:r>
          </m:e>
          <m:sub>
            <m:r>
              <m:t>S</m:t>
            </m:r>
            <m:r>
              <m:t>T</m:t>
            </m:r>
          </m:sub>
        </m:sSub>
      </m:oMath>
      <w:r>
        <w:t xml:space="preserve">. Cultural</w:t>
      </w:r>
      <w:r>
        <w:t xml:space="preserve"> </w:t>
      </w:r>
      <m:oMath>
        <m:sSub>
          <m:e>
            <m:r>
              <m:t>F</m:t>
            </m:r>
          </m:e>
          <m:sub>
            <m:r>
              <m:t>S</m:t>
            </m:r>
            <m:r>
              <m:t>T</m:t>
            </m:r>
          </m:sub>
        </m:sSub>
      </m:oMath>
      <w:r>
        <w:t xml:space="preserve">, the one usable measure, shows no resolvable trend (rank correlation -0.048 averaged over 4,000 subsamples, against a draw-to-draw spread of -0.80 to +0.40; the raw -0.80 is a sample-size artifact). The other three measures cannot discriminate at this resolution (Figure 5) and are shown for completeness, averaged over 400 subsamples. Each panel is annotated with its rank correlation.</w:t>
      </w:r>
    </w:p>
    <w:p>
      <w:pPr>
        <w:pStyle w:val="BodyText"/>
      </w:pPr>
      <w:r>
        <w:t xml:space="preserve">Three checks in the time domain agree (Supplemental Text). A hierarchical model of the frequency changes of all ten classes finds no population-level departure from unbiased copying (posterior median +0.008, 95 percent credible interval -0.040 to +0.081, where unbiased copying implies zero)</w:t>
      </w:r>
      <w:r>
        <w:t xml:space="preserve"> </w:t>
      </w:r>
      <w:r>
        <w:t xml:space="preserve">(Feder et al. 2014)</w:t>
      </w:r>
      <w:r>
        <w:t xml:space="preserve">. A neutral model whose parameters are drawn from the fitted posterior reproduces the observed diversity in all six periods (Bayesian predictive p 0.885)</w:t>
      </w:r>
      <w:r>
        <w:t xml:space="preserve"> </w:t>
      </w:r>
      <w:r>
        <w:t xml:space="preserve">(Kandler and Shennan 2013)</w:t>
      </w:r>
      <w:r>
        <w:t xml:space="preserve">. Neiman’s distance between assemblages shows no trend toward divergence, and within-assemblage diversity is weakly and negatively related to distance from the other assemblages (posterior median rank correlation -0.14, 95 percent credible interval -0.44 to +0.20), the direction a single shared community produces (Figure S1)</w:t>
      </w:r>
      <w:r>
        <w:t xml:space="preserve"> </w:t>
      </w:r>
      <w:r>
        <w:t xml:space="preserve">(Neiman 1995)</w:t>
      </w:r>
      <w:r>
        <w:t xml:space="preserve">.</w:t>
      </w:r>
    </w:p>
    <w:bookmarkEnd w:id="145"/>
    <w:bookmarkStart w:id="146" w:name="variation-beyond-what-drift-produces"/>
    <w:p>
      <w:pPr>
        <w:pStyle w:val="Heading3"/>
      </w:pPr>
      <w:r>
        <w:t xml:space="preserve">Variation beyond what drift produces</w:t>
      </w:r>
    </w:p>
    <w:p>
      <w:pPr>
        <w:pStyle w:val="FirstParagraph"/>
      </w:pPr>
      <w:r>
        <w:t xml:space="preserve">The comparison above uses the two clusters the site layout supports. Cutting the basin into more pieces isolates smaller neighborhoods, and the observed differences then grow faster than the model’s (Table 2). This is the one place where the frequencies show variation that spatially structured drift, as first modeled, does not produce. The model covers the observed value with two, three, and four clusters, the scales that span the three published phases, and falls short from five clusters on, where each group spans about 10 km or less.</w:t>
      </w:r>
    </w:p>
    <w:p>
      <w:pPr>
        <w:pStyle w:val="BodyText"/>
      </w:pPr>
      <w:r>
        <w:rPr>
          <w:b/>
          <w:bCs/>
        </w:rPr>
        <w:t xml:space="preserve">Table 2.</w:t>
      </w:r>
      <w:r>
        <w:t xml:space="preserve"> </w:t>
      </w:r>
      <w:r>
        <w:t xml:space="preserve">Observed between-cluster cultural</w:t>
      </w:r>
      <w:r>
        <w:t xml:space="preserve"> </w:t>
      </w:r>
      <m:oMath>
        <m:sSub>
          <m:e>
            <m:r>
              <m:t>F</m:t>
            </m:r>
          </m:e>
          <m:sub>
            <m:r>
              <m:t>S</m:t>
            </m:r>
            <m:r>
              <m:t>T</m:t>
            </m:r>
          </m:sub>
        </m:sSub>
      </m:oMath>
      <w:r>
        <w:t xml:space="preserve"> </w:t>
      </w:r>
      <w:r>
        <w:t xml:space="preserve">and the neutral copying model as the basin is divided into more clusters, over 300 simulations at the calibrated combination. Radius is the median distance from an assemblage to its cluster center.</w:t>
      </w:r>
    </w:p>
    <w:tbl>
      <w:tblPr>
        <w:tblStyle w:val="Table"/>
        <w:tblW w:type="pct" w:w="5000"/>
        <w:tblLayout w:type="fixed"/>
        <w:tblLook w:firstRow="1" w:lastRow="0" w:firstColumn="0" w:lastColumn="0" w:noHBand="0" w:noVBand="0" w:val="0020"/>
      </w:tblPr>
      <w:tblGrid>
        <w:gridCol w:w="1320"/>
        <w:gridCol w:w="1320"/>
        <w:gridCol w:w="1320"/>
        <w:gridCol w:w="1320"/>
        <w:gridCol w:w="990"/>
        <w:gridCol w:w="1650"/>
      </w:tblGrid>
      <w:tr>
        <w:trPr>
          <w:tblHeader w:val="on"/>
        </w:trPr>
        <w:tc>
          <w:tcPr/>
          <w:p>
            <w:pPr>
              <w:pStyle w:val="Compact"/>
              <w:jc w:val="right"/>
            </w:pPr>
            <w:r>
              <w:t xml:space="preserve">Clusters</w:t>
            </w:r>
          </w:p>
        </w:tc>
        <w:tc>
          <w:tcPr/>
          <w:p>
            <w:pPr>
              <w:pStyle w:val="Compact"/>
              <w:jc w:val="right"/>
            </w:pPr>
            <w:r>
              <w:t xml:space="preserve">Radius (km)</w:t>
            </w:r>
          </w:p>
        </w:tc>
        <w:tc>
          <w:tcPr/>
          <w:p>
            <w:pPr>
              <w:pStyle w:val="Compact"/>
              <w:jc w:val="right"/>
            </w:pPr>
            <w:r>
              <w:t xml:space="preserve">Observed</w:t>
            </w:r>
          </w:p>
        </w:tc>
        <w:tc>
          <w:tcPr/>
          <w:p>
            <w:pPr>
              <w:pStyle w:val="Compact"/>
              <w:jc w:val="right"/>
            </w:pPr>
            <w:r>
              <w:t xml:space="preserve">Model median</w:t>
            </w:r>
          </w:p>
        </w:tc>
        <w:tc>
          <w:tcPr/>
          <w:p>
            <w:pPr>
              <w:pStyle w:val="Compact"/>
            </w:pPr>
            <w:r>
              <w:t xml:space="preserve">Model 95 percent range</w:t>
            </w:r>
          </w:p>
        </w:tc>
        <w:tc>
          <w:tcPr/>
          <w:p>
            <w:pPr>
              <w:pStyle w:val="Compact"/>
              <w:jc w:val="center"/>
            </w:pPr>
            <w:r>
              <w:t xml:space="preserve">Observed inside?</w:t>
            </w:r>
          </w:p>
        </w:tc>
      </w:tr>
      <w:tr>
        <w:tc>
          <w:tcPr/>
          <w:p>
            <w:pPr>
              <w:pStyle w:val="Compact"/>
              <w:jc w:val="right"/>
            </w:pPr>
            <w:r>
              <w:t xml:space="preserve">2</w:t>
            </w:r>
          </w:p>
        </w:tc>
        <w:tc>
          <w:tcPr/>
          <w:p>
            <w:pPr>
              <w:pStyle w:val="Compact"/>
              <w:jc w:val="right"/>
            </w:pPr>
            <w:r>
              <w:t xml:space="preserve">17.5</w:t>
            </w:r>
          </w:p>
        </w:tc>
        <w:tc>
          <w:tcPr/>
          <w:p>
            <w:pPr>
              <w:pStyle w:val="Compact"/>
              <w:jc w:val="right"/>
            </w:pPr>
            <w:r>
              <w:t xml:space="preserve">0.0062</w:t>
            </w:r>
          </w:p>
        </w:tc>
        <w:tc>
          <w:tcPr/>
          <w:p>
            <w:pPr>
              <w:pStyle w:val="Compact"/>
              <w:jc w:val="right"/>
            </w:pPr>
            <w:r>
              <w:t xml:space="preserve">0.0025</w:t>
            </w:r>
          </w:p>
        </w:tc>
        <w:tc>
          <w:tcPr/>
          <w:p>
            <w:pPr>
              <w:pStyle w:val="Compact"/>
            </w:pPr>
            <w:r>
              <w:t xml:space="preserve">0.0002 to 0.0157</w:t>
            </w:r>
          </w:p>
        </w:tc>
        <w:tc>
          <w:tcPr/>
          <w:p>
            <w:pPr>
              <w:pStyle w:val="Compact"/>
              <w:jc w:val="center"/>
            </w:pPr>
            <w:r>
              <w:t xml:space="preserve">yes</w:t>
            </w:r>
          </w:p>
        </w:tc>
      </w:tr>
      <w:tr>
        <w:tc>
          <w:tcPr/>
          <w:p>
            <w:pPr>
              <w:pStyle w:val="Compact"/>
              <w:jc w:val="right"/>
            </w:pPr>
            <w:r>
              <w:t xml:space="preserve">3</w:t>
            </w:r>
          </w:p>
        </w:tc>
        <w:tc>
          <w:tcPr/>
          <w:p>
            <w:pPr>
              <w:pStyle w:val="Compact"/>
              <w:jc w:val="right"/>
            </w:pPr>
            <w:r>
              <w:t xml:space="preserve">13.7</w:t>
            </w:r>
          </w:p>
        </w:tc>
        <w:tc>
          <w:tcPr/>
          <w:p>
            <w:pPr>
              <w:pStyle w:val="Compact"/>
              <w:jc w:val="right"/>
            </w:pPr>
            <w:r>
              <w:t xml:space="preserve">0.0156</w:t>
            </w:r>
          </w:p>
        </w:tc>
        <w:tc>
          <w:tcPr/>
          <w:p>
            <w:pPr>
              <w:pStyle w:val="Compact"/>
              <w:jc w:val="right"/>
            </w:pPr>
            <w:r>
              <w:t xml:space="preserve">0.0047</w:t>
            </w:r>
          </w:p>
        </w:tc>
        <w:tc>
          <w:tcPr/>
          <w:p>
            <w:pPr>
              <w:pStyle w:val="Compact"/>
            </w:pPr>
            <w:r>
              <w:t xml:space="preserve">0.0011 to 0.0186</w:t>
            </w:r>
          </w:p>
        </w:tc>
        <w:tc>
          <w:tcPr/>
          <w:p>
            <w:pPr>
              <w:pStyle w:val="Compact"/>
              <w:jc w:val="center"/>
            </w:pPr>
            <w:r>
              <w:t xml:space="preserve">yes</w:t>
            </w:r>
          </w:p>
        </w:tc>
      </w:tr>
      <w:tr>
        <w:tc>
          <w:tcPr/>
          <w:p>
            <w:pPr>
              <w:pStyle w:val="Compact"/>
              <w:jc w:val="right"/>
            </w:pPr>
            <w:r>
              <w:t xml:space="preserve">4</w:t>
            </w:r>
          </w:p>
        </w:tc>
        <w:tc>
          <w:tcPr/>
          <w:p>
            <w:pPr>
              <w:pStyle w:val="Compact"/>
              <w:jc w:val="right"/>
            </w:pPr>
            <w:r>
              <w:t xml:space="preserve">11.7</w:t>
            </w:r>
          </w:p>
        </w:tc>
        <w:tc>
          <w:tcPr/>
          <w:p>
            <w:pPr>
              <w:pStyle w:val="Compact"/>
              <w:jc w:val="right"/>
            </w:pPr>
            <w:r>
              <w:t xml:space="preserve">0.0186</w:t>
            </w:r>
          </w:p>
        </w:tc>
        <w:tc>
          <w:tcPr/>
          <w:p>
            <w:pPr>
              <w:pStyle w:val="Compact"/>
              <w:jc w:val="right"/>
            </w:pPr>
            <w:r>
              <w:t xml:space="preserve">0.0057</w:t>
            </w:r>
          </w:p>
        </w:tc>
        <w:tc>
          <w:tcPr/>
          <w:p>
            <w:pPr>
              <w:pStyle w:val="Compact"/>
            </w:pPr>
            <w:r>
              <w:t xml:space="preserve">0.0016 to 0.0210</w:t>
            </w:r>
          </w:p>
        </w:tc>
        <w:tc>
          <w:tcPr/>
          <w:p>
            <w:pPr>
              <w:pStyle w:val="Compact"/>
              <w:jc w:val="center"/>
            </w:pPr>
            <w:r>
              <w:t xml:space="preserve">yes</w:t>
            </w:r>
          </w:p>
        </w:tc>
      </w:tr>
      <w:tr>
        <w:tc>
          <w:tcPr/>
          <w:p>
            <w:pPr>
              <w:pStyle w:val="Compact"/>
              <w:jc w:val="right"/>
            </w:pPr>
            <w:r>
              <w:t xml:space="preserve">5</w:t>
            </w:r>
          </w:p>
        </w:tc>
        <w:tc>
          <w:tcPr/>
          <w:p>
            <w:pPr>
              <w:pStyle w:val="Compact"/>
              <w:jc w:val="right"/>
            </w:pPr>
            <w:r>
              <w:t xml:space="preserve">10.6</w:t>
            </w:r>
          </w:p>
        </w:tc>
        <w:tc>
          <w:tcPr/>
          <w:p>
            <w:pPr>
              <w:pStyle w:val="Compact"/>
              <w:jc w:val="right"/>
            </w:pPr>
            <w:r>
              <w:t xml:space="preserve">0.0307</w:t>
            </w:r>
          </w:p>
        </w:tc>
        <w:tc>
          <w:tcPr/>
          <w:p>
            <w:pPr>
              <w:pStyle w:val="Compact"/>
              <w:jc w:val="right"/>
            </w:pPr>
            <w:r>
              <w:t xml:space="preserve">0.0067</w:t>
            </w:r>
          </w:p>
        </w:tc>
        <w:tc>
          <w:tcPr/>
          <w:p>
            <w:pPr>
              <w:pStyle w:val="Compact"/>
            </w:pPr>
            <w:r>
              <w:t xml:space="preserve">0.0022 to 0.0214</w:t>
            </w:r>
          </w:p>
        </w:tc>
        <w:tc>
          <w:tcPr/>
          <w:p>
            <w:pPr>
              <w:pStyle w:val="Compact"/>
              <w:jc w:val="center"/>
            </w:pPr>
            <w:r>
              <w:t xml:space="preserve">no</w:t>
            </w:r>
          </w:p>
        </w:tc>
      </w:tr>
    </w:tbl>
    <w:p>
      <w:pPr>
        <w:pStyle w:val="BodyText"/>
      </w:pPr>
      <w:r>
        <w:t xml:space="preserve">That finer-scale difference is not spread evenly, and it is not centered on Parkin. Dividing the basin into five clusters and comparing each cluster’s contribution with 300 simulations, the two most thinly sampled clusters, five Kent-phase assemblages around Kent Place holding 765 sherds and five around Walls holding 918, exceed the model 30-fold and 7-fold and together supply 63 percent of the observed statistic. The cluster containing Parkin and nine neighbors, the best sampled in the basin at 6,555 sherds, exceeds it 4-fold, and the two clusters along the Mississippi exceed it 2.3- and 2.2-fold. The excess is not a product of small samples. Redrawing every assemblage from the basin’s pooled profile at its own sherd count gives each cluster a contribution near zero (at most 0.0003). Carrying the uncertainty in the observed counts through leaves the Kent Place cluster 24 to 35 times above the model and the Walls cluster 5 to 8 times, and dropping any one of its assemblages leaves the Kent Place cluster 23 to 30 times above it, so no single collection carries the difference. It does not follow which source the counts came from either (Supplemental Text). At these scales, though, the clusters approach the spacing of the assemblages themselves, a median of 4.3 km to the nearest neighbor, which is as fine as the record can resolve.</w:t>
      </w:r>
    </w:p>
    <w:p>
      <w:pPr>
        <w:pStyle w:val="BodyText"/>
      </w:pPr>
      <w:r>
        <w:t xml:space="preserve">We tested four ways the model could be too simple (Table 3). Unequal site populations raise differentiation about fivefold across the range we tried, but they also lower the average population, which speeds drift everywhere and pulls within-assemblage diversity below what the record shows. Changing how copying falls off with distance, whether along rivers or in a straight line, with exponential, Gaussian, or power-law decay, over lengths from 6 to 96 km, moves the median by no more than a few thousandths while diversity stays matched. Letting deposits accumulate over unequal spans barely moves the statistic. Only one change reproduces the finer-scale difference while keeping diversity matched. When each cluster draws its new variants from a slightly different version of the regional profile, with a fifth of the classes reordered, the median</w:t>
      </w:r>
      <w:r>
        <w:t xml:space="preserve"> </w:t>
      </w:r>
      <m:oMath>
        <m:sSub>
          <m:e>
            <m:r>
              <m:t>F</m:t>
            </m:r>
          </m:e>
          <m:sub>
            <m:r>
              <m:t>S</m:t>
            </m:r>
            <m:r>
              <m:t>T</m:t>
            </m:r>
          </m:sub>
        </m:sSub>
      </m:oMath>
      <w:r>
        <w:t xml:space="preserve"> </w:t>
      </w:r>
      <w:r>
        <w:t xml:space="preserve">is 0.0059 against the observed 0.0062, and diversity stays matched as the reordered share rises to 0.3. This is still neutral copying. Nothing in it restricts who copies whom; it only lets new styles arise locally rather than at the same rates everywhere. Individual simulations under it are very widely spread, with a 95 percent range of 0.0004 to 0.16, so it is consistent with the record rather than demonstrated by it.</w:t>
      </w:r>
    </w:p>
    <w:p>
      <w:pPr>
        <w:pStyle w:val="BodyText"/>
      </w:pPr>
      <w:r>
        <w:rPr>
          <w:b/>
          <w:bCs/>
        </w:rPr>
        <w:t xml:space="preserve">Table 3.</w:t>
      </w:r>
      <w:r>
        <w:t xml:space="preserve"> </w:t>
      </w:r>
      <w:r>
        <w:t xml:space="preserve">Every account of the basin’s decorated-type frequencies tested here, what it predicts, and how it fared. The first row is the baseline that operates whatever else happens. The second is the process that would give phases the qualities of groups. The rest are candidate additional processes for the finer-scale difference the baseline leaves. An account meets the standard only if it reaches the observed between-cluster</w:t>
      </w:r>
      <w:r>
        <w:t xml:space="preserve"> </w:t>
      </w:r>
      <m:oMath>
        <m:sSub>
          <m:e>
            <m:r>
              <m:t>F</m:t>
            </m:r>
          </m:e>
          <m:sub>
            <m:r>
              <m:t>S</m:t>
            </m:r>
            <m:r>
              <m:t>T</m:t>
            </m:r>
          </m:sub>
        </m:sSub>
      </m:oMath>
      <w:r>
        <w:t xml:space="preserve"> </w:t>
      </w:r>
      <w:r>
        <w:t xml:space="preserve">of 0.0062</w:t>
      </w:r>
      <w:r>
        <w:t xml:space="preserve"> </w:t>
      </w:r>
      <w:r>
        <w:rPr>
          <w:i/>
          <w:iCs/>
        </w:rPr>
        <w:t xml:space="preserve">and</w:t>
      </w:r>
      <w:r>
        <w:t xml:space="preserve"> </w:t>
      </w:r>
      <w:r>
        <w:t xml:space="preserve">keeps all three within-assemblage diversity summaries within 10 percent of the observed values. Full grids and diagnostics are in the Supplemental Text.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How tested</w:t>
            </w:r>
          </w:p>
        </w:tc>
        <w:tc>
          <w:tcPr/>
          <w:p>
            <w:pPr>
              <w:pStyle w:val="Compact"/>
            </w:pPr>
            <w:r>
              <w:t xml:space="preserve">Outcome</w:t>
            </w:r>
          </w:p>
        </w:tc>
      </w:tr>
      <w:tr>
        <w:tc>
          <w:tcPr/>
          <w:p>
            <w:pPr>
              <w:pStyle w:val="Compact"/>
            </w:pPr>
            <w:r>
              <w:t xml:space="preserve">Neutral copying across space (baseline)</w:t>
            </w:r>
          </w:p>
        </w:tc>
        <w:tc>
          <w:tcPr/>
          <w:p>
            <w:pPr>
              <w:pStyle w:val="Compact"/>
            </w:pPr>
            <w:r>
              <w:t xml:space="preserve">Differences among assemblages, the fade of similarity with distance, and the phases themselves, with no group anywhere</w:t>
            </w:r>
          </w:p>
        </w:tc>
        <w:tc>
          <w:tcPr/>
          <w:p>
            <w:pPr>
              <w:pStyle w:val="Compact"/>
            </w:pPr>
            <w:r>
              <w:t xml:space="preserve">Neutral copying on the real map, tuned to the assemblages’ diversity (Figure S2)</w:t>
            </w:r>
          </w:p>
        </w:tc>
        <w:tc>
          <w:tcPr/>
          <w:p>
            <w:pPr>
              <w:pStyle w:val="Compact"/>
            </w:pPr>
            <w:r>
              <w:rPr>
                <w:b/>
                <w:bCs/>
              </w:rPr>
              <w:t xml:space="preserve">Explains most of the record.</w:t>
            </w:r>
            <w:r>
              <w:t xml:space="preserve"> </w:t>
            </w:r>
            <w:r>
              <w:t xml:space="preserve">Observed</w:t>
            </w:r>
            <w:r>
              <w:t xml:space="preserve"> </w:t>
            </w:r>
            <m:oMath>
              <m:sSub>
                <m:e>
                  <m:r>
                    <m:t>F</m:t>
                  </m:r>
                </m:e>
                <m:sub>
                  <m:r>
                    <m:t>S</m:t>
                  </m:r>
                  <m:r>
                    <m:t>T</m:t>
                  </m:r>
                </m:sub>
              </m:sSub>
            </m:oMath>
            <w:r>
              <w:t xml:space="preserve"> </w:t>
            </w:r>
            <w:r>
              <w:t xml:space="preserve">inside the model’s range with two to four clusters; simulated pottery sorts into the phases as readily as real pottery; falls short from five clusters on</w:t>
            </w:r>
          </w:p>
        </w:tc>
      </w:tr>
      <w:tr>
        <w:tc>
          <w:tcPr/>
          <w:p>
            <w:pPr>
              <w:pStyle w:val="Compact"/>
            </w:pPr>
            <w:r>
              <w:t xml:space="preserve">Bounded groups, giving phases the qualities of communities or polities</w:t>
            </w:r>
          </w:p>
        </w:tc>
        <w:tc>
          <w:tcPr/>
          <w:p>
            <w:pPr>
              <w:pStyle w:val="Compact"/>
            </w:pPr>
            <w:r>
              <w:t xml:space="preserve">Divergence that grows as interaction narrows; boundaries where the pottery changes; pottery rather than location recovers the phases</w:t>
            </w:r>
          </w:p>
        </w:tc>
        <w:tc>
          <w:tcPr/>
          <w:p>
            <w:pPr>
              <w:pStyle w:val="Compact"/>
            </w:pPr>
            <w:r>
              <w:t xml:space="preserve">Recovery experiment and the observed trend (Figures 5, 6); the phase-line tests reported below</w:t>
            </w:r>
          </w:p>
        </w:tc>
        <w:tc>
          <w:tcPr/>
          <w:p>
            <w:pPr>
              <w:pStyle w:val="Compact"/>
            </w:pPr>
            <w:r>
              <w:rPr>
                <w:b/>
                <w:bCs/>
              </w:rPr>
              <w:t xml:space="preserve">Not supported.</w:t>
            </w:r>
            <w:r>
              <w:t xml:space="preserve"> </w:t>
            </w:r>
            <w:r>
              <w:t xml:space="preserve">No resolvable trend (closure 0.15, 0.00 to 0.37); boundaries fall where pottery changes least; the step in similarity at the phase lines is no larger than at arbitrary divisions; location alone recovers the phases</w:t>
            </w:r>
          </w:p>
        </w:tc>
      </w:tr>
      <w:tr>
        <w:tc>
          <w:tcPr/>
          <w:p>
            <w:pPr>
              <w:pStyle w:val="Compact"/>
            </w:pPr>
            <w:r>
              <w:t xml:space="preserve">Restricted copying across boundaries</w:t>
            </w:r>
          </w:p>
        </w:tc>
        <w:tc>
          <w:tcPr/>
          <w:p>
            <w:pPr>
              <w:pStyle w:val="Compact"/>
            </w:pPr>
            <w:r>
              <w:t xml:space="preserve">Higher between-group</w:t>
            </w:r>
            <w:r>
              <w:t xml:space="preserve"> </w:t>
            </w:r>
            <m:oMath>
              <m:sSub>
                <m:e>
                  <m:r>
                    <m:t>F</m:t>
                  </m:r>
                </m:e>
                <m:sub>
                  <m:r>
                    <m:t>S</m:t>
                  </m:r>
                  <m:r>
                    <m:t>T</m:t>
                  </m:r>
                </m:sub>
              </m:sSub>
            </m:oMath>
            <w:r>
              <w:t xml:space="preserve"> </w:t>
            </w:r>
            <w:r>
              <w:t xml:space="preserve">and a step in similarity at the lines</w:t>
            </w:r>
          </w:p>
        </w:tc>
        <w:tc>
          <w:tcPr/>
          <w:p>
            <w:pPr>
              <w:pStyle w:val="Compact"/>
            </w:pPr>
            <w:r>
              <w:t xml:space="preserve">Copying across phase lines weakened to 0.5, 0.1, and 0.03 of its strength, crossed with local innovation (16 combinations, 300 runs each); the same weakening across the spatial clusters</w:t>
            </w:r>
          </w:p>
        </w:tc>
        <w:tc>
          <w:tcPr/>
          <w:p>
            <w:pPr>
              <w:pStyle w:val="Compact"/>
            </w:pPr>
            <w:r>
              <w:rPr>
                <w:b/>
                <w:bCs/>
              </w:rPr>
              <w:t xml:space="preserve">Not identifiable.</w:t>
            </w:r>
            <w:r>
              <w:t xml:space="preserve"> </w:t>
            </w:r>
            <w:r>
              <w:t xml:space="preserve">At the calibrated mixing rate a copying boundary changes the statistics little; its posterior is 0.68 against a prior of 0.75, and 0.75 to 0.79 when one is built in</w:t>
            </w:r>
          </w:p>
        </w:tc>
      </w:tr>
      <w:tr>
        <w:tc>
          <w:tcPr/>
          <w:p>
            <w:pPr>
              <w:pStyle w:val="Compact"/>
            </w:pPr>
            <w:r>
              <w:t xml:space="preserve">Unequal site populations</w:t>
            </w:r>
          </w:p>
        </w:tc>
        <w:tc>
          <w:tcPr/>
          <w:p>
            <w:pPr>
              <w:pStyle w:val="Compact"/>
            </w:pPr>
            <w:r>
              <w:t xml:space="preserve">Small settlements drift faster, raising differentiation</w:t>
            </w:r>
          </w:p>
        </w:tc>
        <w:tc>
          <w:tcPr/>
          <w:p>
            <w:pPr>
              <w:pStyle w:val="Compact"/>
            </w:pPr>
            <w:r>
              <w:t xml:space="preserve">Populations varied with a coefficient of variation of 0 to 3, against the 0.9 to 1.8 implied by mound height</w:t>
            </w:r>
          </w:p>
        </w:tc>
        <w:tc>
          <w:tcPr/>
          <w:p>
            <w:pPr>
              <w:pStyle w:val="Compact"/>
            </w:pPr>
            <w:r>
              <w:rPr>
                <w:b/>
                <w:bCs/>
              </w:rPr>
              <w:t xml:space="preserve">Fails.</w:t>
            </w:r>
            <w:r>
              <w:t xml:space="preserve"> </w:t>
            </w:r>
            <m:oMath>
              <m:sSub>
                <m:e>
                  <m:r>
                    <m:t>F</m:t>
                  </m:r>
                </m:e>
                <m:sub>
                  <m:r>
                    <m:t>S</m:t>
                  </m:r>
                  <m:r>
                    <m:t>T</m:t>
                  </m:r>
                </m:sub>
              </m:sSub>
            </m:oMath>
            <w:r>
              <w:t xml:space="preserve"> </w:t>
            </w:r>
            <w:r>
              <w:t xml:space="preserve">rises from 0.0026 to 0.0122, but diversity no longer matches from a coefficient of variation of 1.0</w:t>
            </w:r>
          </w:p>
        </w:tc>
      </w:tr>
      <w:tr>
        <w:tc>
          <w:tcPr/>
          <w:p>
            <w:pPr>
              <w:pStyle w:val="Compact"/>
            </w:pPr>
            <w:r>
              <w:t xml:space="preserve">A different transport geography</w:t>
            </w:r>
          </w:p>
        </w:tc>
        <w:tc>
          <w:tcPr/>
          <w:p>
            <w:pPr>
              <w:pStyle w:val="Compact"/>
            </w:pPr>
            <w:r>
              <w:t xml:space="preserve">Copying that isolates distant sites raises differentiation</w:t>
            </w:r>
          </w:p>
        </w:tc>
        <w:tc>
          <w:tcPr/>
          <w:p>
            <w:pPr>
              <w:pStyle w:val="Compact"/>
            </w:pPr>
            <w:r>
              <w:t xml:space="preserve">River and straight-line distance, lengths of 6 to 96 km, three decay shapes</w:t>
            </w:r>
          </w:p>
        </w:tc>
        <w:tc>
          <w:tcPr/>
          <w:p>
            <w:pPr>
              <w:pStyle w:val="Compact"/>
            </w:pPr>
            <w:r>
              <w:rPr>
                <w:b/>
                <w:bCs/>
              </w:rPr>
              <w:t xml:space="preserve">Fails.</w:t>
            </w:r>
            <w:r>
              <w:t xml:space="preserve"> </w:t>
            </w:r>
            <w:r>
              <w:t xml:space="preserve">The best matched setting, straight-line exponential decay at 6 km, leaves a 2.1-fold shortfall; a Gaussian at 6 km reaches 1.5-fold but breaks the match</w:t>
            </w:r>
          </w:p>
        </w:tc>
      </w:tr>
      <w:tr>
        <w:tc>
          <w:tcPr/>
          <w:p>
            <w:pPr>
              <w:pStyle w:val="Compact"/>
            </w:pPr>
            <w:r>
              <w:t xml:space="preserve">Unequal accumulation spans</w:t>
            </w:r>
          </w:p>
        </w:tc>
        <w:tc>
          <w:tcPr/>
          <w:p>
            <w:pPr>
              <w:pStyle w:val="Compact"/>
            </w:pPr>
            <w:r>
              <w:t xml:space="preserve">Deposits from narrow time slices look more distinct</w:t>
            </w:r>
          </w:p>
        </w:tc>
        <w:tc>
          <w:tcPr/>
          <w:p>
            <w:pPr>
              <w:pStyle w:val="Compact"/>
            </w:pPr>
            <w:r>
              <w:t xml:space="preserve">Accumulation windows varied around eight steps by up to six</w:t>
            </w:r>
          </w:p>
        </w:tc>
        <w:tc>
          <w:tcPr/>
          <w:p>
            <w:pPr>
              <w:pStyle w:val="Compact"/>
            </w:pPr>
            <w:r>
              <w:rPr>
                <w:b/>
                <w:bCs/>
              </w:rPr>
              <w:t xml:space="preserve">Fails.</w:t>
            </w:r>
            <w:r>
              <w:t xml:space="preserve"> </w:t>
            </w:r>
            <w:r>
              <w:t xml:space="preserve">The median stays at 0.0023 to 0.0026</w:t>
            </w:r>
          </w:p>
        </w:tc>
      </w:tr>
      <w:tr>
        <w:tc>
          <w:tcPr/>
          <w:p>
            <w:pPr>
              <w:pStyle w:val="Compact"/>
            </w:pPr>
            <w:r>
              <w:t xml:space="preserve">New styles arising locally, with neutral copying otherwise</w:t>
            </w:r>
          </w:p>
        </w:tc>
        <w:tc>
          <w:tcPr/>
          <w:p>
            <w:pPr>
              <w:pStyle w:val="Compact"/>
            </w:pPr>
            <w:r>
              <w:t xml:space="preserve">Higher differentiation with no change in diversity</w:t>
            </w:r>
          </w:p>
        </w:tc>
        <w:tc>
          <w:tcPr/>
          <w:p>
            <w:pPr>
              <w:pStyle w:val="Compact"/>
            </w:pPr>
            <w:r>
              <w:t xml:space="preserve">Each cluster innovates from a partly reordered regional profile, share reordered 0 to 1, 1,200 simulations per setting</w:t>
            </w:r>
          </w:p>
        </w:tc>
        <w:tc>
          <w:tcPr/>
          <w:p>
            <w:pPr>
              <w:pStyle w:val="Compact"/>
            </w:pPr>
            <w:r>
              <w:rPr>
                <w:b/>
                <w:bCs/>
              </w:rPr>
              <w:t xml:space="preserve">Meets the standard.</w:t>
            </w:r>
            <w:r>
              <w:t xml:space="preserve"> </w:t>
            </w:r>
            <w:r>
              <w:t xml:space="preserve">At a reordered share of 0.2 the median is 0.0059; diversity stays matched through 0.3; simulations are widely spread</w:t>
            </w:r>
          </w:p>
        </w:tc>
      </w:tr>
    </w:tbl>
    <w:bookmarkEnd w:id="146"/>
    <w:bookmarkStart w:id="153" w:name="X3dc28483acd424ad0147c5be504e1fec0e13650"/>
    <w:p>
      <w:pPr>
        <w:pStyle w:val="Heading3"/>
      </w:pPr>
      <w:r>
        <w:t xml:space="preserve">Does Parkin have the properties of a polity center?</w:t>
      </w:r>
    </w:p>
    <w:p>
      <w:pPr>
        <w:pStyle w:val="FirstParagraph"/>
      </w:pPr>
      <w:r>
        <w:t xml:space="preserve">A phase read as a polity implies a center around which the pattern is organized. Parkin sits between seriation orderings rather than at the center of one. Deterministic seriation of the basin assemblages returns 34 maximal co-seriable groups at a continuity threshold of 0.1, none larger than four assemblages, and 18 of the 28 assemblages belong to more than one (Figure 7). Groups that had actually closed would give orderings that are incompatible and separate, whereas here most assemblages belong to several at once. That overlap is what a continuous field too varied to fit one ordering produces, not a set of bounded traditions. Parkin belongs to three groups, a bridge between orderings, though not the most connected one: Barton Ranch and Williamson each belong to six. Lipo, Madsen, and Dunnell</w:t>
      </w:r>
      <w:r>
        <w:t xml:space="preserve"> </w:t>
      </w:r>
      <w:r>
        <w:t xml:space="preserve">(2015)</w:t>
      </w:r>
      <w:r>
        <w:t xml:space="preserve"> </w:t>
      </w:r>
      <w:r>
        <w:t xml:space="preserve">found the same position and read it as a possible sign of emerging hierarchy; we read it as a place where interaction concentrated.</w:t>
      </w:r>
    </w:p>
    <w:p>
      <w:pPr>
        <w:pStyle w:val="CaptionedFigure"/>
      </w:pPr>
      <w:r>
        <w:drawing>
          <wp:inline>
            <wp:extent cx="5334000" cy="3603744"/>
            <wp:effectExtent b="0" l="0" r="0" t="0"/>
            <wp:docPr descr="Figure 7. 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 title="" id="148" name="Picture"/>
            <a:graphic>
              <a:graphicData uri="http://schemas.openxmlformats.org/drawingml/2006/picture">
                <pic:pic>
                  <pic:nvPicPr>
                    <pic:cNvPr descr="../../figures/fig7_idss_structure.png" id="149" name="Picture"/>
                    <pic:cNvPicPr>
                      <a:picLocks noChangeArrowheads="1" noChangeAspect="1"/>
                    </pic:cNvPicPr>
                  </pic:nvPicPr>
                  <pic:blipFill>
                    <a:blip r:embed="rId147"/>
                    <a:stretch>
                      <a:fillRect/>
                    </a:stretch>
                  </pic:blipFill>
                  <pic:spPr bwMode="auto">
                    <a:xfrm>
                      <a:off x="0" y="0"/>
                      <a:ext cx="5334000" cy="3603744"/>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w:t>
      </w:r>
    </w:p>
    <w:p>
      <w:pPr>
        <w:pStyle w:val="BodyText"/>
      </w:pPr>
      <w:r>
        <w:t xml:space="preserve">The settlement record tells the same story. Parkin’s principal mound is a flat-topped platform 6.5 m (21.3 ft) high on the western edge of the site, overlooking the St. Francis River, with six smaller mounds near it; the site covers 17 acres (6.9 ha), is ditched on three sides, and its deposits rise 3 m above the floodplain</w:t>
      </w:r>
      <w:r>
        <w:t xml:space="preserve"> </w:t>
      </w:r>
      <w:r>
        <w:t xml:space="preserve">(Morse 1981, 1990)</w:t>
      </w:r>
      <w:r>
        <w:t xml:space="preserve">. Its mound is the second tallest of the 55 basin sites with a recorded height, behind one at 23 ft, and the tallest exceeds the second by a ratio of only 1.08 (Figure 8). Parkin’s height comes from excavation reports, whereas the others come from a regional compilation without per-site sources, which we cannot correct. Mound heights form a graded series with a prominent center, not a separate administrative tier. The chert-hoe economy points the same way: Mill Creek hoes were made by autonomous workshops at the source and moved largely down the line, with elites at most gaining privileged access</w:t>
      </w:r>
      <w:r>
        <w:t xml:space="preserve"> </w:t>
      </w:r>
      <w:r>
        <w:t xml:space="preserve">(Cobb 2000:75, 154, 198)</w:t>
      </w:r>
      <w:r>
        <w:t xml:space="preserve">, although that evidence is regional rather than specific to the basin.</w:t>
      </w:r>
    </w:p>
    <w:p>
      <w:pPr>
        <w:pStyle w:val="CaptionedFigure"/>
      </w:pPr>
      <w:r>
        <w:drawing>
          <wp:inline>
            <wp:extent cx="5334000" cy="3332419"/>
            <wp:effectExtent b="0" l="0" r="0" t="0"/>
            <wp:docPr descr="Figure 8. Settlement cross-check. Main panel: maximum mound height ranked across the basin, the one attribute recorded the same way for every site (mound area is recorded as zero for Parkin and is not used). Parkin’s principal mound is 21.3 ft (6.5 m) after Morse (1981, 1990), second among the 55 basin sites with a recorded height; the compilation otherwise used gives Parkin 23 ft, and that substitution is recorded in data/raw/mound_height_corrections.csv. The distribution is graded, with no gap at the top (tallest-to-second ratio 1.08). Inset: the proportion of sites with a mound, a defensive ditch, and St. Francis-type fortification across the basin set (n = 92)." title="" id="151" name="Picture"/>
            <a:graphic>
              <a:graphicData uri="http://schemas.openxmlformats.org/drawingml/2006/picture">
                <pic:pic>
                  <pic:nvPicPr>
                    <pic:cNvPr descr="../../figures/fig8_ranksize.png" id="152" name="Picture"/>
                    <pic:cNvPicPr>
                      <a:picLocks noChangeArrowheads="1" noChangeAspect="1"/>
                    </pic:cNvPicPr>
                  </pic:nvPicPr>
                  <pic:blipFill>
                    <a:blip r:embed="rId150"/>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Settlement cross-check. Main panel: maximum mound height ranked across the basin, the one attribute recorded the same way for every site (mound area is recorded as zero for Parkin and is not used). Parkin’s principal mound is 21.3 ft (6.5 m) after Morse (1981, 1990), second among the 55 basin sites with a recorded height; the compilation otherwise used gives Parkin 23 ft, and that substitution is recorded in data/raw/mound_height_corrections.csv. The distribution is graded, with no gap at the top (tallest-to-second ratio 1.08). Inset: the proportion of sites with a mound, a defensive ditch, and St. Francis-type fortification across the basin set (n = 92).</w:t>
      </w:r>
    </w:p>
    <w:bookmarkEnd w:id="153"/>
    <w:bookmarkStart w:id="169" w:name="why-the-phases-look-like-groups"/>
    <w:p>
      <w:pPr>
        <w:pStyle w:val="Heading3"/>
      </w:pPr>
      <w:r>
        <w:t xml:space="preserve">Why the phases look like groups</w:t>
      </w:r>
    </w:p>
    <w:p>
      <w:pPr>
        <w:pStyle w:val="FirstParagraph"/>
      </w:pPr>
      <w:r>
        <w:t xml:space="preserve">If spatially structured drift explains the frequencies, the phases themselves should be what that structure looks like when sites are sorted by resemblance and proximity. If the phases were groups instead, their boundaries should be where the pottery changes. They are not. With the uncertainty in every assemblage’s counts carried through, the between-phase</w:t>
      </w:r>
      <w:r>
        <w:t xml:space="preserve"> </w:t>
      </w:r>
      <m:oMath>
        <m:sSub>
          <m:e>
            <m:r>
              <m:t>F</m:t>
            </m:r>
          </m:e>
          <m:sub>
            <m:r>
              <m:t>S</m:t>
            </m:r>
            <m:r>
              <m:t>T</m:t>
            </m:r>
          </m:sub>
        </m:sSub>
      </m:oMath>
      <w:r>
        <w:t xml:space="preserve"> </w:t>
      </w:r>
      <w:r>
        <w:t xml:space="preserve">has a posterior median of 0.0109 (95 percent credible interval 0.0091 to 0.0128). Divisions of the same assemblages into groups of the same sizes around randomly placed centers give a median of 0.0146, and divisions drawn to be as compact as possible give 0.0162. The posterior probability that the phase lines separate the pottery better than a division around random centers is 0.20, and better than a compact division 0.05 (Figure 9B, C). Arbitrary lines separate the pottery better than the phase lines do.</w:t>
      </w:r>
    </w:p>
    <w:p>
      <w:pPr>
        <w:pStyle w:val="BodyText"/>
      </w:pPr>
      <w:r>
        <w:t xml:space="preserve">What the phase lines do follow is the map. Their within-group spread, 190.5 km² per assemblage, is the tightest three-way division of these assemblages at these group sizes that our search found. A search that minimizes spatial spread and never sees a potsherd returned the phase division exactly in 154 of 1,000 random starts and found nothing tighter in any of them. The phases are the most compact way to divide the sites into groups of those sizes. The same comparison across scales, plotted in Figure 9A, shows the observed differences staying inside the model’s range through four clusters.</w:t>
      </w:r>
    </w:p>
    <w:p>
      <w:pPr>
        <w:pStyle w:val="CaptionedFigure"/>
      </w:pPr>
      <w:r>
        <w:drawing>
          <wp:inline>
            <wp:extent cx="5334000" cy="2584123"/>
            <wp:effectExtent b="0" l="0" r="0" t="0"/>
            <wp:docPr descr="Figure 9. Scale and boundaries. (A) Observed between-cluster cultural F_{ST} against the neutral copying model as the basin is divided into two through six clusters. The model’s range rises slowly; the observed values stay inside it through four clusters and leave it from five. (B) Within-group spatial spread against cultural F_{ST} for 1,000 divisions with the phases’ group sizes around randomly placed centers (light) and 1,000 drawn to minimize spread (dark); the star is the phase division. Differentiation is unrelated to compactness among the random divisions (Spearman -0.01) and moderately related among the compact ones (+0.47), and no division in either set is tighter than the phases. (C) The phase division’s F_{ST} (solid line) against the compact divisions, among which it sits at the 5th percentile." title="" id="155" name="Picture"/>
            <a:graphic>
              <a:graphicData uri="http://schemas.openxmlformats.org/drawingml/2006/picture">
                <pic:pic>
                  <pic:nvPicPr>
                    <pic:cNvPr descr="../../figures/fig12_phase_partition.png" id="156" name="Picture"/>
                    <pic:cNvPicPr>
                      <a:picLocks noChangeArrowheads="1" noChangeAspect="1"/>
                    </pic:cNvPicPr>
                  </pic:nvPicPr>
                  <pic:blipFill>
                    <a:blip r:embed="rId154"/>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neutral copying model as the basin is divided into two through six clusters. The model’s range rises slowly; the observed values stay inside it through four clusters and leave it from five. (B) Within-group spatial spread against cultural</w:t>
      </w:r>
      <w:r>
        <w:t xml:space="preserve"> </w:t>
      </w:r>
      <m:oMath>
        <m:sSub>
          <m:e>
            <m:r>
              <m:t>F</m:t>
            </m:r>
          </m:e>
          <m:sub>
            <m:r>
              <m:t>S</m:t>
            </m:r>
            <m:r>
              <m:t>T</m:t>
            </m:r>
          </m:sub>
        </m:sSub>
      </m:oMath>
      <w:r>
        <w:t xml:space="preserve"> </w:t>
      </w:r>
      <w:r>
        <w:t xml:space="preserve">for 1,000 divisions with the phases’ group sizes around randomly placed centers (light) and 1,000 drawn to minimize spread (dark); the star is the phase division. Differentiation is unrelated to compactness among the random divisions (Spearman -0.01) and moderately related among the compact ones (+0.47), and no division in either set is tighter than the phases. (C) The phase division’s</w:t>
      </w:r>
      <w:r>
        <w:t xml:space="preserve"> </w:t>
      </w:r>
      <m:oMath>
        <m:sSub>
          <m:e>
            <m:r>
              <m:t>F</m:t>
            </m:r>
          </m:e>
          <m:sub>
            <m:r>
              <m:t>S</m:t>
            </m:r>
            <m:r>
              <m:t>T</m:t>
            </m:r>
          </m:sub>
        </m:sSub>
      </m:oMath>
      <w:r>
        <w:t xml:space="preserve"> </w:t>
      </w:r>
      <w:r>
        <w:t xml:space="preserve">(solid line) against the compact divisions, among which it sits at the 5th percentile.</w:t>
      </w:r>
    </w:p>
    <w:p>
      <w:pPr>
        <w:pStyle w:val="BodyText"/>
      </w:pPr>
      <w:r>
        <w:t xml:space="preserve">The boundaries also fall where composition changes slowly. Mapping the local rate at which composition changes across the basin (Figure 10A), an edge between communities should appear as a ridge of fast change. The phase boundaries do not follow ridges. Median change along them is 0.0104 per kilometer, against 0.0124 along boundaries built the same way from 200 same-size divisions around randomly placed centers, and none of those 200 runs through slower-changing country than the phase boundaries do (Figure 10B). We report that matched comparison rather than one against the whole mapped area, which would place the phase boundaries at the 24th percentile but is misleading, because boundaries of this kind necessarily fall in the interior of the site distribution, where the surface is best supported and changes least.</w:t>
      </w:r>
    </w:p>
    <w:p>
      <w:pPr>
        <w:pStyle w:val="CaptionedFigure"/>
      </w:pPr>
      <w:r>
        <w:drawing>
          <wp:inline>
            <wp:extent cx="5334000" cy="3028550"/>
            <wp:effectExtent b="0" l="0" r="0" t="0"/>
            <wp:docPr descr="Figure 10. Composition as a continuous surface. (A) The local rate of change in the ten decorated-class proportions, computed on a 220 by 220 grid with a 15 km Gaussian bandwidth and masked where fewer than two assemblages support the estimate. Circles are assemblages. (B) The same surface with the published phase boundaries overlaid; the rate of change along them is lower than along the boundaries of any of 200 same-size divisions around randomly placed centers. (C) Observed cultural F_{ST} against cluster radius in kilometers, with the neutral copying model’s range behind it, from coarse to fine. The observed value rises from 0.0062 at an 18 km radius, inside the range, to 0.048 at 5 km, while the range’s upper edge rises from 0.016 to 0.028. Below a radius of about 10 km the clusters begin to isolate single assemblages, so the finest divisions should not be read as structure." title="" id="158" name="Picture"/>
            <a:graphic>
              <a:graphicData uri="http://schemas.openxmlformats.org/drawingml/2006/picture">
                <pic:pic>
                  <pic:nvPicPr>
                    <pic:cNvPr descr="../../figures/fig13_groupness_surface.png" id="159" name="Picture"/>
                    <pic:cNvPicPr>
                      <a:picLocks noChangeArrowheads="1" noChangeAspect="1"/>
                    </pic:cNvPicPr>
                  </pic:nvPicPr>
                  <pic:blipFill>
                    <a:blip r:embed="rId157"/>
                    <a:stretch>
                      <a:fillRect/>
                    </a:stretch>
                  </pic:blipFill>
                  <pic:spPr bwMode="auto">
                    <a:xfrm>
                      <a:off x="0" y="0"/>
                      <a:ext cx="5334000" cy="3028550"/>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Composition as a continuous surface. (A) The local rate of change in the ten decorated-class proportions, computed on a 220 by 220 grid with a 15 km Gaussian bandwidth and masked where fewer than two assemblages support the estimate. Circles are assemblages. (B) The same surface with the published phase boundaries overlaid; the rate of change along them is lower than along the boundaries of any of 200 same-size divisions around randomly placed centers. (C) Observed cultural</w:t>
      </w:r>
      <w:r>
        <w:t xml:space="preserve"> </w:t>
      </w:r>
      <m:oMath>
        <m:sSub>
          <m:e>
            <m:r>
              <m:t>F</m:t>
            </m:r>
          </m:e>
          <m:sub>
            <m:r>
              <m:t>S</m:t>
            </m:r>
            <m:r>
              <m:t>T</m:t>
            </m:r>
          </m:sub>
        </m:sSub>
      </m:oMath>
      <w:r>
        <w:t xml:space="preserve"> </w:t>
      </w:r>
      <w:r>
        <w:t xml:space="preserve">against cluster radius in kilometers, with the neutral copying model’s range behind it, from coarse to fine. The observed value rises from 0.0062 at an 18 km radius, inside the range, to 0.048 at 5 km, while the range’s upper edge rises from 0.016 to 0.028. Below a radius of about 10 km the clusters begin to isolate single assemblages, so the finest divisions should not be read as structure.</w:t>
      </w:r>
    </w:p>
    <w:p>
      <w:pPr>
        <w:pStyle w:val="BodyText"/>
      </w:pPr>
      <w:r>
        <w:t xml:space="preserve">The site map alone recovers the phases. Clustering the assemblages on their coordinates alone reproduces Mainfort’s assignments exactly, with an adjusted Rand index of 1.000 as the median over 40 starting configurations (Figure 11). Adding composition lowers the agreement at every weight: from a tenth of the coordinates’ weight up to equal weight the median is 0.607, and composition alone reaches 0.215. Divisions with the phases’ group sizes around random centers reach 0.566, which is what three groups of these sizes produce by chance. The three assemblages placed by territory rather than by Mainfort are left out of this score, since measuring a geographic rule against geography would build in the agreement. The pottery, when it enters, moves the answer away from the published phases rather than toward them. We report the chi-square transform of composition because it has no free parameter; 38 percent of the matrix cells are zero, and log-ratio transforms move the agreement at half weight between 0.53 and 0.77 depending on how zeros are treated (Supplemental Text).</w:t>
      </w:r>
    </w:p>
    <w:p>
      <w:pPr>
        <w:pStyle w:val="CaptionedFigure"/>
      </w:pPr>
      <w:r>
        <w:drawing>
          <wp:inline>
            <wp:extent cx="3412944" cy="2730967"/>
            <wp:effectExtent b="0" l="0" r="0" t="0"/>
            <wp:docPr descr="Figure 11. 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transforms of composition are shown; the text quotes the chi-square transform, the only one with no free parameter. The dash-dotted line is the agreement reached by divisions with the phases’ group sizes around random centers. Agreement is complete with the site map alone and falls as composition enters." title="" id="161" name="Picture"/>
            <a:graphic>
              <a:graphicData uri="http://schemas.openxmlformats.org/drawingml/2006/picture">
                <pic:pic>
                  <pic:nvPicPr>
                    <pic:cNvPr descr="../../figures/fig14_phase_recovery.png" id="162" name="Picture"/>
                    <pic:cNvPicPr>
                      <a:picLocks noChangeArrowheads="1" noChangeAspect="1"/>
                    </pic:cNvPicPr>
                  </pic:nvPicPr>
                  <pic:blipFill>
                    <a:blip r:embed="rId160"/>
                    <a:stretch>
                      <a:fillRect/>
                    </a:stretch>
                  </pic:blipFill>
                  <pic:spPr bwMode="auto">
                    <a:xfrm>
                      <a:off x="0" y="0"/>
                      <a:ext cx="3412944" cy="2730967"/>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transforms of composition are shown; the text quotes the chi-square transform, the only one with no free parameter. The dash-dotted line is the agreement reached by divisions with the phases’ group sizes around random centers. Agreement is complete with the site map alone and falls as composition enters.</w:t>
      </w:r>
    </w:p>
    <w:p>
      <w:pPr>
        <w:pStyle w:val="BodyText"/>
      </w:pPr>
      <w:r>
        <w:t xml:space="preserve">Pottery made by copying with no groups sorts into the phases as readily as the real pottery. We ran the neutral copying model on the real site map 300 times, sampled its pottery at the real sherd counts, and clustered each simulated record the same way as the real one, taking the median over 10 starting configurations rather than 40 (Figure 12). Wherever site location enters the clustering, the simulated pottery matches the phases as well as the real pottery does, and usually better. With a quarter weight on composition, the real record’s agreement of 0.607 is at or below every one of the 300 simulated records (median 0.938); at equal weight it sits at the 53rd percentile (median 0.581). With pottery alone, where location cannot help, the real record agrees with the phases somewhat better than the simulations, 0.237 against a median of 0.031, a level that 3 percent of simulated records reach. That small margin is the same finer-scale difference described above, seen from another side.</w:t>
      </w:r>
    </w:p>
    <w:p>
      <w:pPr>
        <w:pStyle w:val="CaptionedFigure"/>
      </w:pPr>
      <w:r>
        <w:drawing>
          <wp:inline>
            <wp:extent cx="3272267" cy="2715676"/>
            <wp:effectExtent b="0" l="0" r="0" t="0"/>
            <wp:docPr descr="Figure 12. Would a culture historian have found these phases in pottery made by copying with no groups? Agreement with Mainfort’s phase assignments, by adjusted Rand index over the 25 assemblages he assigned, as the weight on decorated-class composition relative to site coordinates varies from the map alone to pottery alone. The line with markers is the real record; the band is the 95 percent range over 300 runs of the neutral copying model, which contains no groups, sampled at the real sherd counts and clustered the same way. The zero-weight point is identical by construction." title="" id="164" name="Picture"/>
            <a:graphic>
              <a:graphicData uri="http://schemas.openxmlformats.org/drawingml/2006/picture">
                <pic:pic>
                  <pic:nvPicPr>
                    <pic:cNvPr descr="../../figures/fig15_phases_under_drift.png" id="165" name="Picture"/>
                    <pic:cNvPicPr>
                      <a:picLocks noChangeArrowheads="1" noChangeAspect="1"/>
                    </pic:cNvPicPr>
                  </pic:nvPicPr>
                  <pic:blipFill>
                    <a:blip r:embed="rId163"/>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12.</w:t>
      </w:r>
      <w:r>
        <w:t xml:space="preserve"> </w:t>
      </w:r>
      <w:r>
        <w:t xml:space="preserve">Would a culture historian have found these phases in pottery made by copying with no groups? Agreement with Mainfort’s phase assignments, by adjusted Rand index over the 25 assemblages he assigned, as the weight on decorated-class composition relative to site coordinates varies from the map alone to pottery alone. The line with markers is the real record; the band is the 95 percent range over 300 runs of the neutral copying model, which contains no groups, sampled at the real sherd counts and clustered the same way. The zero-weight point is identical by construction.</w:t>
      </w:r>
    </w:p>
    <w:p>
      <w:pPr>
        <w:pStyle w:val="BodyText"/>
      </w:pPr>
      <w:r>
        <w:t xml:space="preserve">The phase boundaries do not follow gaps in settlement either. The settlement compilation records 83 sites with a late pre-contact component in the mapped area, and dropping the 27 within a kilometer of an analyzed assemblage leaves 56 whose positions are independent of the pottery. Measuring the density of those sites along the phase boundaries and along the boundaries of 300 same-size divisions (Figure 13), 64 percent of divisions around random centers and 61 percent of compact divisions run through denser settlement than the phase boundaries at an 8 km bandwidth; at 5 km the figures are 40 and 14 percent, and at 3 km 18 and 15 percent. Apart from the coarsest bandwidth, then, the two boundaries between the tested phases, Parkin against Kent and Kent against Walls, run through country no emptier than a boundary drawn elsewhere. Empty country is what separates the untested Nodena and Parchman phases from these three.</w:t>
      </w:r>
    </w:p>
    <w:p>
      <w:pPr>
        <w:pStyle w:val="BodyText"/>
      </w:pPr>
      <w:r>
        <w:t xml:space="preserve">What makes the settlement clumped is partly the rivers. Late-period sites lie a median 1.8 km from a major river, against 3.6 km for random points in the same area, so the rivers set the band in which people lived. Points placed as close to the rivers as the sites are, however, come out randomly spaced (Clark-Evans ratio 0.99 against the sites’ 0.64), so the clusters form on particular reaches of river for reasons proximity alone does not supply. Ceramic similarity between phases follows straight-line distance rather than distance along the rivers, and we therefore report both measures of distance; the river measure is the one more favorable to the no-groups model (Supplemental Text).</w:t>
      </w:r>
    </w:p>
    <w:p>
      <w:pPr>
        <w:pStyle w:val="CaptionedFigure"/>
      </w:pPr>
      <w:r>
        <w:drawing>
          <wp:inline>
            <wp:extent cx="5238686" cy="3223336"/>
            <wp:effectExtent b="0" l="0" r="0" t="0"/>
            <wp:docPr descr="Figure 13. Do the phase boundaries follow gaps in settlement? (A) Density of the 56 late-period sites more than 1 km from any analyzed assemblage (5 km bandwidth), with the assemblages as open circles and the phase boundaries as points. (B) Median settlement density along the phase boundaries (vertical line) against the same quantity for the boundaries of 300 divisions with the phases’ group sizes, around random centers (light) and drawn to be compact (dark)." title="" id="167" name="Picture"/>
            <a:graphic>
              <a:graphicData uri="http://schemas.openxmlformats.org/drawingml/2006/picture">
                <pic:pic>
                  <pic:nvPicPr>
                    <pic:cNvPr descr="../../figures/fig16_settlement_gaps.png" id="168" name="Picture"/>
                    <pic:cNvPicPr>
                      <a:picLocks noChangeArrowheads="1" noChangeAspect="1"/>
                    </pic:cNvPicPr>
                  </pic:nvPicPr>
                  <pic:blipFill>
                    <a:blip r:embed="rId166"/>
                    <a:stretch>
                      <a:fillRect/>
                    </a:stretch>
                  </pic:blipFill>
                  <pic:spPr bwMode="auto">
                    <a:xfrm>
                      <a:off x="0" y="0"/>
                      <a:ext cx="5238686" cy="3223336"/>
                    </a:xfrm>
                    <a:prstGeom prst="rect">
                      <a:avLst/>
                    </a:prstGeom>
                    <a:noFill/>
                    <a:ln w="9525">
                      <a:noFill/>
                      <a:headEnd/>
                      <a:tailEnd/>
                    </a:ln>
                  </pic:spPr>
                </pic:pic>
              </a:graphicData>
            </a:graphic>
          </wp:inline>
        </w:drawing>
      </w:r>
    </w:p>
    <w:p>
      <w:pPr>
        <w:pStyle w:val="ImageCaption"/>
      </w:pPr>
      <w:r>
        <w:rPr>
          <w:b/>
          <w:bCs/>
        </w:rPr>
        <w:t xml:space="preserve">Figure 13.</w:t>
      </w:r>
      <w:r>
        <w:t xml:space="preserve"> </w:t>
      </w:r>
      <w:r>
        <w:t xml:space="preserve">Do the phase boundaries follow gaps in settlement? (A) Density of the 56 late-period sites more than 1 km from any analyzed assemblage (5 km bandwidth), with the assemblages as open circles and the phase boundaries as points. (B) Median settlement density along the phase boundaries (vertical line) against the same quantity for the boundaries of 300 divisions with the phases’ group sizes, around random centers (light) and drawn to be compact (dark).</w:t>
      </w:r>
    </w:p>
    <w:bookmarkEnd w:id="169"/>
    <w:bookmarkStart w:id="173" w:name="Xb4a0a395e221470d8befd6776e147cfdc236abc"/>
    <w:p>
      <w:pPr>
        <w:pStyle w:val="Heading3"/>
      </w:pPr>
      <w:r>
        <w:t xml:space="preserve">A second phase scheme drawn from the pottery</w:t>
      </w:r>
    </w:p>
    <w:p>
      <w:pPr>
        <w:pStyle w:val="FirstParagraph"/>
      </w:pPr>
      <w:r>
        <w:t xml:space="preserve">Mainfort</w:t>
      </w:r>
      <w:r>
        <w:t xml:space="preserve"> </w:t>
      </w:r>
      <w:r>
        <w:t xml:space="preserve">(2003)</w:t>
      </w:r>
      <w:r>
        <w:t xml:space="preserve"> </w:t>
      </w:r>
      <w:r>
        <w:t xml:space="preserve">drew his phase lines through much the same sites after ordinating their pottery. He adopted Smith’s</w:t>
      </w:r>
      <w:r>
        <w:t xml:space="preserve"> </w:t>
      </w:r>
      <w:r>
        <w:t xml:space="preserve">(1990)</w:t>
      </w:r>
      <w:r>
        <w:t xml:space="preserve"> </w:t>
      </w:r>
      <w:r>
        <w:t xml:space="preserve">Horseshoe Lake phase, which gathers Beck, Belle Meade, Mound Place, and Young</w:t>
      </w:r>
      <w:r>
        <w:t xml:space="preserve"> </w:t>
      </w:r>
      <w:r>
        <w:t xml:space="preserve">(Mainfort 2003:177)</w:t>
      </w:r>
      <w:r>
        <w:t xml:space="preserve">. Compared with the scheme of Figure 1, his table also places Hollywood and Commerce in Kent rather than Walls, Castile Landing in Parkin rather than Kent, and Carson Lake in Walls rather than Nodena, although his text treats Carson Lake as a Nodena site</w:t>
      </w:r>
      <w:r>
        <w:t xml:space="preserve"> </w:t>
      </w:r>
      <w:r>
        <w:t xml:space="preserve">(Mainfort 2003:176–181)</w:t>
      </w:r>
      <w:r>
        <w:t xml:space="preserve">. Nine sites are assigned differently in the two schemes. A second scheme drawn through the same ground is a useful check. If phases were groups, both schemes should track the same boundaries. If they are what a spatial gradient looks like when sites are sorted, a scheme drawn by proximity and a scheme drawn from the pottery should behave differently.</w:t>
      </w:r>
    </w:p>
    <w:p>
      <w:pPr>
        <w:pStyle w:val="BodyText"/>
      </w:pPr>
      <w:r>
        <w:t xml:space="preserve">We ran the phase-line tests on Mainfort’s own counts, using decorated types only and his assignments, with a minimum of 100 decorated sherds. That leaves 29 sites and 13,296 decorated sherds in five phases: Kent with 9 sites, Parkin with 7, Walls with 6, Horseshoe Lake with 4, and Jones Bayou with 3 (Figure 14). Tipton keeps only one site and is not carried. His table shares collections with ours at 21 sites, so this is a second tally of largely the same material rather than an independent record, and we do not repeat the copying model, which is tuned to our own matrix.</w:t>
      </w:r>
    </w:p>
    <w:p>
      <w:pPr>
        <w:pStyle w:val="BodyText"/>
      </w:pPr>
      <w:r>
        <w:t xml:space="preserve">Location again carries most of the scheme. The site map alone recovers Mainfort’s assignments with an adjusted Rand index of 0.51, the pottery alone 0.25, and same-size divisions around random centers 0.29. His boundaries, however, separate the pottery far better than the earlier scheme’s do. The between-group</w:t>
      </w:r>
      <w:r>
        <w:t xml:space="preserve"> </w:t>
      </w:r>
      <m:oMath>
        <m:sSub>
          <m:e>
            <m:r>
              <m:t>F</m:t>
            </m:r>
          </m:e>
          <m:sub>
            <m:r>
              <m:t>S</m:t>
            </m:r>
            <m:r>
              <m:t>T</m:t>
            </m:r>
          </m:sub>
        </m:sSub>
      </m:oMath>
      <w:r>
        <w:t xml:space="preserve"> </w:t>
      </w:r>
      <w:r>
        <w:t xml:space="preserve">under his phases has a posterior median of 0.046 (95 percent credible interval 0.041 to 0.051), against 0.027 for same-size divisions around random centers and 0.028 for compact ones, and the posterior probability that his lines separate the pottery better than such a division is 0.99 and 1.00. The compactness search never returns his division. Giving composition half the weight of the coordinates also raises the agreement with his scheme, to 0.60, above the map alone, whereas for the earlier scheme composition lowers the agreement at every weight.</w:t>
      </w:r>
    </w:p>
    <w:p>
      <w:pPr>
        <w:pStyle w:val="BodyText"/>
      </w:pPr>
      <w:r>
        <w:t xml:space="preserve">The sites the two schemes assign differently show why. For each, we measured how far its decorated profile lies from each candidate phase’s pooled profile, leaving the site itself out. Beck lies at 0.33 from Horseshoe Lake and 0.71 from Walls, Belle Meade at 0.26 and 0.68, Hollywood at 0.33 from Kent and 0.91 from Walls, and Commerce at 0.61 and 1.10. Young and Castile Landing sit about equally close to their two candidates, and Mound Place leans toward Horseshoe Lake like its neighbors. Where the two schemes disagree, the pottery sides with Mainfort’s assignment, usually by a wide margin.</w:t>
      </w:r>
    </w:p>
    <w:p>
      <w:pPr>
        <w:pStyle w:val="BodyText"/>
      </w:pPr>
      <w:r>
        <w:t xml:space="preserve">That is what the two schemes’ origins predict. Phillips drew phases by inspection and proximity, and his lines divide the map. Mainfort redrew them after ordering the pottery, and a scheme drawn from the pottery will sit where the pottery differs. The comparison does not show that Mainfort’s phases are bounded groups: they sit on the same continuous gradient, and location still recovers most of them. It shows that phase lines can be made to follow the pottery if the pottery draws them, and that the inherited scheme was not drawn that way.</w:t>
      </w:r>
    </w:p>
    <w:p>
      <w:pPr>
        <w:pStyle w:val="CaptionedFigure"/>
      </w:pPr>
      <w:r>
        <w:drawing>
          <wp:inline>
            <wp:extent cx="5334000" cy="2684917"/>
            <wp:effectExtent b="0" l="0" r="0" t="0"/>
            <wp:docPr descr="Figure 14. The phase tests on Mainfort’s (2003) table, under his own phases. (A) Agreement with his assignments, by adjusted Rand index over the 29 sites with at least 100 decorated sherds, for clusterings on site coordinates and decorated-class composition as the weight on composition varies from the map alone to pottery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 title="" id="171" name="Picture"/>
            <a:graphic>
              <a:graphicData uri="http://schemas.openxmlformats.org/drawingml/2006/picture">
                <pic:pic>
                  <pic:nvPicPr>
                    <pic:cNvPr descr="../../figures/fig17_mainfort_replication.png" id="172" name="Picture"/>
                    <pic:cNvPicPr>
                      <a:picLocks noChangeArrowheads="1" noChangeAspect="1"/>
                    </pic:cNvPicPr>
                  </pic:nvPicPr>
                  <pic:blipFill>
                    <a:blip r:embed="rId170"/>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14.</w:t>
      </w:r>
      <w:r>
        <w:t xml:space="preserve"> </w:t>
      </w:r>
      <w:r>
        <w:t xml:space="preserve">The phase tests on Mainfort’s (2003) table, under his own phases. (A) Agreement with his assignments, by adjusted Rand index over the 29 sites with at least 100 decorated sherds, for clusterings on site coordinates and decorated-class composition as the weight on composition varies from the map alone to pottery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w:t>
      </w:r>
    </w:p>
    <w:bookmarkEnd w:id="173"/>
    <w:bookmarkEnd w:id="174"/>
    <w:bookmarkStart w:id="180" w:name="discussion"/>
    <w:p>
      <w:pPr>
        <w:pStyle w:val="Heading2"/>
      </w:pPr>
      <w:r>
        <w:t xml:space="preserve">Discussion</w:t>
      </w:r>
    </w:p>
    <w:bookmarkStart w:id="175" w:name="X3991c311b3367494d15d093182f3c17f43585c1"/>
    <w:p>
      <w:pPr>
        <w:pStyle w:val="Heading3"/>
      </w:pPr>
      <w:r>
        <w:t xml:space="preserve">What explains the decorated-type frequencies</w:t>
      </w:r>
    </w:p>
    <w:p>
      <w:pPr>
        <w:pStyle w:val="FirstParagraph"/>
      </w:pPr>
      <w:r>
        <w:t xml:space="preserve">Spatially structured drift explains nearly all of the variation in the basin’s decorated-type frequencies. Neutral copying on the real map, tuned to the assemblages’ diversity, reproduces the differences among assemblages at the scales at which the phases were drawn, the difference between the phases themselves, the fade of similarity with distance, and the phase assignments, and a model with no groups assigns 99.6 percent of the variation to location. Nothing in the frequencies grows over the sequence as closure would require. The variability that drift does not produce is small and lies at finer scales, from five clusters on, where clusters shrink toward the spacing of the assemblages themselves.</w:t>
      </w:r>
    </w:p>
    <w:p>
      <w:pPr>
        <w:pStyle w:val="BodyText"/>
      </w:pPr>
      <w:r>
        <w:t xml:space="preserve">The remaining difference lies mostly in the two most thinly sampled clusters, not around Parkin, and it appears only where clusters shrink toward the spacing of the assemblages themselves. The Walls-area cluster also spans what McNutt, Franklin, and Henry</w:t>
      </w:r>
      <w:r>
        <w:t xml:space="preserve"> </w:t>
      </w:r>
      <w:r>
        <w:t xml:space="preserve">(2012:247)</w:t>
      </w:r>
      <w:r>
        <w:t xml:space="preserve"> </w:t>
      </w:r>
      <w:r>
        <w:t xml:space="preserve">describe as a lineage of about two centuries, so part of its difference may be chronological, a matter of age that an ordinal sequence cannot fully separate from place. Restricted copying across boundaries, which these data cannot detect at the calibrated mixing rate, does not produce it either. Of the four simplifications we relaxed, only one reproduces it while keeping diversity matched: new styles arising somewhat locally rather than at the same rates across the whole basin. That account is still neutral copying, and it is itself geographic, since the local innovation profiles follow the same spatial clusters as everything else. It does not require a social frontier.</w:t>
      </w:r>
    </w:p>
    <w:p>
      <w:pPr>
        <w:pStyle w:val="BodyText"/>
      </w:pPr>
      <w:r>
        <w:t xml:space="preserve">We treat this as a mechanism the record is consistent with rather than one it demonstrates. The local profiles in the test are random reorderings of the regional profile, not the profiles the groups actually have, since using the actual profiles would guarantee the result. Individual simulations are also widely spread. A center just beginning to separate from its neighbors could leave a small excess of this kind too, and contact and depopulation would have cut any such process short. These data cannot tell locally patterned innovation from an incipient social boundary, and the difference in question lies below the scale at which the phases were drawn in any case.</w:t>
      </w:r>
    </w:p>
    <w:bookmarkEnd w:id="175"/>
    <w:bookmarkStart w:id="176" w:name="why-the-phases-looked-like-groups"/>
    <w:p>
      <w:pPr>
        <w:pStyle w:val="Heading3"/>
      </w:pPr>
      <w:r>
        <w:t xml:space="preserve">Why the phases looked like groups</w:t>
      </w:r>
    </w:p>
    <w:p>
      <w:pPr>
        <w:pStyle w:val="FirstParagraph"/>
      </w:pPr>
      <w:r>
        <w:t xml:space="preserve">The phases are not places where groups show up in the pottery. They are lines drawn across a smooth pattern, and at the scale at which they were drawn, copying between neighbors accounts for everything they capture. The culture historians who drew them were responding to something real. Decorated-class composition does change with distance across the basin, and nearby potters did copy one another more than distant ones. Settlement is clumped, on particular reaches of the rivers. On a gradient with no edges, how alike two assemblages look depends mostly on how near they are, so sorting assemblages in good faith by resemblance and proximity recovers clusters of sites. The tests bear this out from four directions: the site map alone reproduces the phase assignments, the boundaries fall where the pottery changes least, arbitrary lines separate the pottery better than the phase lines do, and pottery made by copying with no groups sorts into the same phases.</w:t>
      </w:r>
    </w:p>
    <w:p>
      <w:pPr>
        <w:pStyle w:val="BodyText"/>
      </w:pPr>
      <w:r>
        <w:t xml:space="preserve">This also explains the pattern Mainfort</w:t>
      </w:r>
      <w:r>
        <w:t xml:space="preserve"> </w:t>
      </w:r>
      <w:r>
        <w:t xml:space="preserve">(2003:180)</w:t>
      </w:r>
      <w:r>
        <w:t xml:space="preserve"> </w:t>
      </w:r>
      <w:r>
        <w:t xml:space="preserve">reported without being able to account for it, phase members lying</w:t>
      </w:r>
      <w:r>
        <w:t xml:space="preserve"> </w:t>
      </w:r>
      <w:r>
        <w:t xml:space="preserve">“in the general vicinity of each other in ordination space”</w:t>
      </w:r>
      <w:r>
        <w:t xml:space="preserve"> </w:t>
      </w:r>
      <w:r>
        <w:t xml:space="preserve">while forming no groups. Nearness in an ordination is nearness on the ground, seen through the pottery. His own redrawn phases make the same point from the other side. Drawn after the ordination, they sit where the pottery differs and no longer form the tightest division of the map. Together the two schemes show one gradient read two ways, once by proximity and once by the pottery, with a boundary in neither. A phase also folds time into space. McNutt, Franklin, and Henry</w:t>
      </w:r>
      <w:r>
        <w:t xml:space="preserve"> </w:t>
      </w:r>
      <w:r>
        <w:t xml:space="preserve">(2012:247)</w:t>
      </w:r>
      <w:r>
        <w:t xml:space="preserve"> </w:t>
      </w:r>
      <w:r>
        <w:t xml:space="preserve">describe the Walls phase as</w:t>
      </w:r>
      <w:r>
        <w:t xml:space="preserve"> </w:t>
      </w:r>
      <w:r>
        <w:t xml:space="preserve">“a developmental lineage”</w:t>
      </w:r>
      <w:r>
        <w:t xml:space="preserve"> </w:t>
      </w:r>
      <w:r>
        <w:t xml:space="preserve">spanning roughly two centuries, from earlier sites such as Cheatham and Woodlyn to later occupations at Walls, Irby, and Norfolk, so the members of a phase need not even be contemporaneous. We therefore read a phase as a length scale on a continuous gradient, made visible by where settlement happened to cluster, rather than as a bounded unit. These data cannot say what that length is: sherd counts that differ more than twentyfold, unequal accumulation spans, and an order derived from the same frequencies together limit what any spatial measure can resolve here.</w:t>
      </w:r>
    </w:p>
    <w:p>
      <w:pPr>
        <w:pStyle w:val="BodyText"/>
      </w:pPr>
      <w:r>
        <w:t xml:space="preserve">The region’s own history offers a precedent for separating polity from ceramic phase. Coosa, the best-documented Mississippian paramountcy, spanned two ceramic traditions and site clusters that were separable at the phase level, and political affiliation rather than shared decoration bound them together</w:t>
      </w:r>
      <w:r>
        <w:t xml:space="preserve"> </w:t>
      </w:r>
      <w:r>
        <w:t xml:space="preserve">(Anderson 1996:250–251)</w:t>
      </w:r>
      <w:r>
        <w:t xml:space="preserve">. A polity need not coincide with a phase, and the reverse inference, from one phase to one polity, has no warrant on its own. The reading is not new to the regional literature either. McNutt</w:t>
      </w:r>
      <w:r>
        <w:t xml:space="preserve"> </w:t>
      </w:r>
      <w:r>
        <w:t xml:space="preserve">(1996:250)</w:t>
      </w:r>
      <w:r>
        <w:t xml:space="preserve"> </w:t>
      </w:r>
      <w:r>
        <w:t xml:space="preserve">wrote of the southern phases, Walls, Horseshoe Lake, Kent, and Parchman among them, that</w:t>
      </w:r>
      <w:r>
        <w:t xml:space="preserve"> </w:t>
      </w:r>
      <w:r>
        <w:t xml:space="preserve">“the distinctions that one tries so desperately to make between the phases involved are little more than comments on local elaborations—ceramic drift, if you will—of the basic pottery complexes possessed by peoples involved in this expansion.”</w:t>
      </w:r>
      <w:r>
        <w:t xml:space="preserve"> </w:t>
      </w:r>
      <w:r>
        <w:t xml:space="preserve">The comparison here tests that characterization for the Parkin, Kent, and Walls phases and finds it describes most of the record.</w:t>
      </w:r>
    </w:p>
    <w:bookmarkEnd w:id="176"/>
    <w:bookmarkStart w:id="177" w:name="parkin-and-the-polity"/>
    <w:p>
      <w:pPr>
        <w:pStyle w:val="Heading3"/>
      </w:pPr>
      <w:r>
        <w:t xml:space="preserve">Parkin and the polity</w:t>
      </w:r>
    </w:p>
    <w:p>
      <w:pPr>
        <w:pStyle w:val="FirstParagraph"/>
      </w:pPr>
      <w:r>
        <w:t xml:space="preserve">Parkin was the basin’s largest town and had one of its tallest mounds, and its prominence was real. The polity that prominence is taken to imply does not appear in the transmission of decoration. The pottery shows no closure that the record can resolve, Parkin links several seriation orderings rather than anchoring one, mound heights form a graded series with no separate top tier, and hoes reached their consumers largely down the line. The argument that Parkin, on poor soil, must have drawn tribute from productive neighbors</w:t>
      </w:r>
      <w:r>
        <w:t xml:space="preserve"> </w:t>
      </w:r>
      <w:r>
        <w:t xml:space="preserve">(Phyllis A. Morse 1990:124)</w:t>
      </w:r>
      <w:r>
        <w:t xml:space="preserve"> </w:t>
      </w:r>
      <w:r>
        <w:t xml:space="preserve">assumes the tribute it concludes, and Morse</w:t>
      </w:r>
      <w:r>
        <w:t xml:space="preserve"> </w:t>
      </w:r>
      <w:r>
        <w:t xml:space="preserve">(1990:123)</w:t>
      </w:r>
      <w:r>
        <w:t xml:space="preserve"> </w:t>
      </w:r>
      <w:r>
        <w:t xml:space="preserve">also notes that Parkin’s position below the confluence of the St. Francis and Tyronza gave it control of river travel, which accounts for its prominence as well as extraction does. Skeletal evidence that people at a mound center ate better than people at a nearby village comes from Hollywood, one of the assemblages analyzed here, compared with a village of fourteen individuals</w:t>
      </w:r>
      <w:r>
        <w:t xml:space="preserve"> </w:t>
      </w:r>
      <w:r>
        <w:t xml:space="preserve">(Ross-Stallings 2017)</w:t>
      </w:r>
      <w:r>
        <w:t xml:space="preserve">, and a difference in health between two sites need not arise from an extractive hierarchy. Neither argument supplies the regional signal that the comparisons here look for and do not find. If the polity the De Soto expedition met was at Parkin, it is registered in ceremony, fortification, and settlement size rather than in a boundary written into the pottery.</w:t>
      </w:r>
    </w:p>
    <w:bookmarkEnd w:id="177"/>
    <w:bookmarkStart w:id="178" w:name="limits"/>
    <w:p>
      <w:pPr>
        <w:pStyle w:val="Heading3"/>
      </w:pPr>
      <w:r>
        <w:t xml:space="preserve">Limits</w:t>
      </w:r>
    </w:p>
    <w:p>
      <w:pPr>
        <w:pStyle w:val="FirstParagraph"/>
      </w:pPr>
      <w:r>
        <w:t xml:space="preserve">Five limits bound these conclusions. The first is resolution. On a record of this size only cultural</w:t>
      </w:r>
      <w:r>
        <w:t xml:space="preserve"> </w:t>
      </w:r>
      <m:oMath>
        <m:sSub>
          <m:e>
            <m:r>
              <m:t>F</m:t>
            </m:r>
          </m:e>
          <m:sub>
            <m:r>
              <m:t>S</m:t>
            </m:r>
            <m:r>
              <m:t>T</m:t>
            </m:r>
          </m:sub>
        </m:sSub>
      </m:oMath>
      <w:r>
        <w:t xml:space="preserve"> </w:t>
      </w:r>
      <w:r>
        <w:t xml:space="preserve">can detect closure, and only closure expressed as growing divergence between spatial groups. Weaker closure, closure carried purely by conformity within groups, and closure along social divisions that do not follow geography would all escape detection (Supplemental Text). The second is chronology. Radiocarbon dates match only a few assemblages, the seriation axis follows latitude more closely than age, and the order of assemblages is therefore not a time sequence. The absence of a growing trend is a weak statement about change through time; the arguments about where the phase lines fall, and what copying across distance produces, do not depend on it, and the copying-model comparison gives nearly the same answer when all assemblages are treated as contemporaneous. The third is time-averaging, which damps differences between assemblages</w:t>
      </w:r>
      <w:r>
        <w:t xml:space="preserve"> </w:t>
      </w:r>
      <w:r>
        <w:t xml:space="preserve">(Coco and Iovita 2020; Kidwell and Tomašových 2013; Perreault 2018; Tomašových and Kidwell 2009, 2010; Youngblood et al. 2023)</w:t>
      </w:r>
      <w:r>
        <w:t xml:space="preserve">. We built it into both the recovery experiment and the copying model, so its cost is already in the reported ranges rather than an argument for discounting them. The fourth is the copying model itself. A difference from a model is only as meaningful as the model, and a more complete model might absorb the finer-scale difference, as one of our four relaxations does. The fifth is what the copying model can see. At the calibrated mixing rate copying between sites is rare, so restricting it at a line changes little, and the model cannot distinguish a copying boundary from none. Our conclusion that the phases were not bounded groups therefore rests on where their lines fall, what the lines separate, and what could have drawn them, not on the copying model’s failure to find restricted copying.</w:t>
      </w:r>
    </w:p>
    <w:bookmarkEnd w:id="178"/>
    <w:bookmarkStart w:id="179" w:name="what-this-approach-contributes"/>
    <w:p>
      <w:pPr>
        <w:pStyle w:val="Heading3"/>
      </w:pPr>
      <w:r>
        <w:t xml:space="preserve">What this approach contributes</w:t>
      </w:r>
    </w:p>
    <w:p>
      <w:pPr>
        <w:pStyle w:val="FirstParagraph"/>
      </w:pPr>
      <w:r>
        <w:t xml:space="preserve">The method rests on two requirements that apply beyond this case. Before a similarity pattern is read as social, the record must be shown able to detect a social boundary, which the recovery experiment establishes and which here leaves one usable measure out of four. Before a model of copying with no groups is credited with reproducing a record, it must be shown to fit that record’s own diversity. The second requirement changed our own results. An earlier, uncalibrated version of the comparison ran at a within-assemblage diversity well above the record’s, which widened its ranges and made it look as if copying across distance explained everything; the calibrated model is narrower and more informative. A model run at the wrong diversity is easily credited with structure it cannot produce, just as a localized neutral process is easily mistaken for biased copying when diversity is taken at face value</w:t>
      </w:r>
      <w:r>
        <w:t xml:space="preserve"> </w:t>
      </w:r>
      <w:r>
        <w:t xml:space="preserve">(Barton 1996; Premo 2016; Premo and Scholnick 2011; Schneider et al. 2016)</w:t>
      </w:r>
      <w:r>
        <w:t xml:space="preserve">. Two tests in the time domain, a frequency-dependent copying model fitted to the whole sequence with time-averaging built in (transmission bias interval -0.035 to +0.039, including zero) and a comparison of evolutionary modes that is consistent with an unbiased random walk and excludes neither directional change nor mean reversion, find no transition the other analyses missed</w:t>
      </w:r>
      <w:r>
        <w:t xml:space="preserve"> </w:t>
      </w:r>
      <w:r>
        <w:t xml:space="preserve">(Crema et al. 2016; Hunt 2006; Hunt et al. 2008)</w:t>
      </w:r>
      <w:r>
        <w:t xml:space="preserve">. These requirements are a standard of measurement for an evolutionary archaeology that has long been clearer about what evolves than about how to measure it</w:t>
      </w:r>
      <w:r>
        <w:t xml:space="preserve"> </w:t>
      </w:r>
      <w:r>
        <w:t xml:space="preserve">(Dunnell 1995a; Lipo et al. 2015; Neiman 1995)</w:t>
      </w:r>
      <w:r>
        <w:t xml:space="preserve">.</w:t>
      </w:r>
    </w:p>
    <w:p>
      <w:pPr>
        <w:pStyle w:val="BodyText"/>
      </w:pPr>
      <w:r>
        <w:t xml:space="preserve">The analysis is narrow in one further respect. It asks whether interaction closed into bounded groups. It does not address group-level fitness or new units of selection</w:t>
      </w:r>
      <w:r>
        <w:t xml:space="preserve"> </w:t>
      </w:r>
      <w:r>
        <w:t xml:space="preserve">(Richerson et al. 2016)</w:t>
      </w:r>
      <w:r>
        <w:t xml:space="preserve">, and it does not isolate demographic effects on diversity that are independent of closure</w:t>
      </w:r>
      <w:r>
        <w:t xml:space="preserve"> </w:t>
      </w:r>
      <w:r>
        <w:t xml:space="preserve">(Henrich 2004; Powell et al. 2009)</w:t>
      </w:r>
      <w:r>
        <w:t xml:space="preserve">. The finer-scale difference and Parkin’s role would be better tested on stratified, excavated assemblages with independent radiocarbon dates, on compositional and petrographic evidence for where pottery was made, and on exchange, mortuary, and dietary records</w:t>
      </w:r>
      <w:r>
        <w:t xml:space="preserve"> </w:t>
      </w:r>
      <w:r>
        <w:t xml:space="preserve">(Cobb 2000; Ross-Stallings 2017)</w:t>
      </w:r>
      <w:r>
        <w:t xml:space="preserve">.</w:t>
      </w:r>
    </w:p>
    <w:bookmarkEnd w:id="179"/>
    <w:bookmarkEnd w:id="180"/>
    <w:bookmarkStart w:id="181" w:name="conclusion"/>
    <w:p>
      <w:pPr>
        <w:pStyle w:val="Heading2"/>
      </w:pPr>
      <w:r>
        <w:t xml:space="preserve">Conclusion</w:t>
      </w:r>
    </w:p>
    <w:p>
      <w:pPr>
        <w:pStyle w:val="FirstParagraph"/>
      </w:pPr>
      <w:r>
        <w:t xml:space="preserve">The phase is the unit on which lower Mississippi Valley culture history is built, and it carries an unstated claim: that assemblages grouped by seriation and proximity record a community, and at Parkin a polity. A phase can have those qualities only if its stylistic frequencies show properties that copying across space cannot produce, since that copying structures the record no matter what else happens. For the phases of the St. Francis basin, including the Parkin phase, spatially structured drift explains nearly all of the variation in decorated-type frequencies. No boundary develops through the sequence, the small excess at finer scales lies in thin samples rather than around Parkin, and new styles arising locally reproduce it without any restriction on who copied whom.</w:t>
      </w:r>
    </w:p>
    <w:p>
      <w:pPr>
        <w:pStyle w:val="BodyText"/>
      </w:pPr>
      <w:r>
        <w:t xml:space="preserve">What culture historians saw was real, but it was not a social boundary. It was where settlements clustered and the fact that potters copied near neighbors more than distant ones. Sorting assemblages by resemblance and proximity turns that gradient into what looks like a set of groups even when there are none. A similarity cluster is not, by itself, a society, and before a phase is read as one the record must be shown able to tell a boundary from distance, and the model of distance must be shown to fit the record it is compared with.</w:t>
      </w:r>
    </w:p>
    <w:bookmarkEnd w:id="181"/>
    <w:bookmarkStart w:id="182"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the decorated-ceramic class counts, the georeferencing and radiocarbon data, the complete analysis procedure, and instructions for reproducing all results and figures. The neutral copying model is implemented in</w:t>
      </w:r>
      <w:r>
        <w:t xml:space="preserve"> </w:t>
      </w:r>
      <w:r>
        <w:rPr>
          <w:rStyle w:val="VerbatimChar"/>
        </w:rPr>
        <w:t xml:space="preserve">src/mls_emergence/transmission/spatial.py</w:t>
      </w:r>
      <w:r>
        <w:t xml:space="preserve"> </w:t>
      </w:r>
      <w:r>
        <w:t xml:space="preserve">and analyses 47 and 50, which write every simulation, the calibration series, and a configuration fingerprint. The code is released under the MIT License, and the data under a Creative Commons Attribution 4.0 International license.</w:t>
      </w:r>
    </w:p>
    <w:bookmarkEnd w:id="182"/>
    <w:bookmarkStart w:id="336" w:name="references"/>
    <w:p>
      <w:pPr>
        <w:pStyle w:val="Heading2"/>
      </w:pPr>
      <w:r>
        <w:t xml:space="preserve">References</w:t>
      </w:r>
    </w:p>
    <w:bookmarkStart w:id="335" w:name="refs"/>
    <w:bookmarkStart w:id="183"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83"/>
    <w:bookmarkStart w:id="185"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184">
        <w:r>
          <w:rPr>
            <w:rStyle w:val="Hyperlink"/>
          </w:rPr>
          <w:t xml:space="preserve">https://doi.org/10.1098/rstb.1996.0073</w:t>
        </w:r>
      </w:hyperlink>
      <w:r>
        <w:t xml:space="preserve">.</w:t>
      </w:r>
    </w:p>
    <w:bookmarkEnd w:id="185"/>
    <w:bookmarkStart w:id="186"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86"/>
    <w:bookmarkStart w:id="188"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87">
        <w:r>
          <w:rPr>
            <w:rStyle w:val="Hyperlink"/>
          </w:rPr>
          <w:t xml:space="preserve">https://doi.org/10.2307/3557066</w:t>
        </w:r>
      </w:hyperlink>
      <w:r>
        <w:t xml:space="preserve">.</w:t>
      </w:r>
    </w:p>
    <w:bookmarkEnd w:id="188"/>
    <w:bookmarkStart w:id="190"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89">
        <w:r>
          <w:rPr>
            <w:rStyle w:val="Hyperlink"/>
          </w:rPr>
          <w:t xml:space="preserve">https://doi.org/10.1073/pnas.0903232106</w:t>
        </w:r>
      </w:hyperlink>
      <w:r>
        <w:t xml:space="preserve">.</w:t>
      </w:r>
    </w:p>
    <w:bookmarkEnd w:id="190"/>
    <w:bookmarkStart w:id="192"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191">
        <w:r>
          <w:rPr>
            <w:rStyle w:val="Hyperlink"/>
          </w:rPr>
          <w:t xml:space="preserve">https://doi.org/10.1371/journal.pone.0003057</w:t>
        </w:r>
      </w:hyperlink>
      <w:r>
        <w:t xml:space="preserve">.</w:t>
      </w:r>
    </w:p>
    <w:bookmarkEnd w:id="192"/>
    <w:bookmarkStart w:id="194"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93">
        <w:r>
          <w:rPr>
            <w:rStyle w:val="Hyperlink"/>
          </w:rPr>
          <w:t xml:space="preserve">https://doi.org/10.1098/rspb.2004.2746</w:t>
        </w:r>
      </w:hyperlink>
      <w:r>
        <w:t xml:space="preserve">.</w:t>
      </w:r>
    </w:p>
    <w:bookmarkEnd w:id="194"/>
    <w:bookmarkStart w:id="196"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95">
        <w:r>
          <w:rPr>
            <w:rStyle w:val="Hyperlink"/>
          </w:rPr>
          <w:t xml:space="preserve">https://doi.org/10.2307/2694206</w:t>
        </w:r>
      </w:hyperlink>
      <w:r>
        <w:t xml:space="preserve">.</w:t>
      </w:r>
    </w:p>
    <w:bookmarkEnd w:id="196"/>
    <w:bookmarkStart w:id="197"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97"/>
    <w:bookmarkStart w:id="199"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98">
        <w:r>
          <w:rPr>
            <w:rStyle w:val="Hyperlink"/>
          </w:rPr>
          <w:t xml:space="preserve">https://doi.org/10.1057/s41599-019-0295-9</w:t>
        </w:r>
      </w:hyperlink>
      <w:r>
        <w:t xml:space="preserve">.</w:t>
      </w:r>
    </w:p>
    <w:bookmarkEnd w:id="199"/>
    <w:bookmarkStart w:id="200"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200"/>
    <w:bookmarkStart w:id="202"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201">
        <w:r>
          <w:rPr>
            <w:rStyle w:val="Hyperlink"/>
          </w:rPr>
          <w:t xml:space="preserve">https://doi.org/10.1057/s41599-020-00635-3</w:t>
        </w:r>
      </w:hyperlink>
      <w:r>
        <w:t xml:space="preserve">.</w:t>
      </w:r>
    </w:p>
    <w:bookmarkEnd w:id="202"/>
    <w:bookmarkStart w:id="204"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203">
        <w:r>
          <w:rPr>
            <w:rStyle w:val="Hyperlink"/>
          </w:rPr>
          <w:t xml:space="preserve">https://doi.org/10.1007/s10816-022-09599-x</w:t>
        </w:r>
      </w:hyperlink>
      <w:r>
        <w:t xml:space="preserve">.</w:t>
      </w:r>
    </w:p>
    <w:bookmarkEnd w:id="204"/>
    <w:bookmarkStart w:id="206"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205">
        <w:r>
          <w:rPr>
            <w:rStyle w:val="Hyperlink"/>
          </w:rPr>
          <w:t xml:space="preserve">https://doi.org/10.1016/j.jas.2014.07.014</w:t>
        </w:r>
      </w:hyperlink>
      <w:r>
        <w:t xml:space="preserve">.</w:t>
      </w:r>
    </w:p>
    <w:bookmarkEnd w:id="206"/>
    <w:bookmarkStart w:id="208"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207">
        <w:r>
          <w:rPr>
            <w:rStyle w:val="Hyperlink"/>
          </w:rPr>
          <w:t xml:space="preserve">https://doi.org/10.1038/srep39122</w:t>
        </w:r>
      </w:hyperlink>
      <w:r>
        <w:t xml:space="preserve">.</w:t>
      </w:r>
    </w:p>
    <w:bookmarkEnd w:id="208"/>
    <w:bookmarkStart w:id="210"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209">
        <w:r>
          <w:rPr>
            <w:rStyle w:val="Hyperlink"/>
          </w:rPr>
          <w:t xml:space="preserve">https://doi.org/10.2307/278341</w:t>
        </w:r>
      </w:hyperlink>
      <w:r>
        <w:t xml:space="preserve">.</w:t>
      </w:r>
    </w:p>
    <w:bookmarkEnd w:id="210"/>
    <w:bookmarkStart w:id="212"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211">
        <w:r>
          <w:rPr>
            <w:rStyle w:val="Hyperlink"/>
          </w:rPr>
          <w:t xml:space="preserve">https://doi.org/10.2307/279244</w:t>
        </w:r>
      </w:hyperlink>
      <w:r>
        <w:t xml:space="preserve">.</w:t>
      </w:r>
    </w:p>
    <w:bookmarkEnd w:id="212"/>
    <w:bookmarkStart w:id="213"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213"/>
    <w:bookmarkStart w:id="214"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214"/>
    <w:bookmarkStart w:id="215" w:name="ref-dunnell_1995b"/>
    <w:p>
      <w:pPr>
        <w:pStyle w:val="Bibliography"/>
      </w:pPr>
      <w:r>
        <w:t xml:space="preserve">Dunnell, Robert C. 1995b. Style: Concepts and Practice.</w:t>
      </w:r>
    </w:p>
    <w:bookmarkEnd w:id="215"/>
    <w:bookmarkStart w:id="216"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216"/>
    <w:bookmarkStart w:id="218"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217">
        <w:r>
          <w:rPr>
            <w:rStyle w:val="Hyperlink"/>
          </w:rPr>
          <w:t xml:space="preserve">https://doi.org/10.1016/j.jaa.2005.08.001</w:t>
        </w:r>
      </w:hyperlink>
      <w:r>
        <w:t xml:space="preserve">.</w:t>
      </w:r>
    </w:p>
    <w:bookmarkEnd w:id="218"/>
    <w:bookmarkStart w:id="220"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219">
        <w:r>
          <w:rPr>
            <w:rStyle w:val="Hyperlink"/>
          </w:rPr>
          <w:t xml:space="preserve">https://doi.org/10.1007/s10814-007-9013-z</w:t>
        </w:r>
      </w:hyperlink>
      <w:r>
        <w:t xml:space="preserve">.</w:t>
      </w:r>
    </w:p>
    <w:bookmarkEnd w:id="220"/>
    <w:bookmarkStart w:id="221"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221"/>
    <w:bookmarkStart w:id="223"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222">
        <w:r>
          <w:rPr>
            <w:rStyle w:val="Hyperlink"/>
          </w:rPr>
          <w:t xml:space="preserve">https://doi.org/10.1534/genetics.113.158220</w:t>
        </w:r>
      </w:hyperlink>
      <w:r>
        <w:t xml:space="preserve">.</w:t>
      </w:r>
    </w:p>
    <w:bookmarkEnd w:id="223"/>
    <w:bookmarkStart w:id="225"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224">
        <w:r>
          <w:rPr>
            <w:rStyle w:val="Hyperlink"/>
          </w:rPr>
          <w:t xml:space="preserve">https://doi.org/10.1073/pnas.2418106121</w:t>
        </w:r>
      </w:hyperlink>
      <w:r>
        <w:t xml:space="preserve">.</w:t>
      </w:r>
    </w:p>
    <w:bookmarkEnd w:id="225"/>
    <w:bookmarkStart w:id="226"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226"/>
    <w:bookmarkStart w:id="228" w:name="ref-haley_2014"/>
    <w:p>
      <w:pPr>
        <w:pStyle w:val="Bibliography"/>
      </w:pPr>
      <w:r>
        <w:t xml:space="preserve">Haley, Bryan S. 2014. The Big Picture at</w:t>
      </w:r>
      <w:r>
        <w:t xml:space="preserve"> </w:t>
      </w:r>
      <w:r>
        <w:t xml:space="preserve">Hollywood</w:t>
      </w:r>
      <w:r>
        <w:t xml:space="preserve">: Geophysical and Archaeological Investigations at a</w:t>
      </w:r>
      <w:r>
        <w:t xml:space="preserve"> </w:t>
      </w:r>
      <w:r>
        <w:t xml:space="preserve">Mississippian</w:t>
      </w:r>
      <w:r>
        <w:t xml:space="preserve"> </w:t>
      </w:r>
      <w:r>
        <w:t xml:space="preserve">Mound Centre.</w:t>
      </w:r>
      <w:r>
        <w:t xml:space="preserve"> </w:t>
      </w:r>
      <w:r>
        <w:rPr>
          <w:i/>
          <w:iCs/>
        </w:rPr>
        <w:t xml:space="preserve">Archaeological Prospection</w:t>
      </w:r>
      <w:r>
        <w:t xml:space="preserve">.</w:t>
      </w:r>
      <w:r>
        <w:t xml:space="preserve"> </w:t>
      </w:r>
      <w:hyperlink r:id="rId227">
        <w:r>
          <w:rPr>
            <w:rStyle w:val="Hyperlink"/>
          </w:rPr>
          <w:t xml:space="preserve">https://doi.org/10.1002/arp.1477</w:t>
        </w:r>
      </w:hyperlink>
      <w:r>
        <w:t xml:space="preserve">.</w:t>
      </w:r>
    </w:p>
    <w:bookmarkEnd w:id="228"/>
    <w:bookmarkStart w:id="230"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229">
        <w:r>
          <w:rPr>
            <w:rStyle w:val="Hyperlink"/>
          </w:rPr>
          <w:t xml:space="preserve">https://doi.org/10.1525/aa.2001.103.4.992</w:t>
        </w:r>
      </w:hyperlink>
      <w:r>
        <w:t xml:space="preserve">.</w:t>
      </w:r>
    </w:p>
    <w:bookmarkEnd w:id="230"/>
    <w:bookmarkStart w:id="232"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231">
        <w:r>
          <w:rPr>
            <w:rStyle w:val="Hyperlink"/>
          </w:rPr>
          <w:t xml:space="preserve">https://doi.org/10.2307/4128416</w:t>
        </w:r>
      </w:hyperlink>
      <w:r>
        <w:t xml:space="preserve">.</w:t>
      </w:r>
    </w:p>
    <w:bookmarkEnd w:id="232"/>
    <w:bookmarkStart w:id="234"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233">
        <w:r>
          <w:rPr>
            <w:rStyle w:val="Hyperlink"/>
          </w:rPr>
          <w:t xml:space="preserve">https://doi.org/10.1016/S1090-5138(98)00018-X</w:t>
        </w:r>
      </w:hyperlink>
      <w:r>
        <w:t xml:space="preserve">.</w:t>
      </w:r>
    </w:p>
    <w:bookmarkEnd w:id="234"/>
    <w:bookmarkStart w:id="235"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235"/>
    <w:bookmarkStart w:id="237"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236">
        <w:r>
          <w:rPr>
            <w:rStyle w:val="Hyperlink"/>
          </w:rPr>
          <w:t xml:space="preserve">https://doi.org/10.1017/aap.2021.10</w:t>
        </w:r>
      </w:hyperlink>
      <w:r>
        <w:t xml:space="preserve">.</w:t>
      </w:r>
    </w:p>
    <w:bookmarkEnd w:id="237"/>
    <w:bookmarkStart w:id="238"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 Carbondale.</w:t>
      </w:r>
    </w:p>
    <w:bookmarkEnd w:id="238"/>
    <w:bookmarkStart w:id="239"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39"/>
    <w:bookmarkStart w:id="240"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40"/>
    <w:bookmarkStart w:id="242"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241">
        <w:r>
          <w:rPr>
            <w:rStyle w:val="Hyperlink"/>
          </w:rPr>
          <w:t xml:space="preserve">https://doi.org/10.1666/05070.1</w:t>
        </w:r>
      </w:hyperlink>
      <w:r>
        <w:t xml:space="preserve">.</w:t>
      </w:r>
    </w:p>
    <w:bookmarkEnd w:id="242"/>
    <w:bookmarkStart w:id="244"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243">
        <w:r>
          <w:rPr>
            <w:rStyle w:val="Hyperlink"/>
          </w:rPr>
          <w:t xml:space="preserve">https://doi.org/10.1111/j.1558-5646.2007.00310.x</w:t>
        </w:r>
      </w:hyperlink>
      <w:r>
        <w:t xml:space="preserve">.</w:t>
      </w:r>
    </w:p>
    <w:bookmarkEnd w:id="244"/>
    <w:bookmarkStart w:id="245"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245"/>
    <w:bookmarkStart w:id="247"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246">
        <w:r>
          <w:rPr>
            <w:rStyle w:val="Hyperlink"/>
          </w:rPr>
          <w:t xml:space="preserve">https://doi.org/10.1016/j.jtbi.2013.03.006</w:t>
        </w:r>
      </w:hyperlink>
      <w:r>
        <w:t xml:space="preserve">.</w:t>
      </w:r>
    </w:p>
    <w:bookmarkEnd w:id="247"/>
    <w:bookmarkStart w:id="249"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248">
        <w:r>
          <w:rPr>
            <w:rStyle w:val="Hyperlink"/>
          </w:rPr>
          <w:t xml:space="preserve">https://doi.org/10.1098/rsif.2015.0905</w:t>
        </w:r>
      </w:hyperlink>
      <w:r>
        <w:t xml:space="preserve">.</w:t>
      </w:r>
    </w:p>
    <w:bookmarkEnd w:id="249"/>
    <w:bookmarkStart w:id="251"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250">
        <w:r>
          <w:rPr>
            <w:rStyle w:val="Hyperlink"/>
          </w:rPr>
          <w:t xml:space="preserve">https://doi.org/10.1098/rsos.170949</w:t>
        </w:r>
      </w:hyperlink>
      <w:r>
        <w:t xml:space="preserve">.</w:t>
      </w:r>
    </w:p>
    <w:bookmarkEnd w:id="251"/>
    <w:bookmarkStart w:id="253"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52">
        <w:r>
          <w:rPr>
            <w:rStyle w:val="Hyperlink"/>
          </w:rPr>
          <w:t xml:space="preserve">https://doi.org/10.1146/annurev-ecolsys-110512-135838</w:t>
        </w:r>
      </w:hyperlink>
      <w:r>
        <w:t xml:space="preserve">.</w:t>
      </w:r>
    </w:p>
    <w:bookmarkEnd w:id="253"/>
    <w:bookmarkStart w:id="254"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54"/>
    <w:bookmarkStart w:id="255"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55"/>
    <w:bookmarkStart w:id="256"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56"/>
    <w:bookmarkStart w:id="258"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57">
        <w:r>
          <w:rPr>
            <w:rStyle w:val="Hyperlink"/>
          </w:rPr>
          <w:t xml:space="preserve">https://doi.org/10.1371/journal.pone.0250690</w:t>
        </w:r>
      </w:hyperlink>
      <w:r>
        <w:t xml:space="preserve">.</w:t>
      </w:r>
    </w:p>
    <w:bookmarkEnd w:id="258"/>
    <w:bookmarkStart w:id="259"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59"/>
    <w:bookmarkStart w:id="26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260"/>
    <w:bookmarkStart w:id="26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61">
        <w:r>
          <w:rPr>
            <w:rStyle w:val="Hyperlink"/>
          </w:rPr>
          <w:t xml:space="preserve">https://doi.org/10.1371/journal.pone.0124942</w:t>
        </w:r>
      </w:hyperlink>
      <w:r>
        <w:t xml:space="preserve">.</w:t>
      </w:r>
    </w:p>
    <w:bookmarkEnd w:id="262"/>
    <w:bookmarkStart w:id="26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63">
        <w:r>
          <w:rPr>
            <w:rStyle w:val="Hyperlink"/>
          </w:rPr>
          <w:t xml:space="preserve">https://doi.org/10.1006/jaar.1997.0314</w:t>
        </w:r>
      </w:hyperlink>
      <w:r>
        <w:t xml:space="preserve">.</w:t>
      </w:r>
    </w:p>
    <w:bookmarkEnd w:id="264"/>
    <w:bookmarkStart w:id="265" w:name="ref-madsen_2012"/>
    <w:p>
      <w:pPr>
        <w:pStyle w:val="Bibliography"/>
      </w:pPr>
      <w:r>
        <w:t xml:space="preserve">Madsen, Mark E. 2012. Neutral Cultural Transmission in Time-Averaged Archaeological Assemblages. arXiv preprint arXiv:1204.2043 [physics.soc-ph].</w:t>
      </w:r>
    </w:p>
    <w:bookmarkEnd w:id="265"/>
    <w:bookmarkStart w:id="266"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66"/>
    <w:bookmarkStart w:id="267"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67"/>
    <w:bookmarkStart w:id="268"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68"/>
    <w:bookmarkStart w:id="269"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69"/>
    <w:bookmarkStart w:id="270" w:name="ref-mcnutt_1996"/>
    <w:p>
      <w:pPr>
        <w:pStyle w:val="Bibliography"/>
      </w:pPr>
      <w:r>
        <w:t xml:space="preserve">McNutt, Charles H. 1996. The Central</w:t>
      </w:r>
      <w:r>
        <w:t xml:space="preserve"> </w:t>
      </w:r>
      <w:r>
        <w:t xml:space="preserve">Mississippi</w:t>
      </w:r>
      <w:r>
        <w:t xml:space="preserve"> </w:t>
      </w:r>
      <w:r>
        <w:t xml:space="preserve">Valley: A Summary. In</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edited by Charles H. McNutt, pp. 187–. University of Alabama Press, Tuscaloosa.</w:t>
      </w:r>
    </w:p>
    <w:bookmarkEnd w:id="270"/>
    <w:bookmarkStart w:id="271" w:name="ref-mcnutt_franklin_henry_2012"/>
    <w:p>
      <w:pPr>
        <w:pStyle w:val="Bibliography"/>
      </w:pPr>
      <w:r>
        <w:t xml:space="preserve">McNutt, Charles H., Jay D. Franklin, and Edward R. Henry. 2012. New Perspectives on</w:t>
      </w:r>
      <w:r>
        <w:t xml:space="preserve"> </w:t>
      </w:r>
      <w:r>
        <w:t xml:space="preserve">Mississippian</w:t>
      </w:r>
      <w:r>
        <w:t xml:space="preserve"> </w:t>
      </w:r>
      <w:r>
        <w:t xml:space="preserve">Occupations in Western</w:t>
      </w:r>
      <w:r>
        <w:t xml:space="preserve"> </w:t>
      </w:r>
      <w:r>
        <w:t xml:space="preserve">Tennessee</w:t>
      </w:r>
      <w:r>
        <w:t xml:space="preserve"> </w:t>
      </w:r>
      <w:r>
        <w:t xml:space="preserve">and Northwestern</w:t>
      </w:r>
      <w:r>
        <w:t xml:space="preserve"> </w:t>
      </w:r>
      <w:r>
        <w:t xml:space="preserve">Mississippi</w:t>
      </w:r>
      <w:r>
        <w:t xml:space="preserve">: Recent Chronological and Geophysical Investigations at</w:t>
      </w:r>
      <w:r>
        <w:t xml:space="preserve"> </w:t>
      </w:r>
      <w:r>
        <w:t xml:space="preserve">Chucalissa</w:t>
      </w:r>
      <w:r>
        <w:t xml:space="preserve"> </w:t>
      </w:r>
      <w:r>
        <w:t xml:space="preserve">(40SY1),</w:t>
      </w:r>
      <w:r>
        <w:t xml:space="preserve"> </w:t>
      </w:r>
      <w:r>
        <w:t xml:space="preserve">Shelby</w:t>
      </w:r>
      <w:r>
        <w:t xml:space="preserve"> </w:t>
      </w:r>
      <w:r>
        <w:t xml:space="preserve">County</w:t>
      </w:r>
      <w:r>
        <w:t xml:space="preserve">,</w:t>
      </w:r>
      <w:r>
        <w:t xml:space="preserve"> </w:t>
      </w:r>
      <w:r>
        <w:t xml:space="preserve">Tennessee</w:t>
      </w:r>
      <w:r>
        <w:t xml:space="preserve">.</w:t>
      </w:r>
      <w:r>
        <w:t xml:space="preserve"> </w:t>
      </w:r>
      <w:r>
        <w:rPr>
          <w:i/>
          <w:iCs/>
        </w:rPr>
        <w:t xml:space="preserve">Southeastern Archaeology</w:t>
      </w:r>
      <w:r>
        <w:t xml:space="preserve"> </w:t>
      </w:r>
      <w:r>
        <w:t xml:space="preserve">31(2):231–250.</w:t>
      </w:r>
    </w:p>
    <w:bookmarkEnd w:id="271"/>
    <w:bookmarkStart w:id="272"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272"/>
    <w:bookmarkStart w:id="274"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73">
        <w:r>
          <w:rPr>
            <w:rStyle w:val="Hyperlink"/>
          </w:rPr>
          <w:t xml:space="preserve">https://doi.org/10.1080/20548923.2018.1504490</w:t>
        </w:r>
      </w:hyperlink>
      <w:r>
        <w:t xml:space="preserve">.</w:t>
      </w:r>
    </w:p>
    <w:bookmarkEnd w:id="274"/>
    <w:bookmarkStart w:id="275"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75"/>
    <w:bookmarkStart w:id="276" w:name="ref-mitchem_2017"/>
    <w:p>
      <w:pPr>
        <w:pStyle w:val="Bibliography"/>
      </w:pPr>
      <w:r>
        <w:t xml:space="preserve">Mitchem, Jeffrey M., David W. Stahle, Timothy S. Mulvihill, and Jami J. Lockhart.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276"/>
    <w:bookmarkStart w:id="277"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77"/>
    <w:bookmarkStart w:id="278"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78"/>
    <w:bookmarkStart w:id="279"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79"/>
    <w:bookmarkStart w:id="280"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80"/>
    <w:bookmarkStart w:id="282" w:name="ref-nei_1973"/>
    <w:p>
      <w:pPr>
        <w:pStyle w:val="Bibliography"/>
      </w:pPr>
      <w:r>
        <w:t xml:space="preserve">Nei, Masatoshi. 1973. Analysis of Gene Diversity in Subdivided Populations.</w:t>
      </w:r>
      <w:r>
        <w:t xml:space="preserve"> </w:t>
      </w:r>
      <w:r>
        <w:rPr>
          <w:i/>
          <w:iCs/>
        </w:rPr>
        <w:t xml:space="preserve">Proceedings of the National Academy of Sciences</w:t>
      </w:r>
      <w:r>
        <w:t xml:space="preserve"> </w:t>
      </w:r>
      <w:r>
        <w:t xml:space="preserve">70(12):3321–3323.</w:t>
      </w:r>
      <w:r>
        <w:t xml:space="preserve"> </w:t>
      </w:r>
      <w:hyperlink r:id="rId281">
        <w:r>
          <w:rPr>
            <w:rStyle w:val="Hyperlink"/>
          </w:rPr>
          <w:t xml:space="preserve">https://doi.org/10.1073/pnas.70.12.3321</w:t>
        </w:r>
      </w:hyperlink>
      <w:r>
        <w:t xml:space="preserve">.</w:t>
      </w:r>
    </w:p>
    <w:bookmarkEnd w:id="282"/>
    <w:bookmarkStart w:id="283"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83"/>
    <w:bookmarkStart w:id="284"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284"/>
    <w:bookmarkStart w:id="286"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285">
        <w:r>
          <w:rPr>
            <w:rStyle w:val="Hyperlink"/>
          </w:rPr>
          <w:t xml:space="preserve">https://doi.org/10.1098/rstb.2016.0426</w:t>
        </w:r>
      </w:hyperlink>
      <w:r>
        <w:t xml:space="preserve">.</w:t>
      </w:r>
    </w:p>
    <w:bookmarkEnd w:id="286"/>
    <w:bookmarkStart w:id="288"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87">
        <w:r>
          <w:rPr>
            <w:rStyle w:val="Hyperlink"/>
          </w:rPr>
          <w:t xml:space="preserve">https://doi.org/10.2307/279066</w:t>
        </w:r>
      </w:hyperlink>
      <w:r>
        <w:t xml:space="preserve">.</w:t>
      </w:r>
    </w:p>
    <w:bookmarkEnd w:id="288"/>
    <w:bookmarkStart w:id="290"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89">
        <w:r>
          <w:rPr>
            <w:rStyle w:val="Hyperlink"/>
          </w:rPr>
          <w:t xml:space="preserve">https://doi.org/10.1016/j.jas.2012.04.040</w:t>
        </w:r>
      </w:hyperlink>
      <w:r>
        <w:t xml:space="preserve">.</w:t>
      </w:r>
    </w:p>
    <w:bookmarkEnd w:id="290"/>
    <w:bookmarkStart w:id="292"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91">
        <w:r>
          <w:rPr>
            <w:rStyle w:val="Hyperlink"/>
          </w:rPr>
          <w:t xml:space="preserve">https://doi.org/10.1007/s10816-018-9364-4</w:t>
        </w:r>
      </w:hyperlink>
      <w:r>
        <w:t xml:space="preserve">.</w:t>
      </w:r>
    </w:p>
    <w:bookmarkEnd w:id="292"/>
    <w:bookmarkStart w:id="293"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93"/>
    <w:bookmarkStart w:id="294"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94"/>
    <w:bookmarkStart w:id="295"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95"/>
    <w:bookmarkStart w:id="297"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96">
        <w:r>
          <w:rPr>
            <w:rStyle w:val="Hyperlink"/>
          </w:rPr>
          <w:t xml:space="preserve">https://doi.org/10.1525/aa.1953.55.5.02a00030</w:t>
        </w:r>
      </w:hyperlink>
      <w:r>
        <w:t xml:space="preserve">.</w:t>
      </w:r>
    </w:p>
    <w:bookmarkEnd w:id="297"/>
    <w:bookmarkStart w:id="299"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298">
        <w:r>
          <w:rPr>
            <w:rStyle w:val="Hyperlink"/>
          </w:rPr>
          <w:t xml:space="preserve">https://doi.org/10.1126/science.1170165</w:t>
        </w:r>
      </w:hyperlink>
      <w:r>
        <w:t xml:space="preserve">.</w:t>
      </w:r>
    </w:p>
    <w:bookmarkEnd w:id="299"/>
    <w:bookmarkStart w:id="301"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300">
        <w:r>
          <w:rPr>
            <w:rStyle w:val="Hyperlink"/>
          </w:rPr>
          <w:t xml:space="preserve">https://doi.org/10.1086/674873</w:t>
        </w:r>
      </w:hyperlink>
      <w:r>
        <w:t xml:space="preserve">.</w:t>
      </w:r>
    </w:p>
    <w:bookmarkEnd w:id="301"/>
    <w:bookmarkStart w:id="303"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302">
        <w:r>
          <w:rPr>
            <w:rStyle w:val="Hyperlink"/>
          </w:rPr>
          <w:t xml:space="preserve">https://doi.org/10.7183/0002-7316.81.4.605</w:t>
        </w:r>
      </w:hyperlink>
      <w:r>
        <w:t xml:space="preserve">.</w:t>
      </w:r>
    </w:p>
    <w:bookmarkEnd w:id="303"/>
    <w:bookmarkStart w:id="305"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304">
        <w:r>
          <w:rPr>
            <w:rStyle w:val="Hyperlink"/>
          </w:rPr>
          <w:t xml:space="preserve">https://doi.org/10.7183/0002-7316.76.1.163</w:t>
        </w:r>
      </w:hyperlink>
      <w:r>
        <w:t xml:space="preserve">.</w:t>
      </w:r>
    </w:p>
    <w:bookmarkEnd w:id="305"/>
    <w:bookmarkStart w:id="306"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306"/>
    <w:bookmarkStart w:id="308"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307">
        <w:r>
          <w:rPr>
            <w:rStyle w:val="Hyperlink"/>
          </w:rPr>
          <w:t xml:space="preserve">https://doi.org/10.1017/RDC.2020.41</w:t>
        </w:r>
      </w:hyperlink>
      <w:r>
        <w:t xml:space="preserve">.</w:t>
      </w:r>
    </w:p>
    <w:bookmarkEnd w:id="308"/>
    <w:bookmarkStart w:id="310"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309">
        <w:r>
          <w:rPr>
            <w:rStyle w:val="Hyperlink"/>
          </w:rPr>
          <w:t xml:space="preserve">https://doi.org/10.1017/S0140525X1400106X</w:t>
        </w:r>
      </w:hyperlink>
      <w:r>
        <w:t xml:space="preserve">.</w:t>
      </w:r>
    </w:p>
    <w:bookmarkEnd w:id="310"/>
    <w:bookmarkStart w:id="312"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311">
        <w:r>
          <w:rPr>
            <w:rStyle w:val="Hyperlink"/>
          </w:rPr>
          <w:t xml:space="preserve">https://doi.org/10.1057/s41599-019-0260-7</w:t>
        </w:r>
      </w:hyperlink>
      <w:r>
        <w:t xml:space="preserve">.</w:t>
      </w:r>
    </w:p>
    <w:bookmarkEnd w:id="312"/>
    <w:bookmarkStart w:id="313"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313"/>
    <w:bookmarkStart w:id="314"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314"/>
    <w:bookmarkStart w:id="315"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315"/>
    <w:bookmarkStart w:id="317"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316">
        <w:r>
          <w:rPr>
            <w:rStyle w:val="Hyperlink"/>
          </w:rPr>
          <w:t xml:space="preserve">https://doi.org/10.1016/j.jtbi.2016.04.024</w:t>
        </w:r>
      </w:hyperlink>
      <w:r>
        <w:t xml:space="preserve">.</w:t>
      </w:r>
    </w:p>
    <w:bookmarkEnd w:id="317"/>
    <w:bookmarkStart w:id="319"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318">
        <w:r>
          <w:rPr>
            <w:rStyle w:val="Hyperlink"/>
          </w:rPr>
          <w:t xml:space="preserve">https://doi.org/10.1016/j.evolhumbehav.2014.09.006</w:t>
        </w:r>
      </w:hyperlink>
      <w:r>
        <w:t xml:space="preserve">.</w:t>
      </w:r>
    </w:p>
    <w:bookmarkEnd w:id="319"/>
    <w:bookmarkStart w:id="320"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320"/>
    <w:bookmarkStart w:id="321"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321"/>
    <w:bookmarkStart w:id="322"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322"/>
    <w:bookmarkStart w:id="323"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323"/>
    <w:bookmarkStart w:id="324"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324"/>
    <w:bookmarkStart w:id="326"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325">
        <w:r>
          <w:rPr>
            <w:rStyle w:val="Hyperlink"/>
          </w:rPr>
          <w:t xml:space="preserve">https://doi.org/10.1086/651661</w:t>
        </w:r>
      </w:hyperlink>
      <w:r>
        <w:t xml:space="preserve">.</w:t>
      </w:r>
    </w:p>
    <w:bookmarkEnd w:id="326"/>
    <w:bookmarkStart w:id="327"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327"/>
    <w:bookmarkStart w:id="328" w:name="ref-williams_1954"/>
    <w:p>
      <w:pPr>
        <w:pStyle w:val="Bibliography"/>
      </w:pPr>
      <w:r>
        <w:t xml:space="preserve">Williams, Stephen. 1954. An Archeological Study of the Mississippian Culture in Southeast Missouri. PhD thesis, Yale University, New Haven.</w:t>
      </w:r>
    </w:p>
    <w:bookmarkEnd w:id="328"/>
    <w:bookmarkStart w:id="330"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329">
        <w:r>
          <w:rPr>
            <w:rStyle w:val="Hyperlink"/>
          </w:rPr>
          <w:t xml:space="preserve">https://doi.org/10.1093/genetics/28.2.114</w:t>
        </w:r>
      </w:hyperlink>
      <w:r>
        <w:t xml:space="preserve">.</w:t>
      </w:r>
    </w:p>
    <w:bookmarkEnd w:id="330"/>
    <w:bookmarkStart w:id="332"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331">
        <w:r>
          <w:rPr>
            <w:rStyle w:val="Hyperlink"/>
          </w:rPr>
          <w:t xml:space="preserve">https://doi.org/10.1111/j.1469-1809.1949.tb02451.x</w:t>
        </w:r>
      </w:hyperlink>
      <w:r>
        <w:t xml:space="preserve">.</w:t>
      </w:r>
    </w:p>
    <w:bookmarkEnd w:id="332"/>
    <w:bookmarkStart w:id="334"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333">
        <w:r>
          <w:rPr>
            <w:rStyle w:val="Hyperlink"/>
          </w:rPr>
          <w:t xml:space="preserve">https://doi.org/10.1017/ehs.2023.5</w:t>
        </w:r>
      </w:hyperlink>
      <w:r>
        <w:t xml:space="preserve">.</w:t>
      </w:r>
    </w:p>
    <w:bookmarkEnd w:id="334"/>
    <w:bookmarkEnd w:id="335"/>
    <w:bookmarkEnd w:id="336"/>
    <w:bookmarkEnd w:id="337"/>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70" Target="media/rId170.png" /><Relationship Type="http://schemas.openxmlformats.org/officeDocument/2006/relationships/image" Id="rId111" Target="media/rId111.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7" Target="media/rId127.png" /><Relationship Type="http://schemas.openxmlformats.org/officeDocument/2006/relationships/image" Id="rId138" Target="media/rId138.png" /><Relationship Type="http://schemas.openxmlformats.org/officeDocument/2006/relationships/image" Id="rId142" Target="media/rId142.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hyperlink" Id="rId227" Target="https://doi.org/10.1002/arp.1477" TargetMode="External" /><Relationship Type="http://schemas.openxmlformats.org/officeDocument/2006/relationships/hyperlink" Id="rId263" Target="https://doi.org/10.1006/jaar.1997.0314" TargetMode="External" /><Relationship Type="http://schemas.openxmlformats.org/officeDocument/2006/relationships/hyperlink" Id="rId219" Target="https://doi.org/10.1007/s10814-007-9013-z" TargetMode="External" /><Relationship Type="http://schemas.openxmlformats.org/officeDocument/2006/relationships/hyperlink" Id="rId291" Target="https://doi.org/10.1007/s10816-018-9364-4" TargetMode="External" /><Relationship Type="http://schemas.openxmlformats.org/officeDocument/2006/relationships/hyperlink" Id="rId203" Target="https://doi.org/10.1007/s10816-022-09599-x" TargetMode="External" /><Relationship Type="http://schemas.openxmlformats.org/officeDocument/2006/relationships/hyperlink" Id="rId233" Target="https://doi.org/10.1016/S1090-5138(98)00018-X" TargetMode="External" /><Relationship Type="http://schemas.openxmlformats.org/officeDocument/2006/relationships/hyperlink" Id="rId318" Target="https://doi.org/10.1016/j.evolhumbehav.2014.09.006" TargetMode="External" /><Relationship Type="http://schemas.openxmlformats.org/officeDocument/2006/relationships/hyperlink" Id="rId217" Target="https://doi.org/10.1016/j.jaa.2005.08.001" TargetMode="External" /><Relationship Type="http://schemas.openxmlformats.org/officeDocument/2006/relationships/hyperlink" Id="rId289" Target="https://doi.org/10.1016/j.jas.2012.04.040" TargetMode="External" /><Relationship Type="http://schemas.openxmlformats.org/officeDocument/2006/relationships/hyperlink" Id="rId205" Target="https://doi.org/10.1016/j.jas.2014.07.014" TargetMode="External" /><Relationship Type="http://schemas.openxmlformats.org/officeDocument/2006/relationships/hyperlink" Id="rId246" Target="https://doi.org/10.1016/j.jtbi.2013.03.006" TargetMode="External" /><Relationship Type="http://schemas.openxmlformats.org/officeDocument/2006/relationships/hyperlink" Id="rId316" Target="https://doi.org/10.1016/j.jtbi.2016.04.024" TargetMode="External" /><Relationship Type="http://schemas.openxmlformats.org/officeDocument/2006/relationships/hyperlink" Id="rId307" Target="https://doi.org/10.1017/RDC.2020.41" TargetMode="External" /><Relationship Type="http://schemas.openxmlformats.org/officeDocument/2006/relationships/hyperlink" Id="rId309" Target="https://doi.org/10.1017/S0140525X1400106X" TargetMode="External" /><Relationship Type="http://schemas.openxmlformats.org/officeDocument/2006/relationships/hyperlink" Id="rId236" Target="https://doi.org/10.1017/aap.2021.10" TargetMode="External" /><Relationship Type="http://schemas.openxmlformats.org/officeDocument/2006/relationships/hyperlink" Id="rId333" Target="https://doi.org/10.1017/ehs.2023.5" TargetMode="External" /><Relationship Type="http://schemas.openxmlformats.org/officeDocument/2006/relationships/hyperlink" Id="rId207" Target="https://doi.org/10.1038/srep39122" TargetMode="External" /><Relationship Type="http://schemas.openxmlformats.org/officeDocument/2006/relationships/hyperlink" Id="rId311" Target="https://doi.org/10.1057/s41599-019-0260-7" TargetMode="External" /><Relationship Type="http://schemas.openxmlformats.org/officeDocument/2006/relationships/hyperlink" Id="rId198" Target="https://doi.org/10.1057/s41599-019-0295-9" TargetMode="External" /><Relationship Type="http://schemas.openxmlformats.org/officeDocument/2006/relationships/hyperlink" Id="rId201" Target="https://doi.org/10.1057/s41599-020-00635-3" TargetMode="External" /><Relationship Type="http://schemas.openxmlformats.org/officeDocument/2006/relationships/hyperlink" Id="rId189" Target="https://doi.org/10.1073/pnas.0903232106" TargetMode="External" /><Relationship Type="http://schemas.openxmlformats.org/officeDocument/2006/relationships/hyperlink" Id="rId224" Target="https://doi.org/10.1073/pnas.2418106121" TargetMode="External" /><Relationship Type="http://schemas.openxmlformats.org/officeDocument/2006/relationships/hyperlink" Id="rId281" Target="https://doi.org/10.1073/pnas.70.12.3321" TargetMode="External" /><Relationship Type="http://schemas.openxmlformats.org/officeDocument/2006/relationships/hyperlink" Id="rId273" Target="https://doi.org/10.1080/20548923.2018.1504490" TargetMode="External" /><Relationship Type="http://schemas.openxmlformats.org/officeDocument/2006/relationships/hyperlink" Id="rId325" Target="https://doi.org/10.1086/651661" TargetMode="External" /><Relationship Type="http://schemas.openxmlformats.org/officeDocument/2006/relationships/hyperlink" Id="rId300" Target="https://doi.org/10.1086/674873" TargetMode="External" /><Relationship Type="http://schemas.openxmlformats.org/officeDocument/2006/relationships/hyperlink" Id="rId329" Target="https://doi.org/10.1093/genetics/28.2.114" TargetMode="External" /><Relationship Type="http://schemas.openxmlformats.org/officeDocument/2006/relationships/hyperlink" Id="rId248" Target="https://doi.org/10.1098/rsif.2015.0905" TargetMode="External" /><Relationship Type="http://schemas.openxmlformats.org/officeDocument/2006/relationships/hyperlink" Id="rId250" Target="https://doi.org/10.1098/rsos.170949" TargetMode="External" /><Relationship Type="http://schemas.openxmlformats.org/officeDocument/2006/relationships/hyperlink" Id="rId193" Target="https://doi.org/10.1098/rspb.2004.2746" TargetMode="External" /><Relationship Type="http://schemas.openxmlformats.org/officeDocument/2006/relationships/hyperlink" Id="rId184" Target="https://doi.org/10.1098/rstb.1996.0073" TargetMode="External" /><Relationship Type="http://schemas.openxmlformats.org/officeDocument/2006/relationships/hyperlink" Id="rId285" Target="https://doi.org/10.1098/rstb.2016.0426" TargetMode="External" /><Relationship Type="http://schemas.openxmlformats.org/officeDocument/2006/relationships/hyperlink" Id="rId331" Target="https://doi.org/10.1111/j.1469-1809.1949.tb02451.x" TargetMode="External" /><Relationship Type="http://schemas.openxmlformats.org/officeDocument/2006/relationships/hyperlink" Id="rId243" Target="https://doi.org/10.1111/j.1558-5646.2007.00310.x" TargetMode="External" /><Relationship Type="http://schemas.openxmlformats.org/officeDocument/2006/relationships/hyperlink" Id="rId298" Target="https://doi.org/10.1126/science.1170165" TargetMode="External" /><Relationship Type="http://schemas.openxmlformats.org/officeDocument/2006/relationships/hyperlink" Id="rId252" Target="https://doi.org/10.1146/annurev-ecolsys-110512-135838" TargetMode="External" /><Relationship Type="http://schemas.openxmlformats.org/officeDocument/2006/relationships/hyperlink" Id="rId191" Target="https://doi.org/10.1371/journal.pone.0003057" TargetMode="External" /><Relationship Type="http://schemas.openxmlformats.org/officeDocument/2006/relationships/hyperlink" Id="rId261" Target="https://doi.org/10.1371/journal.pone.0124942" TargetMode="External" /><Relationship Type="http://schemas.openxmlformats.org/officeDocument/2006/relationships/hyperlink" Id="rId257" Target="https://doi.org/10.1371/journal.pone.0250690" TargetMode="External" /><Relationship Type="http://schemas.openxmlformats.org/officeDocument/2006/relationships/hyperlink" Id="rId296" Target="https://doi.org/10.1525/aa.1953.55.5.02a00030" TargetMode="External" /><Relationship Type="http://schemas.openxmlformats.org/officeDocument/2006/relationships/hyperlink" Id="rId229" Target="https://doi.org/10.1525/aa.2001.103.4.992" TargetMode="External" /><Relationship Type="http://schemas.openxmlformats.org/officeDocument/2006/relationships/hyperlink" Id="rId222" Target="https://doi.org/10.1534/genetics.113.158220" TargetMode="External" /><Relationship Type="http://schemas.openxmlformats.org/officeDocument/2006/relationships/hyperlink" Id="rId241" Target="https://doi.org/10.1666/05070.1" TargetMode="External" /><Relationship Type="http://schemas.openxmlformats.org/officeDocument/2006/relationships/hyperlink" Id="rId195" Target="https://doi.org/10.2307/2694206" TargetMode="External" /><Relationship Type="http://schemas.openxmlformats.org/officeDocument/2006/relationships/hyperlink" Id="rId209" Target="https://doi.org/10.2307/278341" TargetMode="External" /><Relationship Type="http://schemas.openxmlformats.org/officeDocument/2006/relationships/hyperlink" Id="rId287" Target="https://doi.org/10.2307/279066" TargetMode="External" /><Relationship Type="http://schemas.openxmlformats.org/officeDocument/2006/relationships/hyperlink" Id="rId211" Target="https://doi.org/10.2307/279244" TargetMode="External" /><Relationship Type="http://schemas.openxmlformats.org/officeDocument/2006/relationships/hyperlink" Id="rId187" Target="https://doi.org/10.2307/3557066" TargetMode="External" /><Relationship Type="http://schemas.openxmlformats.org/officeDocument/2006/relationships/hyperlink" Id="rId231" Target="https://doi.org/10.2307/4128416" TargetMode="External" /><Relationship Type="http://schemas.openxmlformats.org/officeDocument/2006/relationships/hyperlink" Id="rId304" Target="https://doi.org/10.7183/0002-7316.76.1.163" TargetMode="External" /><Relationship Type="http://schemas.openxmlformats.org/officeDocument/2006/relationships/hyperlink" Id="rId302"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227" Target="https://doi.org/10.1002/arp.1477" TargetMode="External" /><Relationship Type="http://schemas.openxmlformats.org/officeDocument/2006/relationships/hyperlink" Id="rId263" Target="https://doi.org/10.1006/jaar.1997.0314" TargetMode="External" /><Relationship Type="http://schemas.openxmlformats.org/officeDocument/2006/relationships/hyperlink" Id="rId219" Target="https://doi.org/10.1007/s10814-007-9013-z" TargetMode="External" /><Relationship Type="http://schemas.openxmlformats.org/officeDocument/2006/relationships/hyperlink" Id="rId291" Target="https://doi.org/10.1007/s10816-018-9364-4" TargetMode="External" /><Relationship Type="http://schemas.openxmlformats.org/officeDocument/2006/relationships/hyperlink" Id="rId203" Target="https://doi.org/10.1007/s10816-022-09599-x" TargetMode="External" /><Relationship Type="http://schemas.openxmlformats.org/officeDocument/2006/relationships/hyperlink" Id="rId233" Target="https://doi.org/10.1016/S1090-5138(98)00018-X" TargetMode="External" /><Relationship Type="http://schemas.openxmlformats.org/officeDocument/2006/relationships/hyperlink" Id="rId318" Target="https://doi.org/10.1016/j.evolhumbehav.2014.09.006" TargetMode="External" /><Relationship Type="http://schemas.openxmlformats.org/officeDocument/2006/relationships/hyperlink" Id="rId217" Target="https://doi.org/10.1016/j.jaa.2005.08.001" TargetMode="External" /><Relationship Type="http://schemas.openxmlformats.org/officeDocument/2006/relationships/hyperlink" Id="rId289" Target="https://doi.org/10.1016/j.jas.2012.04.040" TargetMode="External" /><Relationship Type="http://schemas.openxmlformats.org/officeDocument/2006/relationships/hyperlink" Id="rId205" Target="https://doi.org/10.1016/j.jas.2014.07.014" TargetMode="External" /><Relationship Type="http://schemas.openxmlformats.org/officeDocument/2006/relationships/hyperlink" Id="rId246" Target="https://doi.org/10.1016/j.jtbi.2013.03.006" TargetMode="External" /><Relationship Type="http://schemas.openxmlformats.org/officeDocument/2006/relationships/hyperlink" Id="rId316" Target="https://doi.org/10.1016/j.jtbi.2016.04.024" TargetMode="External" /><Relationship Type="http://schemas.openxmlformats.org/officeDocument/2006/relationships/hyperlink" Id="rId307" Target="https://doi.org/10.1017/RDC.2020.41" TargetMode="External" /><Relationship Type="http://schemas.openxmlformats.org/officeDocument/2006/relationships/hyperlink" Id="rId309" Target="https://doi.org/10.1017/S0140525X1400106X" TargetMode="External" /><Relationship Type="http://schemas.openxmlformats.org/officeDocument/2006/relationships/hyperlink" Id="rId236" Target="https://doi.org/10.1017/aap.2021.10" TargetMode="External" /><Relationship Type="http://schemas.openxmlformats.org/officeDocument/2006/relationships/hyperlink" Id="rId333" Target="https://doi.org/10.1017/ehs.2023.5" TargetMode="External" /><Relationship Type="http://schemas.openxmlformats.org/officeDocument/2006/relationships/hyperlink" Id="rId207" Target="https://doi.org/10.1038/srep39122" TargetMode="External" /><Relationship Type="http://schemas.openxmlformats.org/officeDocument/2006/relationships/hyperlink" Id="rId311" Target="https://doi.org/10.1057/s41599-019-0260-7" TargetMode="External" /><Relationship Type="http://schemas.openxmlformats.org/officeDocument/2006/relationships/hyperlink" Id="rId198" Target="https://doi.org/10.1057/s41599-019-0295-9" TargetMode="External" /><Relationship Type="http://schemas.openxmlformats.org/officeDocument/2006/relationships/hyperlink" Id="rId201" Target="https://doi.org/10.1057/s41599-020-00635-3" TargetMode="External" /><Relationship Type="http://schemas.openxmlformats.org/officeDocument/2006/relationships/hyperlink" Id="rId189" Target="https://doi.org/10.1073/pnas.0903232106" TargetMode="External" /><Relationship Type="http://schemas.openxmlformats.org/officeDocument/2006/relationships/hyperlink" Id="rId224" Target="https://doi.org/10.1073/pnas.2418106121" TargetMode="External" /><Relationship Type="http://schemas.openxmlformats.org/officeDocument/2006/relationships/hyperlink" Id="rId281" Target="https://doi.org/10.1073/pnas.70.12.3321" TargetMode="External" /><Relationship Type="http://schemas.openxmlformats.org/officeDocument/2006/relationships/hyperlink" Id="rId273" Target="https://doi.org/10.1080/20548923.2018.1504490" TargetMode="External" /><Relationship Type="http://schemas.openxmlformats.org/officeDocument/2006/relationships/hyperlink" Id="rId325" Target="https://doi.org/10.1086/651661" TargetMode="External" /><Relationship Type="http://schemas.openxmlformats.org/officeDocument/2006/relationships/hyperlink" Id="rId300" Target="https://doi.org/10.1086/674873" TargetMode="External" /><Relationship Type="http://schemas.openxmlformats.org/officeDocument/2006/relationships/hyperlink" Id="rId329" Target="https://doi.org/10.1093/genetics/28.2.114" TargetMode="External" /><Relationship Type="http://schemas.openxmlformats.org/officeDocument/2006/relationships/hyperlink" Id="rId248" Target="https://doi.org/10.1098/rsif.2015.0905" TargetMode="External" /><Relationship Type="http://schemas.openxmlformats.org/officeDocument/2006/relationships/hyperlink" Id="rId250" Target="https://doi.org/10.1098/rsos.170949" TargetMode="External" /><Relationship Type="http://schemas.openxmlformats.org/officeDocument/2006/relationships/hyperlink" Id="rId193" Target="https://doi.org/10.1098/rspb.2004.2746" TargetMode="External" /><Relationship Type="http://schemas.openxmlformats.org/officeDocument/2006/relationships/hyperlink" Id="rId184" Target="https://doi.org/10.1098/rstb.1996.0073" TargetMode="External" /><Relationship Type="http://schemas.openxmlformats.org/officeDocument/2006/relationships/hyperlink" Id="rId285" Target="https://doi.org/10.1098/rstb.2016.0426" TargetMode="External" /><Relationship Type="http://schemas.openxmlformats.org/officeDocument/2006/relationships/hyperlink" Id="rId331" Target="https://doi.org/10.1111/j.1469-1809.1949.tb02451.x" TargetMode="External" /><Relationship Type="http://schemas.openxmlformats.org/officeDocument/2006/relationships/hyperlink" Id="rId243" Target="https://doi.org/10.1111/j.1558-5646.2007.00310.x" TargetMode="External" /><Relationship Type="http://schemas.openxmlformats.org/officeDocument/2006/relationships/hyperlink" Id="rId298" Target="https://doi.org/10.1126/science.1170165" TargetMode="External" /><Relationship Type="http://schemas.openxmlformats.org/officeDocument/2006/relationships/hyperlink" Id="rId252" Target="https://doi.org/10.1146/annurev-ecolsys-110512-135838" TargetMode="External" /><Relationship Type="http://schemas.openxmlformats.org/officeDocument/2006/relationships/hyperlink" Id="rId191" Target="https://doi.org/10.1371/journal.pone.0003057" TargetMode="External" /><Relationship Type="http://schemas.openxmlformats.org/officeDocument/2006/relationships/hyperlink" Id="rId261" Target="https://doi.org/10.1371/journal.pone.0124942" TargetMode="External" /><Relationship Type="http://schemas.openxmlformats.org/officeDocument/2006/relationships/hyperlink" Id="rId257" Target="https://doi.org/10.1371/journal.pone.0250690" TargetMode="External" /><Relationship Type="http://schemas.openxmlformats.org/officeDocument/2006/relationships/hyperlink" Id="rId296" Target="https://doi.org/10.1525/aa.1953.55.5.02a00030" TargetMode="External" /><Relationship Type="http://schemas.openxmlformats.org/officeDocument/2006/relationships/hyperlink" Id="rId229" Target="https://doi.org/10.1525/aa.2001.103.4.992" TargetMode="External" /><Relationship Type="http://schemas.openxmlformats.org/officeDocument/2006/relationships/hyperlink" Id="rId222" Target="https://doi.org/10.1534/genetics.113.158220" TargetMode="External" /><Relationship Type="http://schemas.openxmlformats.org/officeDocument/2006/relationships/hyperlink" Id="rId241" Target="https://doi.org/10.1666/05070.1" TargetMode="External" /><Relationship Type="http://schemas.openxmlformats.org/officeDocument/2006/relationships/hyperlink" Id="rId195" Target="https://doi.org/10.2307/2694206" TargetMode="External" /><Relationship Type="http://schemas.openxmlformats.org/officeDocument/2006/relationships/hyperlink" Id="rId209" Target="https://doi.org/10.2307/278341" TargetMode="External" /><Relationship Type="http://schemas.openxmlformats.org/officeDocument/2006/relationships/hyperlink" Id="rId287" Target="https://doi.org/10.2307/279066" TargetMode="External" /><Relationship Type="http://schemas.openxmlformats.org/officeDocument/2006/relationships/hyperlink" Id="rId211" Target="https://doi.org/10.2307/279244" TargetMode="External" /><Relationship Type="http://schemas.openxmlformats.org/officeDocument/2006/relationships/hyperlink" Id="rId187" Target="https://doi.org/10.2307/3557066" TargetMode="External" /><Relationship Type="http://schemas.openxmlformats.org/officeDocument/2006/relationships/hyperlink" Id="rId231" Target="https://doi.org/10.2307/4128416" TargetMode="External" /><Relationship Type="http://schemas.openxmlformats.org/officeDocument/2006/relationships/hyperlink" Id="rId304" Target="https://doi.org/10.7183/0002-7316.76.1.163" TargetMode="External" /><Relationship Type="http://schemas.openxmlformats.org/officeDocument/2006/relationships/hyperlink" Id="rId302"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2026-09-23T11:18:17Z</dcterms:created>
  <dcterms:modified xsi:type="dcterms:W3CDTF">2026-09-23T11:18:17Z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