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11.png" ContentType="image/png"/>
  <Override PartName="/word/media/rId18.png" ContentType="image/png"/>
  <Override PartName="/word/media/rId22.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Mississippian archaeology’s foundational unit, rests on a silent premise: that assemblages more similar to nearby than to distant neighbors record a bounded society. This is rarely tested, yet neutral transmission produces the same clustering with no bounded groups: drift concentrates similar styles nearby. For the late pre-contact central Mississippi Valley, we test whether decorated-ceramic similarity records bounded interaction groups or spatially structured drift. We compare drift and bounded-groups processes on the region’s geographic data, calibrated to the record’s small samples and time-averaging using a signal-recovery experiment. In both the St. Francis basin Parkin phase and the southeast-Missouri assemblages, drift reproduces the structure without bounded groups, and Parkin is a transmission bridge, not a capital. A sharper boundary appears only between the central and lower valleys, confounded with chronological turnover and analytical history. Before similarity is read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unidad fundamental de la arqueología misisipiana, descansa sobre una premisa tácita: que los conjuntos más similares a sus vecinos cercanos que a los distantes registran una sociedad delimitada. Esto rara vez se pone a prueba, aunque la transmisión cultural neutral produce el mismo agrupamiento sin grupos delimitados: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fase Parkin de la cuenca del St. Francis, como en los conjuntos del sureste de Misuri, la estructura se reproduce mediante deriva y no requiere grupos delimitados, y Parkin es un puente de transmisión más que una capital.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Parkin is the largest of the moated, palisaded towns of the St. Francis basin in northeastern Arkansas. The chronicles of the Hernando de Soto expedition place it as Casqui, the seat of a paramount chief, which the expedition encountered in 1541</w:t>
      </w:r>
      <w:r>
        <w:t xml:space="preserve"> </w:t>
      </w:r>
      <w:r>
        <w:t xml:space="preserve">(Hudson et al. 1990; Mitchem 2001; Morse 1990)</w:t>
      </w:r>
      <w:r>
        <w:t xml:space="preserve">. On the strength of its size, fortification, platform mound, and ethnohistoric identification, Parkin is routinely read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(Morse 1990)</w:t>
      </w:r>
      <w:r>
        <w:t xml:space="preserve">. That reading is a specific claim about social structure: that the Parkin phase was a bounded, hierarchically organized society with Parkin at its apex.</w:t>
      </w:r>
    </w:p>
    <w:p>
      <w:pPr>
        <w:pStyle w:val="BodyText"/>
      </w:pPr>
      <w:r>
        <w:t xml:space="preserve">Whether such an entity existed at Parkin is an empirical question, and settlement morphology alone cannot answer it. A primary center of interaction, a palisade, and a monumental mound are each as compatible with a landscape of competing peer communities as with a consolidated hierarchy</w:t>
      </w:r>
      <w:r>
        <w:t xml:space="preserve"> </w:t>
      </w:r>
      <w:r>
        <w:t xml:space="preserve">(King and Freer 1995; Rees 2001)</w:t>
      </w:r>
      <w:r>
        <w:t xml:space="preserve">. The chronicles describe Casqui and its neighbor Pacaha in open conflict, a relationship read both as rivalry between competing peers and as a ranked order in which Casqui stood below Pacaha, so the chronicles do not by themselves establish a single consolidated hierarchy over the Parkin phase</w:t>
      </w:r>
      <w:r>
        <w:t xml:space="preserve"> </w:t>
      </w:r>
      <w:r>
        <w:t xml:space="preserve">(Hudson et al. 1990; Morse 1990)</w:t>
      </w:r>
      <w:r>
        <w:t xml:space="preserve">. We therefore ask what the material record shows when it is measured rather than read through the polity model. The comparable evidence shows no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carries no signature of interaction closing in on bounded groups.</w:t>
      </w:r>
    </w:p>
    <w:p>
      <w:pPr>
        <w:pStyle w:val="BodyText"/>
      </w:pPr>
      <w:r>
        <w:t xml:space="preserve">The more revealing question is why Parkin was taken for a polity in the first place. The answer is in the unit through which the record is read, a matter the renewed debate over archaeological systematics has brought back into focus</w:t>
      </w:r>
      <w:r>
        <w:t xml:space="preserve"> </w:t>
      </w:r>
      <w:r>
        <w:t xml:space="preserve">(Lyman 2021)</w:t>
      </w:r>
      <w:r>
        <w:t xml:space="preserve"> </w:t>
      </w:r>
      <w:r>
        <w:t xml:space="preserve">[CITE-CHECK: lyman_2021].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was attached to it all the same.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they judged, the chances are against archaeological phases having much social reality, and the most one can do is act as if they did. Williams</w:t>
      </w:r>
      <w:r>
        <w:t xml:space="preserve"> </w:t>
      </w:r>
      <w:r>
        <w:t xml:space="preserve">(1954)</w:t>
      </w:r>
      <w:r>
        <w:t xml:space="preserve">, defining the southeast-Missouri phases on which the regional scheme rests, adopted the social equation anyway, writing that a phase probably equals a society. That equation, disavowed at the source and reinstated in regional practice, is the silent premise. It holds that assemblages more similar to one another than to their neighbors record a bounded, mutually interacting social group. Endow such a group with a primate center, and it becomes a polity. The polity reading is, therefore, built into the unit before any independent evidence of hierarchy is weighed, and the construct has been questioned on exactly this ground. Fox</w:t>
      </w:r>
      <w:r>
        <w:t xml:space="preserve"> </w:t>
      </w:r>
      <w:r>
        <w:t xml:space="preserve">(1998)</w:t>
      </w:r>
      <w:r>
        <w:t xml:space="preserve"> </w:t>
      </w:r>
      <w:r>
        <w:t xml:space="preserve">showed, by cluster analysis and ordination, that the southeast-Missouri phases fail as both groups and classes, with their member assemblages assigned to statistical clusters at random rather than segregating by phase</w:t>
      </w:r>
      <w:r>
        <w:t xml:space="preserve"> </w:t>
      </w:r>
      <w:r>
        <w:t xml:space="preserve">(Mainfort 2003)</w:t>
      </w:r>
      <w:r>
        <w:t xml:space="preserve">.</w:t>
      </w:r>
    </w:p>
    <w:p>
      <w:pPr>
        <w:pStyle w:val="BodyText"/>
      </w:pPr>
      <w:r>
        <w:t xml:space="preserve">The premise is rarely tested, and it ignores a strong alternative.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decorated style behaves as a selectively neutral trait whose frequency drifts in a finite population of interacting learners</w:t>
      </w:r>
      <w:r>
        <w:t xml:space="preserve"> </w:t>
      </w:r>
      <w:r>
        <w:t xml:space="preserve">(Bentley et al. 2004;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2021)</w:t>
      </w:r>
      <w:r>
        <w:t xml:space="preserve">. On this account, a phase can be the ordinary residue of continuous, distance-structured interaction, and the very pattern the culture-history tradition reads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are the instrument for the test. Because stylistic variants are copied between potters along social-learning networks, the spatial and temporal structure of decorated-class frequencies records the structure of past interaction, and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focus first on the Parkin phase of the St. Francis basin (Figure 1) and then widen the test to the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and the drift-versus-groups test we develop reads that structure directly rather than an imagined moment behind it.</w:t>
      </w:r>
    </w:p>
    <w:p>
      <w:pPr>
        <w:pStyle w:val="CaptionedFigure"/>
      </w:pPr>
      <w:r>
        <w:drawing>
          <wp:inline>
            <wp:extent cx="5334000" cy="7630817"/>
            <wp:effectExtent b="0" l="0" r="0" t="0"/>
            <wp:docPr descr="Figure 1. 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 title="" id="12" name="Picture"/>
            <a:graphic>
              <a:graphicData uri="http://schemas.openxmlformats.org/drawingml/2006/picture">
                <pic:pic>
                  <pic:nvPicPr>
                    <pic:cNvPr descr="../../figures/fig1_studyarea.png" id="13" name="Picture"/>
                    <pic:cNvPicPr>
                      <a:picLocks noChangeArrowheads="1" noChangeAspect="1"/>
                    </pic:cNvPicPr>
                  </pic:nvPicPr>
                  <pic:blipFill>
                    <a:blip r:embed="rId11"/>
                    <a:stretch>
                      <a:fillRect/>
                    </a:stretch>
                  </pic:blipFill>
                  <pic:spPr bwMode="auto">
                    <a:xfrm>
                      <a:off x="0" y="0"/>
                      <a:ext cx="5334000" cy="763081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area: the St. Francis basin of the central Mississippi Valley, northeastern Arkansas. Decorated-ceramic assemblages and recorded sites are shown on a local hydrology and geomorphology base (the St. Francis, Tyronza, and Mississippi rivers). Symbol size scales with platform-mound height. The Parkin site is marked with a star, and the dashed outline indicates the approximate Parkin-phase area. The transmission analysis is restricted to assemblages within 20 km of the St. Francis drainage (the lower Yazoo Basin and Mississippi River-proximal sites are excluded). Inset: location within North America.</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an equifinality, the same pattern reached by different processes, that defeats one-signature inference</w:t>
      </w:r>
      <w:r>
        <w:t xml:space="preserve"> </w:t>
      </w:r>
      <w:r>
        <w:t xml:space="preserve">(Barrett 2019; Crema et al. 2016; Kandler and Shennan 2015; Mesoudi 2021)</w:t>
      </w:r>
      <w:r>
        <w:t xml:space="preserve">. We therefore compare the two processes in a generative manner. We simulate neutral spatial drift and bounded groups on the real coordinate layout of the assemblages and ask which reproduces the observed structure, using four transmission signatures, departure from neutral copying, breakdown of frequency-seriation coherence, between-group variance, and spatial assortativity, as diagnostics of whether interaction has closed rather than as a stand-alone test. Because an archaeological assemblage is time-averaged and sampled to varying depth, a signature can register a difference that is an artifact of sampling rather than of transmission, so we calibrate the comparison to the record by a signal-recovery experiment: into synthetic assemblages matched to the real number, sample sizes, and time-averaging we inject a known signal of tunable strength and read off how strong a real boundary would have to be to register. Only a calibrated comparison can license the conclusion that an absence of group structure is real rather than a failure of resolution. This calibration is the transferable contribution, because before any similarity structure is read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carry. Hence, the phase is a continuous interaction structured by where sites sit rather than a closed group with a boundary, and Parkin is a transmission bridge across orderings rather than the core of one. Third, we widen the test to the other late-period phases of the valley and ask whether any decorated-ceramic boundary exists. A boundary that exceeds neutral drift appears only between the central-valley and lower-valley blocks, and even there, it is confounded with the early-to-late turnover of the class repertoire. It cannot yet be read as a synchronic social division. At the scale where the phase is drawn, it is largely indistinguishable from spatially structured drift, and Parkin is best read as a prominent node in a continuous interaction field rather than the capital of a polity.</w:t>
      </w:r>
    </w:p>
    <w:bookmarkEnd w:id="14"/>
    <w:bookmarkStart w:id="17"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We take a materialist approach to cultural transmission, which frames the question differently from how the central-valley record is usually read. Archaeologists are trained to think with bounded units, the phase, the polity, the society, discrete entities with members and edges, and to read a cluster of similar assemblages as one of them. We treat transmission instead as a continuous and variable field of copying events among potters, a field with no intrinsic edges, in which interaction falls off with distance and learning can be more local in some places and times than in others. On this view, a group is not a thing with a boundary but a region where transmission has thickened, and similarity is a matter of degree set by how copying is distributed across space. That field can also close off by degree, interaction narrowing until potters copy mostly within a subset and rarely outside it, producing something that looks like the bounded groups archaeologists think with. The difficulty with the phase is that ordinary interaction already makes nearby assemblages more alike than distant ones, even without distance, so clusters by themselves prove nothing. What would mark a real bounded group is closure beyond what distance predicts, and that excess is the signal we test for.</w:t>
      </w:r>
    </w:p>
    <w:p>
      <w:pPr>
        <w:pStyle w:val="BodyText"/>
      </w:pPr>
      <w:r>
        <w:t xml:space="preserve">The phase concept gives the central-valley record its social structure. A phase is formed operationally as a set of assemblages that seriate together and cluster in space. It is interpreted, however, as a social entity equivalent to a bounded, interacting community, on the premise that assemblages more alike within a phase than across its edges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because spatially structured drift concentrates similarity among near neighbors, the isolation-by-distance expectation for cultural similarity</w:t>
      </w:r>
      <w:r>
        <w:t xml:space="preserve"> </w:t>
      </w:r>
      <w:r>
        <w:t xml:space="preserve">(Lipo et al. 2021; Neiman 1995; Shennan et al. 2015)</w:t>
      </w:r>
      <w:r>
        <w:t xml:space="preserve">. The question the ceramic record must answer is the operational one: does the similarity structure record bounded interaction, or spatially structured drift? Throughout, we call decoration that is transmitted preferentially within a group and diverges between groups a marker, rather than a neutral style drifting in a single shared pool. A marker is the ceramic expression, the empirical proxy, of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r>
        <w:t xml:space="preserve"> </w:t>
      </w:r>
      <w:r>
        <w:t xml:space="preserve">### The central Mississippi Valley case and two competing hypotheses</w:t>
      </w:r>
    </w:p>
    <w:p>
      <w:pPr>
        <w:pStyle w:val="BodyText"/>
      </w:pPr>
      <w:r>
        <w:t xml:space="preserve">The late pre-contact central Mississippi Valley supports two readings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dominated by the Parkin site, a roughly 17-acre palisaded center with a platform mound rising more than 6 m that the De Soto chronicles place as the seat of the paramount of Casqui</w:t>
      </w:r>
      <w:r>
        <w:t xml:space="preserve"> </w:t>
      </w:r>
      <w:r>
        <w:t xml:space="preserve">(Dye and Cox 1990; Mitchem 2001; Morse 1990)</w:t>
      </w:r>
      <w:r>
        <w:t xml:space="preserve">. Based on this information, Parkin’s location on agriculturally poor soil suggests that it drew tribute from smaller villages, a hallmark of an emerging chiefly hierarchy</w:t>
      </w:r>
      <w:r>
        <w:t xml:space="preserve"> </w:t>
      </w:r>
      <w:r>
        <w:t xml:space="preserve">(Morse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reading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a landscape of competing peers, though the same sources have also been read as ranking Casqui below Pacaha, and the chronicle ethnography is thin and filtered</w:t>
      </w:r>
      <w:r>
        <w:t xml:space="preserve"> </w:t>
      </w:r>
      <w:r>
        <w:t xml:space="preserve">(Hudson et al. 1990; Mitchem 2001; Morse 1990)</w:t>
      </w:r>
      <w:r>
        <w:t xml:space="preserve">. The two cannot be separated by settlement morphology alone. They can be separated by determining whether the transmission record shows interaction closing into bounded groups, which is the test we now construct.</w:t>
      </w:r>
    </w:p>
    <w:bookmarkEnd w:id="16"/>
    <w:bookmarkEnd w:id="17"/>
    <w:bookmarkStart w:id="21"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 sharply bounded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While sampling error certainly does need to be accounted for, classical practice ignores the fact that</w:t>
      </w:r>
      <w:r>
        <w:t xml:space="preserve"> </w:t>
      </w:r>
      <w:r>
        <w:rPr>
          <w:i/>
          <w:iCs/>
        </w:rPr>
        <w:t xml:space="preserve">failure to seriate together</w:t>
      </w:r>
      <w:r>
        <w:t xml:space="preserve"> </w:t>
      </w:r>
      <w:r>
        <w:t xml:space="preserve">is perhaps the most valuable aspect of the seriation method, because it tells us when locales are far enough</w:t>
      </w:r>
      <w:r>
        <w:t xml:space="preserve"> </w:t>
      </w:r>
      <w:r>
        <w:t xml:space="preserve">“out of step”</w:t>
      </w:r>
      <w:r>
        <w:t xml:space="preserve"> </w:t>
      </w:r>
      <w:r>
        <w:t xml:space="preserve">with the continuous flow of interaction and social learning around them that there is interesting structure to their interaction history</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applied to cultural transmission where between-group variation in socially learned traits routinely exceeds its genetic counterpart</w:t>
      </w:r>
      <w:r>
        <w:t xml:space="preserve"> </w:t>
      </w:r>
      <w:r>
        <w:t xml:space="preserve">(Bell et al. 2009)</w:t>
      </w:r>
      <w:r>
        <w:t xml:space="preserve">, computed here on Gini-Simpson diversity, the chance that two sherds drawn at random from a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and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because subpopulations retain different amounts of diversity depending on their size and connectivity: small or sparsely connected areas drift to depleted, idiosyncratic repertoires while larger, well-connected ones stay richer, so the resulting differences read as distinct interacting groups when they are produced by spatial position alone</w:t>
      </w:r>
      <w:r>
        <w:t xml:space="preserve"> </w:t>
      </w:r>
      <w:r>
        <w:t xml:space="preserve">(Lipo et al. 2021)</w:t>
      </w:r>
      <w:r>
        <w:t xml:space="preserve">. The measure must therefore be calibrated against that spatial-drift null rather than read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the gradual fade of similarity with distance that follows when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Their joint movement, therefore, cannot by itself separate a real interaction group from drift. We therefore do not rest on the signatures alone. Instead, we compare the two processes generatively: we simulate each one forward, neutral spatial drift and bounded groups alike, on the real geography of the assemblages and ask which reproduces the observed structure, reading the signatures as diagnostics of where each process leaves its mark.</w:t>
      </w:r>
    </w:p>
    <w:p>
      <w:pPr>
        <w:pStyle w:val="BodyText"/>
      </w:pPr>
      <w:r>
        <w:rPr>
          <w:b/>
          <w:bCs/>
        </w:rPr>
        <w:t xml:space="preserve">Table 1.</w:t>
      </w:r>
      <w:r>
        <w:t xml:space="preserve"> </w:t>
      </w:r>
      <w:r>
        <w:t xml:space="preserve">The transmission signatures each process is expected to leave a mark on, where ● marks a signature the process drives and ○ marks one it leaves flat. Only a bounded interaction group drives all four. Each alternative produces a characteristic subset, a pattern our simulation confirms on idealized data (Figure S4). This is an idealized expectation under smooth, deterministic processes, not a claim about what is detectable in a real record. Two qualifications make this an aspirational goal rather than necessarily operative. First, the generator diagnostic (Supplemental Text) shows that the non-F_ST rows are not realizable at this record’s resolution, because the neutral and seriation signatures fail to register a signal even when one is injected through its own pathway, so the detectable discrimination reduces to cultural F_ST (Figure 4). Second, under realistic stochastic spatial drift, the F_ST and spatial-assortativity rows are themselves driven in the absence of a bounded group (Results, Figure S5). The table frames the possible combinations of factors that may contribute to a signal of bounded group structure. The generative drift-versus-groups comparison provides a practical assessment.</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Signature</w:t>
            </w:r>
          </w:p>
        </w:tc>
        <w:tc>
          <w:tcPr/>
          <w:p>
            <w:pPr>
              <w:pStyle w:val="Compact"/>
              <w:jc w:val="center"/>
            </w:pPr>
            <w:r>
              <w:t xml:space="preserve">Bounded interaction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with limited interaction</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Convergence of all four</w:t>
            </w:r>
          </w:p>
        </w:tc>
        <w:tc>
          <w:tcPr/>
          <w:p>
            <w:pPr>
              <w:pStyle w:val="Compact"/>
              <w:jc w:val="center"/>
            </w:pPr>
            <w:r>
              <w:rPr>
                <w:b/>
                <w:bCs/>
              </w:rPr>
              <w:t xml:space="preserve">yes</w:t>
            </w:r>
          </w:p>
        </w:tc>
        <w:tc>
          <w:tcPr/>
          <w:p>
            <w:pPr>
              <w:pStyle w:val="Compact"/>
              <w:jc w:val="center"/>
            </w:pPr>
            <w:r>
              <w:rPr>
                <w:b/>
                <w:bCs/>
              </w:rPr>
              <w:t xml:space="preserve">no</w:t>
            </w:r>
          </w:p>
        </w:tc>
        <w:tc>
          <w:tcPr/>
          <w:p>
            <w:pPr>
              <w:pStyle w:val="Compact"/>
              <w:jc w:val="center"/>
            </w:pPr>
            <w:r>
              <w:rPr>
                <w:b/>
                <w:bCs/>
              </w:rPr>
              <w:t xml:space="preserve">no</w:t>
            </w:r>
          </w:p>
        </w:tc>
        <w:tc>
          <w:tcPr/>
          <w:p>
            <w:pPr>
              <w:pStyle w:val="Compact"/>
              <w:jc w:val="center"/>
            </w:pPr>
            <w:r>
              <w:rPr>
                <w:b/>
                <w:bCs/>
              </w:rPr>
              <w:t xml:space="preserve">no</w:t>
            </w:r>
          </w:p>
        </w:tc>
      </w:tr>
    </w:tbl>
    <w:p>
      <w:pPr>
        <w:pStyle w:val="BodyText"/>
      </w:pPr>
      <w:r>
        <w:t xml:space="preserve">Drift with distance-limited interaction produces a raw decay of similarity with distance. The distance-controlled boundary-excess statistic, however, is near zero under smooth isolation-by-distance, so it drives none of the four. This holds for smooth, deterministic isolation-by-distance. Stochastic neutral drift on a finite network is less forgiving, generating patchy divergence that registers as a positive boundary excess even in the absence of a social boundary, a mimicry that the record-matched controls expose directly (Results). Aggregated signaling raises the neutrality departure in a single undivided pool without forming the between-group boundaries that the other signatures require.</w:t>
      </w:r>
    </w:p>
    <w:p>
      <w:pPr>
        <w:pStyle w:val="BodyText"/>
      </w:pPr>
      <w:r>
        <w:t xml:space="preserve">Because closure, if it occurred, would build up across the sequence, we read convergence as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would converge trivially. We therefore validate the test on simulated assemblages before applying it, confirming both that convergence arises only when interaction closes into a bounded group and not under any mimic, and that the four signatures are tightly correlated under such closure yet nearly independent under the mimics, so their joint movement is informative rather than automatic. The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and we generalize that two-measure agreement to four. This validates the concept. Whether all four signatures, or only some, can actually do so on a record like ours is a separate question that we settle by calibrating the test directly to synthetic data matched to the Parkin assemblages. Both procedures are presented with their methods and outcomes. Figure 2 previews what the test distinguishes, the sharp structure a bounded group would leave against the blur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9" name="Picture"/>
            <a:graphic>
              <a:graphicData uri="http://schemas.openxmlformats.org/drawingml/2006/picture">
                <pic:pic>
                  <pic:nvPicPr>
                    <pic:cNvPr descr="../../figures/fig2_concept.png" id="20" name="Picture"/>
                    <pic:cNvPicPr>
                      <a:picLocks noChangeArrowheads="1" noChangeAspect="1"/>
                    </pic:cNvPicPr>
                  </pic:nvPicPr>
                  <pic:blipFill>
                    <a:blip r:embed="rId18"/>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blur), and as observed (right, a blur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1"/>
    <w:bookmarkStart w:id="30" w:name="materials-and-methods"/>
    <w:p>
      <w:pPr>
        <w:pStyle w:val="Heading2"/>
      </w:pPr>
      <w:r>
        <w:t xml:space="preserve">Materials and methods</w:t>
      </w:r>
    </w:p>
    <w:bookmarkStart w:id="25"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the analyst defines to capture stylistic variation, not a native category assumed in advance. Because the hypothesis concerns the Parkin phase, we restrict the analysis to the St. Francis basin of northeastern Arkansas, defined hydrologically as the assemblages within 20 km of the St. Francis, Tyronza, and L’Anguille drainage (Figure 1). This excludes both the lower Yazoo Basin and the Mississippi River-proximal sites whose late-period centers belong to distinct phases, and it yields 29 decorated assemblages for the transmission analysis and 92 sites for the settlement comparison.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pooled median calibrated ages correlate with seriation position at Spearman +0.70 (n = 5, 27 dates pooled), an improvement on the +0.50 of the single-date anchors, with four of the five sites in calendar order and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3" name="Picture"/>
            <a:graphic>
              <a:graphicData uri="http://schemas.openxmlformats.org/drawingml/2006/picture">
                <pic:pic>
                  <pic:nvPicPr>
                    <pic:cNvPr descr="../../figures/fig3_ca_ordination.png" id="24" name="Picture"/>
                    <pic:cNvPicPr>
                      <a:picLocks noChangeArrowheads="1" noChangeAspect="1"/>
                    </pic:cNvPicPr>
                  </pic:nvPicPr>
                  <pic:blipFill>
                    <a:blip r:embed="rId22"/>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5"/>
    <w:bookmarkStart w:id="26"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read.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6"/>
    <w:bookmarkStart w:id="27" w:name="criterion-validation-by-simulation"/>
    <w:p>
      <w:pPr>
        <w:pStyle w:val="Heading3"/>
      </w:pPr>
      <w:r>
        <w:t xml:space="preserve">Criterion validation by simulation</w:t>
      </w:r>
    </w:p>
    <w:p>
      <w:pPr>
        <w:pStyle w:val="FirstParagraph"/>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one per row of Table 1, instantiate the four competing processes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the same blurring of time that surface assemblages impose</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injected a known group-closure signal of tunable strength s (between-group divergence and within-group conformity rising together along the sequence to a maximum of s), and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read against the same null.</w:t>
      </w:r>
    </w:p>
    <w:bookmarkEnd w:id="27"/>
    <w:bookmarkStart w:id="28"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under a fixed innovation rate, with deposition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bookmarkEnd w:id="28"/>
    <w:bookmarkStart w:id="29"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29"/>
    <w:bookmarkEnd w:id="30"/>
    <w:bookmarkStart w:id="43"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the drift and other mimics each light only a characteristic subset, and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where the injected strength s is a dial from 0, pure drift, to 1, strong and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2" name="Picture"/>
            <a:graphic>
              <a:graphicData uri="http://schemas.openxmlformats.org/drawingml/2006/picture">
                <pic:pic>
                  <pic:nvPicPr>
                    <pic:cNvPr descr="../../figures/fig4_recovery.png" id="33" name="Picture"/>
                    <pic:cNvPicPr>
                      <a:picLocks noChangeArrowheads="1" noChangeAspect="1"/>
                    </pic:cNvPicPr>
                  </pic:nvPicPr>
                  <pic:blipFill>
                    <a:blip r:embed="rId31"/>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Parkin phase, that one reliable signature shows no closure into bounded groups, and the apparent signals in the others are confounded by sample size (Figure 5). The raw trajectory along the seriation axis seems to dissociate, but two of its trends are sampling artifacts: because assemblage size trends with seriation position, the size-sensitive estimators move with it. Two of the apparent trends are artifacts of sample size. Once every assemblage is trimmed to a common sherd count by subsampling, cultural F_ST falls from a raw +0.60 to +0.01, and its uncertainty range runs from no closure to a moderate signal, so it is uninformative rather than a resolved positive. The neutrality departure is likewise size-sensitive (its raw -0.94 only weakens to -0.83 under size control), and the recovery shows that it does not track closure in either direction here, so it, too, cannot be read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so the result is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5" name="Picture"/>
            <a:graphic>
              <a:graphicData uri="http://schemas.openxmlformats.org/drawingml/2006/picture">
                <pic:pic>
                  <pic:nvPicPr>
                    <pic:cNvPr descr="../../figures/fig5_empirical_trajectory.png" id="36" name="Picture"/>
                    <pic:cNvPicPr>
                      <a:picLocks noChangeArrowheads="1" noChangeAspect="1"/>
                    </pic:cNvPicPr>
                  </pic:nvPicPr>
                  <pic:blipFill>
                    <a:blip r:embed="rId34"/>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aimless wobble of unbiased copying or the directed change a deliberate marker would exhibit. Seven of the nine testable classes appear to be simple wobble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and the more diverse assemblages are the more central ones,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read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and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carries the weight of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wave off as minor wiggles are, read this way, the signature of more than one interaction community, and the number of maximal co-seriable groups, with the count of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read that bridging position as a possible sign of incipient hierarchy. We read it the other way: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8" name="Picture"/>
            <a:graphic>
              <a:graphicData uri="http://schemas.openxmlformats.org/drawingml/2006/picture">
                <pic:pic>
                  <pic:nvPicPr>
                    <pic:cNvPr descr="../../figures/fig6_idss_structure.png" id="39" name="Picture"/>
                    <pic:cNvPicPr>
                      <a:picLocks noChangeArrowheads="1" noChangeAspect="1"/>
                    </pic:cNvPicPr>
                  </pic:nvPicPr>
                  <pic:blipFill>
                    <a:blip r:embed="rId37"/>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Morse 1990)</w:t>
      </w:r>
      <w:r>
        <w:t xml:space="preserve">, so we base the settlement comparison on recorded mound height rather than on mound area. Parkin’s roughly 17-acre site area would make it the largest center in the basin, but that figure is the total site area rather than the basal mound area on which the other sites are measured, and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 title="" id="41" name="Picture"/>
            <a:graphic>
              <a:graphicData uri="http://schemas.openxmlformats.org/drawingml/2006/picture">
                <pic:pic>
                  <pic:nvPicPr>
                    <pic:cNvPr descr="../../figures/fig7_ranksize.png" id="42" name="Picture"/>
                    <pic:cNvPicPr>
                      <a:picLocks noChangeArrowheads="1" noChangeAspect="1"/>
                    </pic:cNvPicPr>
                  </pic:nvPicPr>
                  <pic:blipFill>
                    <a:blip r:embed="rId40"/>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but the height distribution is graded, with no gap separating it from the next centers (tallest-to-second ratio 1.0),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reading.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read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3"/>
    <w:bookmarkStart w:id="53" w:name="discussion"/>
    <w:p>
      <w:pPr>
        <w:pStyle w:val="Heading2"/>
      </w:pPr>
      <w:r>
        <w:t xml:space="preserve">Discussion</w:t>
      </w:r>
    </w:p>
    <w:p>
      <w:pPr>
        <w:pStyle w:val="FirstParagraph"/>
      </w:pPr>
      <w:r>
        <w:t xml:space="preserve">The three lines of evidence converge on a single reading: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The reading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29 basin assemblages, with copying that decays with along-waterway distance and no boundary imposed, and the structure the phase concept reads as a society reappears on its own</w:t>
      </w:r>
      <w:r>
        <w:t xml:space="preserve"> </w:t>
      </w:r>
      <w:r>
        <w:t xml:space="preserve">(Lipo et al. 2021)</w:t>
      </w:r>
      <w:r>
        <w:t xml:space="preserve">. The deposits are not contemporaneous, which is why they can be seriated at all and why some carry more of the late classes than others, so each synthetic assemblage is drawn time-transgressively at the run-time that matches its seriation position and accumulated over a window rather than read from a single instant. Repeated across 500 realizations, the model yields not one partition but a distribution of them, so membership in Parkin’s group is a probability rather than a fact (Figure 8). Holding time fixed to isolate the spatial signal, that probability falls off smoothly with river distance from Parkin (Figure 8A): nearby assemblages usually share its emergent community and distant ones usually do not, ranging from about 0.70 to 0.17 with no assemblage a certain member or non-member, a graded field rather than the bounded set a phase map implies. Restoring the staggered deposition ages removes even that gradient, because assemblages caught at different points in the sequence carry different repertoires and fall into different, time-defined communities, so a site’s nearest neighbors need not share its phase. The between-group cultural F_ST of the emergent groups settles at the observed level either way, near 0.02 to 0.03 against an observed 0.04, well below the value a bounded group would leave (Figure 8B), and the synthetic record re-seriates (Figure S7). Geography and time are the whole engine, and the apparent groups are two readings of one neutral process.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and a localized neutral process is readily mistaken for biased transmission when diversity is read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This is not contingent on a tuned parameter set. Across 432 runs spanning a grid of interaction length, between-node mixing, and innovation rate, two or more spatially coherent communities emerge in every run and the between-group F_ST sits at or below the observed value in 85 percent, falling with more mixing or innovation but never approaching the bounded-groups level (Figure S7). The demonstration is illustrative rather than fitted, and the seriation recovery is moderate, but phase-like structure at the observed magnitude is a generic outcome of distance-structured drift on this geography.</w:t>
      </w:r>
    </w:p>
    <w:p>
      <w:pPr>
        <w:pStyle w:val="CaptionedFigure"/>
      </w:pPr>
      <w:r>
        <w:drawing>
          <wp:inline>
            <wp:extent cx="5334000" cy="4248345"/>
            <wp:effectExtent b="0" l="0" r="0" t="0"/>
            <wp:docPr descr="Figure 8. 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along-waterway (river-network) distance and new decorated classes arising through time (Supplemental Text). (A) Each assemblage on the river basemap, shaded by the probability that it falls in the same emergent community as Parkin (star) across the 500 runs, for the contemporaneous snapshot that isolates the spatial signal. The probability falls off smoothly with river distance from Parkin (Spearman rho = -0.72), from about 0.70 nearby to 0.17 far away, with no assemblage a certain member or non-member, so Parkin’s “phase” is a graded, probabilistic field rather than a bounded set. Under the full time-transgressive sampling the gradient disappears because membership then reflects time as well as space (Supplemental Text). (B) Between-group cultural F_ST for the observed data (black, 0.04) against contemporaneous and time-transgressive drift (means with standard deviation across the 500 runs, near 0.02 to 0.03). Drift reproduces the observed level rather than the higher value a bounded group would leave. Parameters are the positive-control corner (interaction length 24 river-km, mixing 0.02, innovation 0.012). Robustness across the factor grid is in Figure S7." title="" id="45" name="Picture"/>
            <a:graphic>
              <a:graphicData uri="http://schemas.openxmlformats.org/drawingml/2006/picture">
                <pic:pic>
                  <pic:nvPicPr>
                    <pic:cNvPr descr="../../figures/fig8_emergent_phases.png" id="46" name="Picture"/>
                    <pic:cNvPicPr>
                      <a:picLocks noChangeArrowheads="1" noChangeAspect="1"/>
                    </pic:cNvPicPr>
                  </pic:nvPicPr>
                  <pic:blipFill>
                    <a:blip r:embed="rId44"/>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structure generated by neutral drift on the real basin geography, with no bounded group imposed, summarized over 500 realizations. A neutral finite-population drift model runs forward on the actual coordinates of the 29 St. Francis basin assemblages, with copying that decays with along-waterway (river-network) distance and new decorated classes arising through time (Supplemental Text). (A) Each assemblage on the river basemap, shaded by the probability that it falls in the same emergent community as Parkin (star) across the 500 runs, for the contemporaneous snapshot that isolates the spatial signal. The probability falls off smoothly with river distance from Parkin (Spearman rho = -0.72), from about 0.70 nearby to 0.17 far away, with no assemblage a certain member or non-member, so Parkin’s</w:t>
      </w:r>
      <w:r>
        <w:t xml:space="preserve"> </w:t>
      </w:r>
      <w:r>
        <w:t xml:space="preserve">“phase”</w:t>
      </w:r>
      <w:r>
        <w:t xml:space="preserve"> </w:t>
      </w:r>
      <w:r>
        <w:t xml:space="preserve">is a graded, probabilistic field rather than a bounded set. Under the full time-transgressive sampling the gradient disappears because membership then reflects time as well as space (Supplemental Text). (B) Between-group cultural F_ST for the observed data (black, 0.04) against contemporaneous and time-transgressive drift (means with standard deviation across the 500 runs, near 0.02 to 0.03). Drift reproduces the observed level rather than the higher value a bounded group would leave. Parameters are the positive-control corner (interaction length 24 river-km, mixing 0.02, innovation 0.012). Robustness across the factor grid is in Figure S7.</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as well explained by control of movement and communication as by extraction, and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convergence test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that a record of 29 time-averaged assemblages is underpowered to resolve, and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so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and saying so is what licenses reading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read as social, which signatures a given record can support and how strong a closure each could detect, and on the Parkin record, it shows the test reducing to its single most robust component, cultural F_ST. We are explicit about what that costs: had F_ST shown a positive trend, it alone could not have separated a real group from environmental patchiness, which also drives between-group variance (Table 1), so on a positive result, the generative drift-versus-groups comparison, not F_ST alone, would have had to carry the discrimination. The negative is cleaner because the present structure is positively matched by drift and overshot by bounded groups. This result shows that social structure may be measurable from decorated-ceramic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The test also extends beyond the basin (Figure 9).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10). In both regions, the observed between-cluster F_ST sits at the neutral-drift level and far below the bounded-groups expectation (LMV +0.02, CMV +0.03, against bounded-groups nulls of +0.11 and +0.08), and the assemblages intermix rather than separating into clusters. Between the two regions, a genuine discontinuity does appear. Across the roughly 50 km gap separating the central-valley and lower-valley assemblage clusters, decorated similarity declines by far more than neutral spatial drift would predict for the same geometry, and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early-to-middle Mississippian, and the distinctive lower-valley classes are late</w:t>
      </w:r>
      <w:r>
        <w:t xml:space="preserve"> </w:t>
      </w:r>
      <w:r>
        <w:t xml:space="preserve">(Phillips 1970; Williams 1954)</w:t>
      </w:r>
      <w:r>
        <w:t xml:space="preserve">, so the step at the boundary cannot be separated from the early-to-late turnover of the repertoire with time-averaged surface assemblages, and resolving whether the inter-regional boundary is synchronic and social or a chronological succession would require independent radiocarbon control on the central-valley assemblages that the present compilation lacks. A second confound compounds the first. The lower-valley assemblages were collected and classified by Ford, later by Phillips, Ford, and Griffin. 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because a boundary built only from classes unique to each typology would vanish when only the classes both traditions record are compared, and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9.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48" name="Picture"/>
            <a:graphic>
              <a:graphicData uri="http://schemas.openxmlformats.org/drawingml/2006/picture">
                <pic:pic>
                  <pic:nvPicPr>
                    <pic:cNvPr descr="../../figures/fig1_regional.png" id="49" name="Picture"/>
                    <pic:cNvPicPr>
                      <a:picLocks noChangeArrowheads="1" noChangeAspect="1"/>
                    </pic:cNvPicPr>
                  </pic:nvPicPr>
                  <pic:blipFill>
                    <a:blip r:embed="rId47"/>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0.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1" name="Picture"/>
            <a:graphic>
              <a:graphicData uri="http://schemas.openxmlformats.org/drawingml/2006/picture">
                <pic:pic>
                  <pic:nvPicPr>
                    <pic:cNvPr descr="../../figures/fig9_within_region.png" id="52" name="Picture"/>
                    <pic:cNvPicPr>
                      <a:picLocks noChangeArrowheads="1" noChangeAspect="1"/>
                    </pic:cNvPicPr>
                  </pic:nvPicPr>
                  <pic:blipFill>
                    <a:blip r:embed="rId50"/>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and,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and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3"/>
    <w:bookmarkStart w:id="54"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line of evidence, settlement, exchange, or ceramic transmission marks it as the apex of a polity, and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and even there, it is entangled with the early-to-late turnover of the class repertoire. It cannot yet be read as a synchronic social division. The phase, at the scale where it is drawn, is largely indistinguishable from spatially structured drift, which carries a consequence the discipline should weigh: a similarity cluster is not by itself a society, and before a phase is read as a social group, the record must be shown able to tell a real interaction boundary from drift on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4"/>
    <w:bookmarkStart w:id="55"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5"/>
    <w:bookmarkStart w:id="233" w:name="references"/>
    <w:p>
      <w:pPr>
        <w:pStyle w:val="Heading2"/>
      </w:pPr>
      <w:r>
        <w:t xml:space="preserve">References</w:t>
      </w:r>
    </w:p>
    <w:bookmarkStart w:id="232" w:name="refs"/>
    <w:bookmarkStart w:id="56"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56"/>
    <w:bookmarkStart w:id="58"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57">
        <w:r>
          <w:rPr>
            <w:rStyle w:val="Hyperlink"/>
          </w:rPr>
          <w:t xml:space="preserve">https://doi.org/10.1016/j.jaa.2006.08.002</w:t>
        </w:r>
      </w:hyperlink>
      <w:r>
        <w:t xml:space="preserve">.</w:t>
      </w:r>
    </w:p>
    <w:bookmarkEnd w:id="58"/>
    <w:bookmarkStart w:id="60"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59">
        <w:r>
          <w:rPr>
            <w:rStyle w:val="Hyperlink"/>
          </w:rPr>
          <w:t xml:space="preserve">https://doi.org/10.1016/j.beproc.2018.01.011</w:t>
        </w:r>
      </w:hyperlink>
      <w:r>
        <w:t xml:space="preserve">.</w:t>
      </w:r>
    </w:p>
    <w:bookmarkEnd w:id="60"/>
    <w:bookmarkStart w:id="62"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1">
        <w:r>
          <w:rPr>
            <w:rStyle w:val="Hyperlink"/>
          </w:rPr>
          <w:t xml:space="preserve">https://doi.org/10.1098/rstb.1996.0073</w:t>
        </w:r>
      </w:hyperlink>
      <w:r>
        <w:t xml:space="preserve">.</w:t>
      </w:r>
    </w:p>
    <w:bookmarkEnd w:id="62"/>
    <w:bookmarkStart w:id="6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3"/>
    <w:bookmarkStart w:id="65"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4">
        <w:r>
          <w:rPr>
            <w:rStyle w:val="Hyperlink"/>
          </w:rPr>
          <w:t xml:space="preserve">https://doi.org/10.2307/3557066</w:t>
        </w:r>
      </w:hyperlink>
      <w:r>
        <w:t xml:space="preserve">.</w:t>
      </w:r>
    </w:p>
    <w:bookmarkEnd w:id="65"/>
    <w:bookmarkStart w:id="67"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66">
        <w:r>
          <w:rPr>
            <w:rStyle w:val="Hyperlink"/>
          </w:rPr>
          <w:t xml:space="preserve">https://doi.org/10.1017/S0094837300026907</w:t>
        </w:r>
      </w:hyperlink>
      <w:r>
        <w:t xml:space="preserve">.</w:t>
      </w:r>
    </w:p>
    <w:bookmarkEnd w:id="67"/>
    <w:bookmarkStart w:id="69"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68">
        <w:r>
          <w:rPr>
            <w:rStyle w:val="Hyperlink"/>
          </w:rPr>
          <w:t xml:space="preserve">https://doi.org/10.1073/pnas.0903232106</w:t>
        </w:r>
      </w:hyperlink>
      <w:r>
        <w:t xml:space="preserve">.</w:t>
      </w:r>
    </w:p>
    <w:bookmarkEnd w:id="69"/>
    <w:bookmarkStart w:id="71"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0">
        <w:r>
          <w:rPr>
            <w:rStyle w:val="Hyperlink"/>
          </w:rPr>
          <w:t xml:space="preserve">https://doi.org/10.1371/journal.pone.0003057</w:t>
        </w:r>
      </w:hyperlink>
      <w:r>
        <w:t xml:space="preserve">.</w:t>
      </w:r>
    </w:p>
    <w:bookmarkEnd w:id="71"/>
    <w:bookmarkStart w:id="73"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2">
        <w:r>
          <w:rPr>
            <w:rStyle w:val="Hyperlink"/>
          </w:rPr>
          <w:t xml:space="preserve">https://doi.org/10.1098/rspb.2004.2746</w:t>
        </w:r>
      </w:hyperlink>
      <w:r>
        <w:t xml:space="preserve">.</w:t>
      </w:r>
    </w:p>
    <w:bookmarkEnd w:id="73"/>
    <w:bookmarkStart w:id="74"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4"/>
    <w:bookmarkStart w:id="7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5">
        <w:r>
          <w:rPr>
            <w:rStyle w:val="Hyperlink"/>
          </w:rPr>
          <w:t xml:space="preserve">https://doi.org/10.2307/2694206</w:t>
        </w:r>
      </w:hyperlink>
      <w:r>
        <w:t xml:space="preserve">.</w:t>
      </w:r>
    </w:p>
    <w:bookmarkEnd w:id="76"/>
    <w:bookmarkStart w:id="7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77"/>
    <w:bookmarkStart w:id="7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78">
        <w:r>
          <w:rPr>
            <w:rStyle w:val="Hyperlink"/>
          </w:rPr>
          <w:t xml:space="preserve">https://doi.org/10.1057/s41599-019-0295-9</w:t>
        </w:r>
      </w:hyperlink>
      <w:r>
        <w:t xml:space="preserve">.</w:t>
      </w:r>
    </w:p>
    <w:bookmarkEnd w:id="79"/>
    <w:bookmarkStart w:id="8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0"/>
    <w:bookmarkStart w:id="81"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1"/>
    <w:bookmarkStart w:id="83"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2">
        <w:r>
          <w:rPr>
            <w:rStyle w:val="Hyperlink"/>
          </w:rPr>
          <w:t xml:space="preserve">https://doi.org/10.1007/s10816-023-09613-w</w:t>
        </w:r>
      </w:hyperlink>
      <w:r>
        <w:t xml:space="preserve">.</w:t>
      </w:r>
    </w:p>
    <w:bookmarkEnd w:id="83"/>
    <w:bookmarkStart w:id="85"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4">
        <w:r>
          <w:rPr>
            <w:rStyle w:val="Hyperlink"/>
          </w:rPr>
          <w:t xml:space="preserve">https://doi.org/10.1057/s41599-020-00635-3</w:t>
        </w:r>
      </w:hyperlink>
      <w:r>
        <w:t xml:space="preserve">.</w:t>
      </w:r>
    </w:p>
    <w:bookmarkEnd w:id="85"/>
    <w:bookmarkStart w:id="8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6">
        <w:r>
          <w:rPr>
            <w:rStyle w:val="Hyperlink"/>
          </w:rPr>
          <w:t xml:space="preserve">https://doi.org/10.1007/s10816-022-09599-x</w:t>
        </w:r>
      </w:hyperlink>
      <w:r>
        <w:t xml:space="preserve">.</w:t>
      </w:r>
    </w:p>
    <w:bookmarkEnd w:id="87"/>
    <w:bookmarkStart w:id="89"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8">
        <w:r>
          <w:rPr>
            <w:rStyle w:val="Hyperlink"/>
          </w:rPr>
          <w:t xml:space="preserve">https://doi.org/10.1016/j.jas.2014.07.014</w:t>
        </w:r>
      </w:hyperlink>
      <w:r>
        <w:t xml:space="preserve">.</w:t>
      </w:r>
    </w:p>
    <w:bookmarkEnd w:id="89"/>
    <w:bookmarkStart w:id="91"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0">
        <w:r>
          <w:rPr>
            <w:rStyle w:val="Hyperlink"/>
          </w:rPr>
          <w:t xml:space="preserve">https://doi.org/10.1038/srep39122</w:t>
        </w:r>
      </w:hyperlink>
      <w:r>
        <w:t xml:space="preserve">.</w:t>
      </w:r>
    </w:p>
    <w:bookmarkEnd w:id="91"/>
    <w:bookmarkStart w:id="93"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2">
        <w:r>
          <w:rPr>
            <w:rStyle w:val="Hyperlink"/>
          </w:rPr>
          <w:t xml:space="preserve">https://doi.org/10.1371/journal.pone.0041010</w:t>
        </w:r>
      </w:hyperlink>
      <w:r>
        <w:t xml:space="preserve">.</w:t>
      </w:r>
    </w:p>
    <w:bookmarkEnd w:id="93"/>
    <w:bookmarkStart w:id="95"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4">
        <w:r>
          <w:rPr>
            <w:rStyle w:val="Hyperlink"/>
          </w:rPr>
          <w:t xml:space="preserve">https://doi.org/10.1073/pnas.1518798113</w:t>
        </w:r>
      </w:hyperlink>
      <w:r>
        <w:t xml:space="preserve">.</w:t>
      </w:r>
    </w:p>
    <w:bookmarkEnd w:id="95"/>
    <w:bookmarkStart w:id="97"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96">
        <w:r>
          <w:rPr>
            <w:rStyle w:val="Hyperlink"/>
          </w:rPr>
          <w:t xml:space="preserve">https://doi.org/10.1098/rstb.2017.0062</w:t>
        </w:r>
      </w:hyperlink>
      <w:r>
        <w:t xml:space="preserve">.</w:t>
      </w:r>
    </w:p>
    <w:bookmarkEnd w:id="97"/>
    <w:bookmarkStart w:id="99"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8">
        <w:r>
          <w:rPr>
            <w:rStyle w:val="Hyperlink"/>
          </w:rPr>
          <w:t xml:space="preserve">https://doi.org/10.2307/278341</w:t>
        </w:r>
      </w:hyperlink>
      <w:r>
        <w:t xml:space="preserve">.</w:t>
      </w:r>
    </w:p>
    <w:bookmarkEnd w:id="99"/>
    <w:bookmarkStart w:id="101"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0">
        <w:r>
          <w:rPr>
            <w:rStyle w:val="Hyperlink"/>
          </w:rPr>
          <w:t xml:space="preserve">https://doi.org/10.2307/279244</w:t>
        </w:r>
      </w:hyperlink>
      <w:r>
        <w:t xml:space="preserve">.</w:t>
      </w:r>
    </w:p>
    <w:bookmarkEnd w:id="101"/>
    <w:bookmarkStart w:id="102"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2"/>
    <w:bookmarkStart w:id="10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3"/>
    <w:bookmarkStart w:id="104"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4"/>
    <w:bookmarkStart w:id="106"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5">
        <w:r>
          <w:rPr>
            <w:rStyle w:val="Hyperlink"/>
          </w:rPr>
          <w:t xml:space="preserve">https://doi.org/10.1016/j.jaa.2005.08.001</w:t>
        </w:r>
      </w:hyperlink>
      <w:r>
        <w:t xml:space="preserve">.</w:t>
      </w:r>
    </w:p>
    <w:bookmarkEnd w:id="106"/>
    <w:bookmarkStart w:id="108"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7">
        <w:r>
          <w:rPr>
            <w:rStyle w:val="Hyperlink"/>
          </w:rPr>
          <w:t xml:space="preserve">https://doi.org/10.1007/s10814-007-9013-z</w:t>
        </w:r>
      </w:hyperlink>
      <w:r>
        <w:t xml:space="preserve">.</w:t>
      </w:r>
    </w:p>
    <w:bookmarkEnd w:id="108"/>
    <w:bookmarkStart w:id="109"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9"/>
    <w:bookmarkStart w:id="111"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0">
        <w:r>
          <w:rPr>
            <w:rStyle w:val="Hyperlink"/>
          </w:rPr>
          <w:t xml:space="preserve">https://doi.org/10.1534/genetics.113.158220</w:t>
        </w:r>
      </w:hyperlink>
      <w:r>
        <w:t xml:space="preserve">.</w:t>
      </w:r>
    </w:p>
    <w:bookmarkEnd w:id="111"/>
    <w:bookmarkStart w:id="113"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2">
        <w:r>
          <w:rPr>
            <w:rStyle w:val="Hyperlink"/>
          </w:rPr>
          <w:t xml:space="preserve">https://doi.org/10.1073/pnas.2418106121</w:t>
        </w:r>
      </w:hyperlink>
      <w:r>
        <w:t xml:space="preserve">.</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5"/>
    <w:bookmarkStart w:id="116"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6"/>
    <w:bookmarkStart w:id="117"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7"/>
    <w:bookmarkStart w:id="119"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8">
        <w:r>
          <w:rPr>
            <w:rStyle w:val="Hyperlink"/>
          </w:rPr>
          <w:t xml:space="preserve">https://doi.org/10.1525/aa.2001.103.4.992</w:t>
        </w:r>
      </w:hyperlink>
      <w:r>
        <w:t xml:space="preserve">.</w:t>
      </w:r>
    </w:p>
    <w:bookmarkEnd w:id="119"/>
    <w:bookmarkStart w:id="121"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0">
        <w:r>
          <w:rPr>
            <w:rStyle w:val="Hyperlink"/>
          </w:rPr>
          <w:t xml:space="preserve">https://doi.org/10.2307/4128416</w:t>
        </w:r>
      </w:hyperlink>
      <w:r>
        <w:t xml:space="preserve">.</w:t>
      </w:r>
    </w:p>
    <w:bookmarkEnd w:id="121"/>
    <w:bookmarkStart w:id="123"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2">
        <w:r>
          <w:rPr>
            <w:rStyle w:val="Hyperlink"/>
          </w:rPr>
          <w:t xml:space="preserve">https://doi.org/10.1016/S1090-5138(98)00018-X</w:t>
        </w:r>
      </w:hyperlink>
      <w:r>
        <w:t xml:space="preserve">.</w:t>
      </w:r>
    </w:p>
    <w:bookmarkEnd w:id="123"/>
    <w:bookmarkStart w:id="124"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4"/>
    <w:bookmarkStart w:id="126"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5">
        <w:r>
          <w:rPr>
            <w:rStyle w:val="Hyperlink"/>
          </w:rPr>
          <w:t xml:space="preserve">https://doi.org/10.1017/aap.2021.10</w:t>
        </w:r>
      </w:hyperlink>
      <w:r>
        <w:t xml:space="preserv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2">
        <w:r>
          <w:rPr>
            <w:rStyle w:val="Hyperlink"/>
          </w:rPr>
          <w:t xml:space="preserve">https://doi.org/10.1371/journal.pone.0124942</w:t>
        </w:r>
      </w:hyperlink>
      <w:r>
        <w:t xml:space="preserve">.</w:t>
      </w:r>
    </w:p>
    <w:bookmarkEnd w:id="153"/>
    <w:bookmarkStart w:id="15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4">
        <w:r>
          <w:rPr>
            <w:rStyle w:val="Hyperlink"/>
          </w:rPr>
          <w:t xml:space="preserve">https://doi.org/10.1006/jaar.1997.0314</w:t>
        </w:r>
      </w:hyperlink>
      <w:r>
        <w:t xml:space="preserve">.</w:t>
      </w:r>
    </w:p>
    <w:bookmarkEnd w:id="155"/>
    <w:bookmarkStart w:id="15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6">
        <w:r>
          <w:rPr>
            <w:rStyle w:val="Hyperlink"/>
          </w:rPr>
          <w:t xml:space="preserve">https://doi.org/10.1073/pnas.1818346116</w:t>
        </w:r>
      </w:hyperlink>
      <w:r>
        <w:t xml:space="preserve">.</w:t>
      </w:r>
    </w:p>
    <w:bookmarkEnd w:id="157"/>
    <w:bookmarkStart w:id="15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8">
        <w:r>
          <w:rPr>
            <w:rStyle w:val="Hyperlink"/>
          </w:rPr>
          <w:t xml:space="preserve">https://doi.org/10.1016/j.jas.2021.105412</w:t>
        </w:r>
      </w:hyperlink>
      <w:r>
        <w:t xml:space="preserve">.</w:t>
      </w:r>
    </w:p>
    <w:bookmarkEnd w:id="159"/>
    <w:bookmarkStart w:id="160" w:name="ref-madsen_2012"/>
    <w:p>
      <w:pPr>
        <w:pStyle w:val="Bibliography"/>
      </w:pPr>
      <w:r>
        <w:t xml:space="preserve">Madsen, Mark E. 2012. Neutral Cultural Transmission in Time-Averaged Archaeological Assemblages. arXiv preprint arXiv:1204.2043 [physics.soc-ph].</w:t>
      </w:r>
    </w:p>
    <w:bookmarkEnd w:id="160"/>
    <w:bookmarkStart w:id="161"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1"/>
    <w:bookmarkStart w:id="172"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2"/>
    <w:bookmarkStart w:id="173"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3"/>
    <w:bookmarkStart w:id="17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4"/>
    <w:bookmarkStart w:id="17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5">
        <w:r>
          <w:rPr>
            <w:rStyle w:val="Hyperlink"/>
          </w:rPr>
          <w:t xml:space="preserve">https://doi.org/10.1098/rstb.2016.0426</w:t>
        </w:r>
      </w:hyperlink>
      <w:r>
        <w:t xml:space="preserve">.</w:t>
      </w:r>
    </w:p>
    <w:bookmarkEnd w:id="176"/>
    <w:bookmarkStart w:id="17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7">
        <w:r>
          <w:rPr>
            <w:rStyle w:val="Hyperlink"/>
          </w:rPr>
          <w:t xml:space="preserve">https://doi.org/10.2307/279066</w:t>
        </w:r>
      </w:hyperlink>
      <w:r>
        <w:t xml:space="preserve">.</w:t>
      </w:r>
    </w:p>
    <w:bookmarkEnd w:id="178"/>
    <w:bookmarkStart w:id="18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79">
        <w:r>
          <w:rPr>
            <w:rStyle w:val="Hyperlink"/>
          </w:rPr>
          <w:t xml:space="preserve">https://doi.org/10.1016/j.jas.2012.04.040</w:t>
        </w:r>
      </w:hyperlink>
      <w:r>
        <w:t xml:space="preserve">.</w:t>
      </w:r>
    </w:p>
    <w:bookmarkEnd w:id="180"/>
    <w:bookmarkStart w:id="18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1">
        <w:r>
          <w:rPr>
            <w:rStyle w:val="Hyperlink"/>
          </w:rPr>
          <w:t xml:space="preserve">https://doi.org/10.1007/s10816-018-9364-4</w:t>
        </w:r>
      </w:hyperlink>
      <w:r>
        <w:t xml:space="preserve">.</w:t>
      </w:r>
    </w:p>
    <w:bookmarkEnd w:id="182"/>
    <w:bookmarkStart w:id="18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3"/>
    <w:bookmarkStart w:id="18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4"/>
    <w:bookmarkStart w:id="18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5"/>
    <w:bookmarkStart w:id="18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6">
        <w:r>
          <w:rPr>
            <w:rStyle w:val="Hyperlink"/>
          </w:rPr>
          <w:t xml:space="preserve">https://doi.org/10.1525/aa.1953.55.5.02a00030</w:t>
        </w:r>
      </w:hyperlink>
      <w:r>
        <w:t xml:space="preserve">.</w:t>
      </w:r>
    </w:p>
    <w:bookmarkEnd w:id="187"/>
    <w:bookmarkStart w:id="18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88">
        <w:r>
          <w:rPr>
            <w:rStyle w:val="Hyperlink"/>
          </w:rPr>
          <w:t xml:space="preserve">https://doi.org/10.1126/science.1170165</w:t>
        </w:r>
      </w:hyperlink>
      <w:r>
        <w:t xml:space="preserve">.</w:t>
      </w:r>
    </w:p>
    <w:bookmarkEnd w:id="189"/>
    <w:bookmarkStart w:id="19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0">
        <w:r>
          <w:rPr>
            <w:rStyle w:val="Hyperlink"/>
          </w:rPr>
          <w:t xml:space="preserve">https://doi.org/10.1086/674873</w:t>
        </w:r>
      </w:hyperlink>
      <w:r>
        <w:t xml:space="preserve">.</w:t>
      </w:r>
    </w:p>
    <w:bookmarkEnd w:id="191"/>
    <w:bookmarkStart w:id="19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2">
        <w:r>
          <w:rPr>
            <w:rStyle w:val="Hyperlink"/>
          </w:rPr>
          <w:t xml:space="preserve">https://doi.org/10.7183/0002-7316.81.4.605</w:t>
        </w:r>
      </w:hyperlink>
      <w:r>
        <w:t xml:space="preserve">.</w:t>
      </w:r>
    </w:p>
    <w:bookmarkEnd w:id="193"/>
    <w:bookmarkStart w:id="19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4">
        <w:r>
          <w:rPr>
            <w:rStyle w:val="Hyperlink"/>
          </w:rPr>
          <w:t xml:space="preserve">https://doi.org/10.7183/0002-7316.76.1.163</w:t>
        </w:r>
      </w:hyperlink>
      <w:r>
        <w:t xml:space="preserve">.</w:t>
      </w:r>
    </w:p>
    <w:bookmarkEnd w:id="195"/>
    <w:bookmarkStart w:id="19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6"/>
    <w:bookmarkStart w:id="19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7">
        <w:r>
          <w:rPr>
            <w:rStyle w:val="Hyperlink"/>
          </w:rPr>
          <w:t xml:space="preserve">https://doi.org/10.1017/RDC.2020.41</w:t>
        </w:r>
      </w:hyperlink>
      <w:r>
        <w:t xml:space="preserve">.</w:t>
      </w:r>
    </w:p>
    <w:bookmarkEnd w:id="198"/>
    <w:bookmarkStart w:id="20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199">
        <w:r>
          <w:rPr>
            <w:rStyle w:val="Hyperlink"/>
          </w:rPr>
          <w:t xml:space="preserve">https://doi.org/10.1017/S0140525X1400106X</w:t>
        </w:r>
      </w:hyperlink>
      <w:r>
        <w:t xml:space="preserve">.</w:t>
      </w:r>
    </w:p>
    <w:bookmarkEnd w:id="200"/>
    <w:bookmarkStart w:id="20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1">
        <w:r>
          <w:rPr>
            <w:rStyle w:val="Hyperlink"/>
          </w:rPr>
          <w:t xml:space="preserve">https://doi.org/10.1057/s41599-019-0260-7</w:t>
        </w:r>
      </w:hyperlink>
      <w:r>
        <w:t xml:space="preserve">.</w:t>
      </w:r>
    </w:p>
    <w:bookmarkEnd w:id="202"/>
    <w:bookmarkStart w:id="20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3"/>
    <w:bookmarkStart w:id="20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4"/>
    <w:bookmarkStart w:id="206"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05">
        <w:r>
          <w:rPr>
            <w:rStyle w:val="Hyperlink"/>
          </w:rPr>
          <w:t xml:space="preserve">https://doi.org/10.1098/rspb.2008.1827</w:t>
        </w:r>
      </w:hyperlink>
      <w:r>
        <w:t xml:space="preserve">.</w:t>
      </w:r>
    </w:p>
    <w:bookmarkEnd w:id="206"/>
    <w:bookmarkStart w:id="20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7">
        <w:r>
          <w:rPr>
            <w:rStyle w:val="Hyperlink"/>
          </w:rPr>
          <w:t xml:space="preserve">https://doi.org/10.1038/nature08227</w:t>
        </w:r>
      </w:hyperlink>
      <w:r>
        <w:t xml:space="preserv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5"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hyperlink" Id="rId154"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1"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79"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197"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199"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207"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1"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0"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5"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5"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8"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8"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6"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7"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4" Target="https://doi.org/10.7183/0002-7316.76.1.163" TargetMode="External" /><Relationship Type="http://schemas.openxmlformats.org/officeDocument/2006/relationships/hyperlink" Id="rId19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7" Target="https://doi.org/10.1007/s10814-007-9013-z" TargetMode="External" /><Relationship Type="http://schemas.openxmlformats.org/officeDocument/2006/relationships/hyperlink" Id="rId181" Target="https://doi.org/10.1007/s10816-018-9364-4" TargetMode="External" /><Relationship Type="http://schemas.openxmlformats.org/officeDocument/2006/relationships/hyperlink" Id="rId86" Target="https://doi.org/10.1007/s10816-022-09599-x" TargetMode="External" /><Relationship Type="http://schemas.openxmlformats.org/officeDocument/2006/relationships/hyperlink" Id="rId82" Target="https://doi.org/10.1007/s10816-023-09613-w" TargetMode="External" /><Relationship Type="http://schemas.openxmlformats.org/officeDocument/2006/relationships/hyperlink" Id="rId122" Target="https://doi.org/10.1016/S1090-5138(98)00018-X" TargetMode="External" /><Relationship Type="http://schemas.openxmlformats.org/officeDocument/2006/relationships/hyperlink" Id="rId59"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5" Target="https://doi.org/10.1016/j.jaa.2005.08.001" TargetMode="External" /><Relationship Type="http://schemas.openxmlformats.org/officeDocument/2006/relationships/hyperlink" Id="rId57"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79" Target="https://doi.org/10.1016/j.jas.2012.04.040" TargetMode="External" /><Relationship Type="http://schemas.openxmlformats.org/officeDocument/2006/relationships/hyperlink" Id="rId88" Target="https://doi.org/10.1016/j.jas.2014.07.014" TargetMode="External" /><Relationship Type="http://schemas.openxmlformats.org/officeDocument/2006/relationships/hyperlink" Id="rId158"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197" Target="https://doi.org/10.1017/RDC.2020.41" TargetMode="External" /><Relationship Type="http://schemas.openxmlformats.org/officeDocument/2006/relationships/hyperlink" Id="rId66" Target="https://doi.org/10.1017/S0094837300026907" TargetMode="External" /><Relationship Type="http://schemas.openxmlformats.org/officeDocument/2006/relationships/hyperlink" Id="rId199" Target="https://doi.org/10.1017/S0140525X1400106X" TargetMode="External" /><Relationship Type="http://schemas.openxmlformats.org/officeDocument/2006/relationships/hyperlink" Id="rId125"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207" Target="https://doi.org/10.1038/nature08227" TargetMode="External" /><Relationship Type="http://schemas.openxmlformats.org/officeDocument/2006/relationships/hyperlink" Id="rId90" Target="https://doi.org/10.1038/srep39122" TargetMode="External" /><Relationship Type="http://schemas.openxmlformats.org/officeDocument/2006/relationships/hyperlink" Id="rId201" Target="https://doi.org/10.1057/s41599-019-0260-7" TargetMode="External" /><Relationship Type="http://schemas.openxmlformats.org/officeDocument/2006/relationships/hyperlink" Id="rId78" Target="https://doi.org/10.1057/s41599-019-0295-9" TargetMode="External" /><Relationship Type="http://schemas.openxmlformats.org/officeDocument/2006/relationships/hyperlink" Id="rId84" Target="https://doi.org/10.1057/s41599-020-00635-3" TargetMode="External" /><Relationship Type="http://schemas.openxmlformats.org/officeDocument/2006/relationships/hyperlink" Id="rId68" Target="https://doi.org/10.1073/pnas.0903232106" TargetMode="External" /><Relationship Type="http://schemas.openxmlformats.org/officeDocument/2006/relationships/hyperlink" Id="rId94" Target="https://doi.org/10.1073/pnas.1518798113" TargetMode="External" /><Relationship Type="http://schemas.openxmlformats.org/officeDocument/2006/relationships/hyperlink" Id="rId156" Target="https://doi.org/10.1073/pnas.1818346116" TargetMode="External" /><Relationship Type="http://schemas.openxmlformats.org/officeDocument/2006/relationships/hyperlink" Id="rId112"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0"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2" Target="https://doi.org/10.1098/rspb.2004.2746" TargetMode="External" /><Relationship Type="http://schemas.openxmlformats.org/officeDocument/2006/relationships/hyperlink" Id="rId205" Target="https://doi.org/10.1098/rspb.2008.1827" TargetMode="External" /><Relationship Type="http://schemas.openxmlformats.org/officeDocument/2006/relationships/hyperlink" Id="rId61" Target="https://doi.org/10.1098/rstb.1996.0073" TargetMode="External" /><Relationship Type="http://schemas.openxmlformats.org/officeDocument/2006/relationships/hyperlink" Id="rId175" Target="https://doi.org/10.1098/rstb.2016.0426" TargetMode="External" /><Relationship Type="http://schemas.openxmlformats.org/officeDocument/2006/relationships/hyperlink" Id="rId96" Target="https://doi.org/10.1098/rstb.2017.0062" TargetMode="External" /><Relationship Type="http://schemas.openxmlformats.org/officeDocument/2006/relationships/hyperlink" Id="rId228"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88"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0" Target="https://doi.org/10.1371/journal.pone.0003057" TargetMode="External" /><Relationship Type="http://schemas.openxmlformats.org/officeDocument/2006/relationships/hyperlink" Id="rId92" Target="https://doi.org/10.1371/journal.pone.0041010" TargetMode="External" /><Relationship Type="http://schemas.openxmlformats.org/officeDocument/2006/relationships/hyperlink" Id="rId152"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86" Target="https://doi.org/10.1525/aa.1953.55.5.02a00030" TargetMode="External" /><Relationship Type="http://schemas.openxmlformats.org/officeDocument/2006/relationships/hyperlink" Id="rId118" Target="https://doi.org/10.1525/aa.2001.103.4.992" TargetMode="External" /><Relationship Type="http://schemas.openxmlformats.org/officeDocument/2006/relationships/hyperlink" Id="rId110"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5"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8" Target="https://doi.org/10.2307/278341" TargetMode="External" /><Relationship Type="http://schemas.openxmlformats.org/officeDocument/2006/relationships/hyperlink" Id="rId177" Target="https://doi.org/10.2307/279066" TargetMode="External" /><Relationship Type="http://schemas.openxmlformats.org/officeDocument/2006/relationships/hyperlink" Id="rId100" Target="https://doi.org/10.2307/279244" TargetMode="External" /><Relationship Type="http://schemas.openxmlformats.org/officeDocument/2006/relationships/hyperlink" Id="rId64" Target="https://doi.org/10.2307/3557066" TargetMode="External" /><Relationship Type="http://schemas.openxmlformats.org/officeDocument/2006/relationships/hyperlink" Id="rId120" Target="https://doi.org/10.2307/4128416" TargetMode="External" /><Relationship Type="http://schemas.openxmlformats.org/officeDocument/2006/relationships/hyperlink" Id="rId194" Target="https://doi.org/10.7183/0002-7316.76.1.163" TargetMode="External" /><Relationship Type="http://schemas.openxmlformats.org/officeDocument/2006/relationships/hyperlink" Id="rId19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2026-06-15T17:08:59Z</dcterms:created>
  <dcterms:modified xsi:type="dcterms:W3CDTF">2026-06-15T17:08:59Z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