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32.png" ContentType="image/png"/>
  <Override PartName="/word/media/rId36.png" ContentType="image/png"/>
  <Override PartName="/word/media/rId10.png" ContentType="image/png"/>
  <Override PartName="/word/media/rId19.png" ContentType="image/png"/>
  <Override PartName="/word/media/rId28.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supplemental-material"/>
    <w:p>
      <w:pPr>
        <w:pStyle w:val="Heading1"/>
      </w:pPr>
      <w:r>
        <w:t xml:space="preserve">Supplemental Material</w:t>
      </w:r>
    </w:p>
    <w:p>
      <w:pPr>
        <w:pStyle w:val="FirstParagraph"/>
      </w:pPr>
      <w:r>
        <w:rPr>
          <w:b/>
          <w:bCs/>
        </w:rPr>
        <w:t xml:space="preserve">Are the phases real? Distinguishing bounded interaction groups from spatially structured drift in central Mississippi Valley decorated ceramics</w:t>
      </w:r>
    </w:p>
    <w:p>
      <w:pPr>
        <w:pStyle w:val="BodyText"/>
      </w:pPr>
      <w:r>
        <w:rPr>
          <w:b/>
          <w:bCs/>
        </w:rPr>
        <w:t xml:space="preserve">Carl P. Lipo, Robert J. DiNapoli, and Mark E. Madsen</w:t>
      </w:r>
    </w:p>
    <w:p>
      <w:pPr>
        <w:pStyle w:val="BodyText"/>
      </w:pPr>
      <w:r>
        <w:rPr>
          <w:i/>
          <w:iCs/>
        </w:rPr>
        <w:t xml:space="preserve">Supplement to the main text. Figure and section references to the main text (for example, Figure 4, Results, Discussion) point to the primary article. Citations resolve against references.bib.</w:t>
      </w:r>
    </w:p>
    <w:bookmarkStart w:id="9" w:name="X193c2f99596c44272797617e48f9bee78459a86"/>
    <w:p>
      <w:pPr>
        <w:pStyle w:val="Heading2"/>
      </w:pPr>
      <w:r>
        <w:t xml:space="preserve">Full specification of the four signatures</w:t>
      </w:r>
    </w:p>
    <w:p>
      <w:pPr>
        <w:pStyle w:val="FirstParagraph"/>
      </w:pPr>
      <w:r>
        <w:t xml:space="preserve">Departure from neutral transmission follows Neiman’s</w:t>
      </w:r>
      <w:r>
        <w:t xml:space="preserve"> </w:t>
      </w:r>
      <w:r>
        <w:t xml:space="preserve">(1995)</w:t>
      </w:r>
      <w:r>
        <w:t xml:space="preserve"> </w:t>
      </w:r>
      <w:r>
        <w:t xml:space="preserve">application of the infinite-alleles model.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class</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sampling expectation for the number of classes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drift, the two estimators agree. Conformist copying concentrates frequency on common classes,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renders every decorated class’s frequency curve single-peaked and without gaps, the battleship-shaped distribution of frequency seriation. We enumerated the complete set of maximal co-seriable groups, the subsets for which a valid ordering exists, and which are maximal under inclusion. A single group indicates one interacting community, whereas a proliferation of small, mutually non-co-seriable groups indicates a fragmented one. We report the number and maximum size of these groups and, for each assemblage, its group-membership count, which identifies the bridge assemblages that join otherwise incompatible orderings. The number of maximal groups is the continuous signature.</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rises as they come to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bootstrap confidence intervals.</w:t>
      </w:r>
    </w:p>
    <w:bookmarkEnd w:id="9"/>
    <w:bookmarkStart w:id="13" w:name="the-generative-validation-model"/>
    <w:p>
      <w:pPr>
        <w:pStyle w:val="Heading2"/>
      </w:pPr>
      <w:r>
        <w:t xml:space="preserve">The generative validation model</w:t>
      </w:r>
    </w:p>
    <w:p>
      <w:pPr>
        <w:pStyle w:val="FirstParagraph"/>
      </w:pPr>
      <w:r>
        <w:t xml:space="preserve">The validation rests on a generative model in which decorated variants are copied under neutral transmission</w:t>
      </w:r>
      <w:r>
        <w:t xml:space="preserve"> </w:t>
      </w:r>
      <w:r>
        <w:t xml:space="preserve">(Bentley et al. 2004; Neiman 1995)</w:t>
      </w:r>
      <w:r>
        <w:t xml:space="preserve">, with three mechanism-faithful controls: the between-group divergence of class profiles, the strength of within-group conformity (a frequency-dependent copying bias, after</w:t>
      </w:r>
      <w:r>
        <w:t xml:space="preserve"> </w:t>
      </w:r>
      <w:r>
        <w:t xml:space="preserve">(Henrich 2001)</w:t>
      </w:r>
      <w:r>
        <w:t xml:space="preserve">), and a spatial rule placing group profiles on the landscape. Four generators instantiate the four processes of Table 1. The bounded-groups generator raises divergence and conformity together across spatially bounded groups. Environmental patchiness holds a fixed between-group difference under neutral within-group copying with an environment-keyed layout. Aggregated signaling raises within-group conformity in a single undivided pool with no between-group divergence. Drift with distance-limited interaction produces a smooth spatial gradient under neutral copying. Each generator emits a sequence of group-by-class slices along an ordinal axis. We ran the four-signature procedure on each, blind to its source, and recorded which registered as convergent, repeating this across 20 random seeds and computing the correlation matrix of the four signatures on the bounded-groups output to confirm that their joint movement is informative rather than an artifact of redundancy (Figure S4).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p>
      <w:pPr>
        <w:pStyle w:val="CaptionedFigure"/>
      </w:pPr>
      <w:r>
        <w:drawing>
          <wp:inline>
            <wp:extent cx="5334000" cy="4811808"/>
            <wp:effectExtent b="0" l="0" r="0" t="0"/>
            <wp:docPr descr="Figure S4. 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 title="" id="11" name="Picture"/>
            <a:graphic>
              <a:graphicData uri="http://schemas.openxmlformats.org/drawingml/2006/picture">
                <pic:pic>
                  <pic:nvPicPr>
                    <pic:cNvPr descr="../../figures/figS4_validation.png" id="12" name="Picture"/>
                    <pic:cNvPicPr>
                      <a:picLocks noChangeArrowheads="1" noChangeAspect="1"/>
                    </pic:cNvPicPr>
                  </pic:nvPicPr>
                  <pic:blipFill>
                    <a:blip r:embed="rId10"/>
                    <a:stretch>
                      <a:fillRect/>
                    </a:stretch>
                  </pic:blipFill>
                  <pic:spPr bwMode="auto">
                    <a:xfrm>
                      <a:off x="0" y="0"/>
                      <a:ext cx="5334000" cy="481180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w:t>
      </w:r>
    </w:p>
    <w:bookmarkEnd w:id="13"/>
    <w:bookmarkStart w:id="17" w:name="robustness-checks"/>
    <w:p>
      <w:pPr>
        <w:pStyle w:val="Heading2"/>
      </w:pPr>
      <w:r>
        <w:t xml:space="preserve">Robustness checks</w:t>
      </w:r>
    </w:p>
    <w:p>
      <w:pPr>
        <w:pStyle w:val="FirstParagraph"/>
      </w:pPr>
      <w:r>
        <w:t xml:space="preserve">Neiman’s</w:t>
      </w:r>
      <w:r>
        <w:t xml:space="preserve"> </w:t>
      </w:r>
      <w:r>
        <w:t xml:space="preserve">(1995)</w:t>
      </w:r>
      <w:r>
        <w:t xml:space="preserve"> </w:t>
      </w:r>
      <w:r>
        <w:t xml:space="preserve">sample-size diagnostic for the neutrality estimators supports the Discussion: across the 29 basin assemblages, we computed the homozygosity-based and richness-based estimates of the transmission parameter and their signed difference, and correlated each with assemblage size and with seriation position, following Neiman’s protocol for separating a transmission signal from a sample-size artifact. Several further checks support the Results. A forking-paths sensitivity grid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class’s binned frequency trajectory. Neiman’s</w:t>
      </w:r>
      <w:r>
        <w:t xml:space="preserve"> </w:t>
      </w:r>
      <w:r>
        <w:t xml:space="preserve">(1995)</w:t>
      </w:r>
      <w:r>
        <w:t xml:space="preserve"> </w:t>
      </w:r>
      <w:r>
        <w:t xml:space="preserve">squared-Euclidean interassemblage-distance is computed with its diversity-distance relationship and divergence trajectory. The alternative basin definition, the stricter watershed rule, is evaluated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The Neiman interassemblage-distance result is shown in Figure S1.</w:t>
      </w:r>
    </w:p>
    <w:p>
      <w:pPr>
        <w:pStyle w:val="CaptionedFigure"/>
      </w:pPr>
      <w:r>
        <w:drawing>
          <wp:inline>
            <wp:extent cx="5334000" cy="2759675"/>
            <wp:effectExtent b="0" l="0" r="0" t="0"/>
            <wp:docPr descr="Figure S1. 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 title="" id="15" name="Picture"/>
            <a:graphic>
              <a:graphicData uri="http://schemas.openxmlformats.org/drawingml/2006/picture">
                <pic:pic>
                  <pic:nvPicPr>
                    <pic:cNvPr descr="../../figures/figS1_neiman.png" id="16" name="Picture"/>
                    <pic:cNvPicPr>
                      <a:picLocks noChangeArrowheads="1" noChangeAspect="1"/>
                    </pic:cNvPicPr>
                  </pic:nvPicPr>
                  <pic:blipFill>
                    <a:blip r:embed="rId14"/>
                    <a:stretch>
                      <a:fillRect/>
                    </a:stretch>
                  </pic:blipFill>
                  <pic:spPr bwMode="auto">
                    <a:xfrm>
                      <a:off x="0" y="0"/>
                      <a:ext cx="5334000" cy="2759675"/>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w:t>
      </w:r>
    </w:p>
    <w:bookmarkEnd w:id="17"/>
    <w:bookmarkStart w:id="18" w:name="X1e1c56b7070e82b7ccff3b34d2f446c77d2b944"/>
    <w:p>
      <w:pPr>
        <w:pStyle w:val="Heading2"/>
      </w:pPr>
      <w:r>
        <w:t xml:space="preserve">The F_ST-led reduction is a property of the record, not the generator</w:t>
      </w:r>
    </w:p>
    <w:p>
      <w:pPr>
        <w:pStyle w:val="FirstParagraph"/>
      </w:pPr>
      <w:r>
        <w:t xml:space="preserve">The recovery experiment injects group closure as between-cluster divergence, which is what cultural F_ST measures, so one objection is that the experiment only certifies an F_ST test recovering an F_ST-shaped signal. We tested this by injecting closure through two further pathways, each matched to a different signature, and asking which signature recovers each. A within-group conformity pathway raises conformity in a single undivided pool with no between-group divergence, the pathway that the neutral departure is meant to detect. A non-spatial social pathway assembles assemblages into social groups scrambled relative to the spatial clusters, the pathway seriation coherence is meant to detect. The result is one-sided in two ways. First, the conformity pathway is recovered by no signature (the neutral departure, which should detect it, inverts rather than rises), and the non-spatial social pathway is not recovered by seriation either. Hence, the neutral and seriation signatures fail to register an injected signal even through the pathway each is designed for. Second, F_ST is not a clean spatial-divergence test but a near-omnibus one, responding to group structure, however it is organized. It recovers the spatial-divergence pathway strongly (mean trend rising from the null to +0.76 at strong injection) and also recovers the non-spatial social pathway (+0.77), because both ultimately raise between-group variance somewhere the partition can see it. The four signatures are therefore not four independent pathways, even in this diagnostic. The only one that registers an injected signal at this resolution is F_ST, and it does so however the underlying divergence is organized. The reduction to F_ST is a property of the record’s resolution, not an artifact of a generator whose injected closure is collinear with F_ST. That resolution is 29 time-averaged assemblages subsampled to a common count over ten aggregated classes. A subsampling-depth sweep (the weak signatures climb modestly with more sherds but remain well below F_ST) and a cluster-count sweep (the spatial signature stays weak through k = 5) confirm that the limitation is the record’s size and time-averaging rather than a single tuning choice. The consequence, stated in the Discussion, is that the negative bounds only cover closure expressed as between-group divergence. A closure carried purely by conformity or by a non-spatially organized social structure is below detection here at any strength.</w:t>
      </w:r>
    </w:p>
    <w:bookmarkEnd w:id="18"/>
    <w:bookmarkStart w:id="22" w:name="X901292badd8b907c0b9a36349da4326a6d932c8"/>
    <w:p>
      <w:pPr>
        <w:pStyle w:val="Heading2"/>
      </w:pPr>
      <w:r>
        <w:t xml:space="preserve">Positive control: the basin matches neutral spatial drift</w:t>
      </w:r>
    </w:p>
    <w:p>
      <w:pPr>
        <w:pStyle w:val="FirstParagraph"/>
      </w:pPr>
      <w:r>
        <w:t xml:space="preserve">To test what process the basin’s structure matches, rather than only which process it fails to show, we simulated neutral cultural drift on the real coordinate layout of the 29 assemblages, following the finite-population network-drift model of Lipo, DiNapoli, Madsen, and Hunt</w:t>
      </w:r>
      <w:r>
        <w:t xml:space="preserve"> </w:t>
      </w:r>
      <w:r>
        <w:t xml:space="preserve">(2021)</w:t>
      </w:r>
      <w:r>
        <w:t xml:space="preserve">. Each assemblage is a node holding a finite population of learners that copies decorated-class variants within the node and, at a low rate, from other nodes with a probability that decays with geographic distance, with innovation and the record’s trailing-window time-averaging imposed. We compared this neutral model against a bounded-groups model in which interactions are concentrated within spatially contiguous groups, with only a small leak between them, both run on the same coordinates and subsampled to the observed per-assemblage counts. We swept the interaction range (6, 12, and 24 km), the between-node mixing rate (0.02, 0.05, and 0.20), and the innovation rate (0.005, 0.01, and 0.02), in both snapshot and time-averaged form, at 100 seeds per cell, recording for each cell whether the four observed statistics fall inside the neutral null. Across the time-averaged sweep, the region that brackets all four at once is the low-mixing, sub-basin-range corner (24 km, mixing 0.02, innovation 0.01), as reported in Figure S5. At shorter ranges, drift over-produces the distance decay. At higher mixing, it underproduces the structure, so the all-four match holds only in a plausible but specific region of parameter space rather than across the whole parameter space. In every cell, the bounded-groups model overshoots the three structural statistics by roughly two to seven times relative to the observed values, so the contrast between drift, which can reproduce the data, and bounded groups, which cannot, is robust even where the all-four drift match is not. The control also demonstrates that the distance-controlled boundary excess, near zero under smooth deterministic isolation by distance, takes substantial positive values under stochastic neutral drift, so a positive boundary excess does not by itself distinguish a social boundary from drift on a finite network.</w:t>
      </w:r>
    </w:p>
    <w:p>
      <w:pPr>
        <w:pStyle w:val="CaptionedFigure"/>
      </w:pPr>
      <w:r>
        <w:drawing>
          <wp:inline>
            <wp:extent cx="5334000" cy="3619056"/>
            <wp:effectExtent b="0" l="0" r="0" t="0"/>
            <wp:docPr descr="Figure S5. 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 title="" id="20" name="Picture"/>
            <a:graphic>
              <a:graphicData uri="http://schemas.openxmlformats.org/drawingml/2006/picture">
                <pic:pic>
                  <pic:nvPicPr>
                    <pic:cNvPr descr="../../figures/figS5_drift_vs_groups.png" id="21" name="Picture"/>
                    <pic:cNvPicPr>
                      <a:picLocks noChangeArrowheads="1" noChangeAspect="1"/>
                    </pic:cNvPicPr>
                  </pic:nvPicPr>
                  <pic:blipFill>
                    <a:blip r:embed="rId19"/>
                    <a:stretch>
                      <a:fillRect/>
                    </a:stretch>
                  </pic:blipFill>
                  <pic:spPr bwMode="auto">
                    <a:xfrm>
                      <a:off x="0" y="0"/>
                      <a:ext cx="5334000" cy="3619056"/>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w:t>
      </w:r>
    </w:p>
    <w:bookmarkEnd w:id="22"/>
    <w:bookmarkStart w:id="23" w:name="the-time-aware-emergence-simulation"/>
    <w:p>
      <w:pPr>
        <w:pStyle w:val="Heading2"/>
      </w:pPr>
      <w:r>
        <w:t xml:space="preserve">The time-aware emergence simulation</w:t>
      </w:r>
    </w:p>
    <w:p>
      <w:pPr>
        <w:pStyle w:val="FirstParagraph"/>
      </w:pPr>
      <w:r>
        <w:t xml:space="preserve">The constructive demonstration in the main text (Figure 8) and its robustness check (Figure S7) use a forward neutral-drift model run on the real geography, distinct from the null-comparison of the positive control above. The model evolves a population of decorated-class variants at each of the 29 assemblage locations. Each location holds a fixed finite population of 120 learners. In each generation every learner copies the decorated class of another learner, drawn from its own location with high probability and, with probability 0.02, from another location chosen with a weight that decays exponentially with along-waterway (river-network) distance, described below, at a length scale of 24 river-km. With probability 0.012 a learner instead adopts a newly invented class, so the decorated repertoire turns over and new classes appear through time. That turnover is the source of the differential late-class frequencies that let assemblages be seriated. No interaction boundary is imposed anywhere, so any structure in the output is produced by river-network position and time alone. The engine is the finite-population network-drift model of Lipo, DiNapoli, Madsen, and Hunt</w:t>
      </w:r>
      <w:r>
        <w:t xml:space="preserve"> </w:t>
      </w:r>
      <w:r>
        <w:t xml:space="preserve">(2021)</w:t>
      </w:r>
      <w:r>
        <w:t xml:space="preserve">, here run forward with innovation switched on rather than set to zero to isolate structure.</w:t>
      </w:r>
    </w:p>
    <w:p>
      <w:pPr>
        <w:pStyle w:val="BodyText"/>
      </w:pPr>
      <w:r>
        <w:t xml:space="preserve">Interaction in this riverine settlement system travels along watercourses, so the copying kernel uses river-network distance rather than straight-line distance. We build a graph from the mapped hydrography (the LMVHydrology centerlines clipped to the basin with a 25 km margin), repair its topology by bridging vertices within 250 m of one another, keep the largest connected component, and snap each assemblage to the nearest network node, adding the snap distance as an access cost at both ends. The distance between two assemblages is the shortest along-water path between their snapped nodes. All 29 assemblages connect on the resulting network, the mean access distance from an assemblage to a mapped channel is 3.1 km, and along-water paths average about 2.3 times the straight-line distance. Substituting straight-line distance changes the results negligibly (between-group F_ST and community counts shift within sampling error), so the conclusions do not depend on the choice, but the river-network distance is the more faithful representation of how potters in the basin could interact.</w:t>
      </w:r>
    </w:p>
    <w:p>
      <w:pPr>
        <w:pStyle w:val="BodyText"/>
      </w:pPr>
      <w:r>
        <w:t xml:space="preserve">The assemblages are not contemporaneous, which is both why they can be seriated and why some carry more of the late classes than others, so the evolving field is sampled time-transgressively rather than at a single instant. The field is recorded at 90 evenly spaced time slices over 1,800 generations. Each synthetic assemblage is drawn from the slice that matches its observed seriation position, its rank on the first correspondence-analysis axis of the real data, and accumulated over a trailing window of eight slices so that, like a real death assemblage, it mixes production across its span. Each synthetic assemblage is then sampled to the observed sherd count of the corresponding real assemblage. The synthetic assemblages are read exactly as the empirical ones: interaction communities by the same modularity partition, between-group cultural F_ST on the resulting groups, and a seriation order from a fresh correspondence analysis. A contemporaneous control, with every assemblage drawn from the final slice, is sampled the same way for comparison.</w:t>
      </w:r>
    </w:p>
    <w:p>
      <w:pPr>
        <w:pStyle w:val="BodyText"/>
      </w:pPr>
      <w:r>
        <w:t xml:space="preserve">For Figure 8 we summarize 500 independent realizations at the positive-control corner (interaction length 24 river-km, between-node mixing 0.02, innovation 0.012). Because community labels are arbitrary and switch between runs, groupness is summarized by co-membership rather than by a single partition: for each assemblage, the fraction of the 500 runs in which it falls in the same emergent community as Parkin. This quantity is label-invariant, needs no alignment across runs, and expresses the contingency of any single solution as a probability surface. Figure 8A shows this for the contemporaneous snapshot, in which every assemblage is drawn from the same final time slice, so it isolates the spatial signal: co-membership with Parkin falls off with river distance. Under the full time-transgressive sampling that gradient disappears, because assemblages drawn at different seriation positions carry different repertoires and fall into different, time-defined communities. Membership then reflects space and time jointly, and a site’s nearest neighbors need not share its phase. Either way, no assemblage is a certain member or non-member, so the phase has no stable membership. Figure S7 repeats the experiment across a grid of the three governing parameters to show that the result does not depend on this corner.</w:t>
      </w:r>
    </w:p>
    <w:bookmarkEnd w:id="23"/>
    <w:bookmarkStart w:id="27" w:name="X46f06afe48e87b8ae1167d65cf212c2920f73fa"/>
    <w:p>
      <w:pPr>
        <w:pStyle w:val="Heading2"/>
      </w:pPr>
      <w:r>
        <w:t xml:space="preserve">Robustness of the emergent phase-like structure</w:t>
      </w:r>
    </w:p>
    <w:p>
      <w:pPr>
        <w:pStyle w:val="FirstParagraph"/>
      </w:pPr>
      <w:r>
        <w:t xml:space="preserve">The positive control shows the observed structure falls inside the drift distribution. The constructive demonstration in the main text (Figure 8) goes further, generating phase-like structure from drift on the real geography, and we checked that this generative result is not contingent on a single stochastic draw or a tuned parameter set. We repeated the time-transgressive emergence experiment across 432 runs spanning a grid of interaction length (12, 18, 24, and 36 river-km), between-node mixing (0.01, 0.02, and 0.05), and innovation rate (0.006, 0.012, and 0.024), with twelve seeds per cell (Figure S7). Two or more spatially coherent communities, the phase-like territories a culture historian would name, emerge in every run. The between-group cultural F_ST sits at or below the observed value in 85 percent of runs and within a factor of two of it in 53 percent, short of the bounded-groups expectation throughout. F_ST is essentially flat across interaction length and declines with more mixing or more innovation, the expected behavior of a drift process, and the synthetic record re-seriates across the full grid (mean absolute Spearman correlation 0.44 between recovered and imposed order). The appearance of phase-like structure at the observed magnitude is therefore a generic outcome of distance-structured drift on this geography rather than a product of the chosen parameters.</w:t>
      </w:r>
    </w:p>
    <w:p>
      <w:pPr>
        <w:pStyle w:val="CaptionedFigure"/>
      </w:pPr>
      <w:r>
        <w:drawing>
          <wp:inline>
            <wp:extent cx="5334000" cy="4112375"/>
            <wp:effectExtent b="0" l="0" r="0" t="0"/>
            <wp:docPr descr="Figure S7. Robustness of phase-like emergence to contingency and model factors, across 432 time-transgressive runs (a grid of interaction length, between-node mixing, and innovation rate, twelve seeds per cell). (A) Between-group cultural F_ST by between-node mixing and (B) by innovation rate, boxes taken over all other factors and seeds. The observed value (dashed) is bracketed, and F_ST falls with both factors but never reaches the bounded-groups level. (C) Distribution of the number of emergent communities per run, with every run yielding two or more, the phase-like groups. (D) Distribution of seriation recovery, the absolute Spearman correlation between the recovered CA1 rank and the imposed time order, across runs (mean 0.44)." title="" id="25" name="Picture"/>
            <a:graphic>
              <a:graphicData uri="http://schemas.openxmlformats.org/drawingml/2006/picture">
                <pic:pic>
                  <pic:nvPicPr>
                    <pic:cNvPr descr="../../figures/figS7_emergence_robustness.png" id="26" name="Picture"/>
                    <pic:cNvPicPr>
                      <a:picLocks noChangeArrowheads="1" noChangeAspect="1"/>
                    </pic:cNvPicPr>
                  </pic:nvPicPr>
                  <pic:blipFill>
                    <a:blip r:embed="rId24"/>
                    <a:stretch>
                      <a:fillRect/>
                    </a:stretch>
                  </pic:blipFill>
                  <pic:spPr bwMode="auto">
                    <a:xfrm>
                      <a:off x="0" y="0"/>
                      <a:ext cx="5334000" cy="4112375"/>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Robustness of phase-like emergence to contingency and model factors, across 432 time-transgressive runs (a grid of interaction length, between-node mixing, and innovation rate, twelve seeds per cell). (A) Between-group cultural F_ST by between-node mixing and (B) by innovation rate, boxes taken over all other factors and seeds. The observed value (dashed) is bracketed, and F_ST falls with both factors but never reaches the bounded-groups level. (C) Distribution of the number of emergent communities per run, with every run yielding two or more, the phase-like groups. (D) Distribution of seriation recovery, the absolute Spearman correlation between the recovered CA1 rank and the imposed time order, across runs (mean 0.44).</w:t>
      </w:r>
    </w:p>
    <w:bookmarkEnd w:id="27"/>
    <w:bookmarkStart w:id="31" w:name="X4b657c0117a02bedc64d2fce6fe36b11976cd64"/>
    <w:p>
      <w:pPr>
        <w:pStyle w:val="Heading2"/>
      </w:pPr>
      <w:r>
        <w:t xml:space="preserve">Regional extension: the central-valley and lower-valley assemblages</w:t>
      </w:r>
    </w:p>
    <w:p>
      <w:pPr>
        <w:pStyle w:val="FirstParagraph"/>
      </w:pPr>
      <w:r>
        <w:t xml:space="preserve">We extended the analysis to the southeast Missouri survey assemblages of Williams</w:t>
      </w:r>
      <w:r>
        <w:t xml:space="preserve"> </w:t>
      </w:r>
      <w:r>
        <w:t xml:space="preserve">(1954)</w:t>
      </w:r>
      <w:r>
        <w:t xml:space="preserve">, comprising 50 assemblages from 28 sites, digitized from the survey tables and georeferenced using the Lower Mississippi Survey grid. Within the central-valley regions, the decorated-ceramic differentiation is a Woodland-to-Mississippian composition gradient rather than a synchronic structure: a cultural F_ST of 0.11 across physiographic regions collapses to 0.04, near the drift level, once the analysis is restricted to Mississippian classes. Between the central and lower valleys, the Phillips-Ford-Griffin assemblages present a different picture. Combining the two into one north-south transect of 133 decorated assemblages, the decline of decorated similarity with distance is itself drift-consistent (Mantel r = -0.55, inside the spatial-drift null). Still, the distance-controlled boundary excess at the central-valley and lower-valley divide is +52 Brainerd-Robinson units, far outside the drift null. The two regions carry mutually exclusive, distinctive repertoires (northern Wickliffe, O’Byam, Matthews, Kimmswick, and Varney Red against southern Barton, Walls Engraved, Carson Red-on-Buff, Avenue Polychrome, and Leland), with even the shared classes differing in proportion. Restricting the comparison to classes present in both regions, which removes the mutually exclusive distinctive classes that carry the strongest temporal contrast, reduces the step but does not erase it: the boundary excess falls to +38 Brainerd-Robinson units. It remains above the neutral-drift null, so the boundary is not solely an artifact of distinctive-class turnover, although the shared classes themselves retain some temporal structure. The step is real but confounded by time, because the northern distinctive classes are early- to middle-Mississippian and the southern are late</w:t>
      </w:r>
      <w:r>
        <w:t xml:space="preserve"> </w:t>
      </w:r>
      <w:r>
        <w:t xml:space="preserve">(Phillips 1970; Williams 1954)</w:t>
      </w:r>
      <w:r>
        <w:t xml:space="preserve">, so it cannot be separated from a chronological succession without independent central-valley radiocarbon (Figure S6). It is further confounded by analytical history: the lower-valley assemblages were classified in the Phillips-Ford-Griffin tradition, and the central-valley assemblages were classified separately by Williams, so even shared class names may have been applied to different criteria. The shared-class restriction (boundary excess falling to +38 Brainerd-Robinson units but not vanishing) limits this artifact without removing it, leaving open the possibility that the interaction was continuous across the entire region and that the apparent boundary is a product of two separate assemblage and analysis histories.</w:t>
      </w:r>
    </w:p>
    <w:p>
      <w:pPr>
        <w:pStyle w:val="CaptionedFigure"/>
      </w:pPr>
      <w:r>
        <w:drawing>
          <wp:inline>
            <wp:extent cx="5334000" cy="3424782"/>
            <wp:effectExtent b="0" l="0" r="0" t="0"/>
            <wp:docPr descr="Figure S6. 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 title="" id="29" name="Picture"/>
            <a:graphic>
              <a:graphicData uri="http://schemas.openxmlformats.org/drawingml/2006/picture">
                <pic:pic>
                  <pic:nvPicPr>
                    <pic:cNvPr descr="../../figures/figS6_macro_transect.png" id="30" name="Picture"/>
                    <pic:cNvPicPr>
                      <a:picLocks noChangeArrowheads="1" noChangeAspect="1"/>
                    </pic:cNvPicPr>
                  </pic:nvPicPr>
                  <pic:blipFill>
                    <a:blip r:embed="rId28"/>
                    <a:stretch>
                      <a:fillRect/>
                    </a:stretch>
                  </pic:blipFill>
                  <pic:spPr bwMode="auto">
                    <a:xfrm>
                      <a:off x="0" y="0"/>
                      <a:ext cx="5334000" cy="3424782"/>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w:t>
      </w:r>
    </w:p>
    <w:bookmarkEnd w:id="31"/>
    <w:bookmarkStart w:id="35" w:name="X61b4c874ea32e31666b882bda5fae1d71873809"/>
    <w:p>
      <w:pPr>
        <w:pStyle w:val="Heading2"/>
      </w:pPr>
      <w:r>
        <w:t xml:space="preserve">Dynamic-sufficiency tests in the time domain</w:t>
      </w:r>
    </w:p>
    <w:p>
      <w:pPr>
        <w:pStyle w:val="FirstParagraph"/>
      </w:pPr>
      <w:r>
        <w:t xml:space="preserve">The four convergence signatures are read as states along the seriation sequence, so on their own they are only partially dynamically sufficient: they describe states rather than the transitions between them. Two further tests work on the transformation between states, and a third, underpowered probe is reported in the code for completeness. The two we rely on are dynamically and empirically sufficient at once, because each models the change between states while respecting the time-averaged resolution of the record.</w:t>
      </w:r>
    </w:p>
    <w:p>
      <w:pPr>
        <w:pStyle w:val="BodyText"/>
      </w:pPr>
      <w:r>
        <w:t xml:space="preserve">The first infers how potters were copying by simulation. We run many copying scenarios, ranging from strongly conformist to neutral to novelty-seeking, and keep only the ones that reproduce the real assemblages, then read off the kind of copying implied by the surviving scenarios, with the record’s time-averaging built into each simulation (the approximate-Bayesian-computation approach)</w:t>
      </w:r>
      <w:r>
        <w:t xml:space="preserve"> </w:t>
      </w:r>
      <w:r>
        <w:t xml:space="preserve">(Carrignon et al. 2019; Crema et al. 2014, 2016)</w:t>
      </w:r>
      <w:r>
        <w:t xml:space="preserve">. We modeled the basin sequence as frequency-dependent copying among the ten decorated classes in a finite population. Each generation, the adoption weight of a class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classes. An assemblage pools production over a window of generations, so the time-averaging that distorts the static statistics is built into the generative process rather than corrected after the fact. This is what makes the test both empirically and dynamically sufficient. We drew 40,000 parameter sets from broad priors (innovation rate, bias</w:t>
      </w:r>
      <w:r>
        <w:t xml:space="preserve"> </w:t>
      </w:r>
      <m:oMath>
        <m:r>
          <m:t>b</m:t>
        </m:r>
      </m:oMath>
      <w:r>
        <w:t xml:space="preserve">, population size, and time-averaging window), simulated a six-bin sequence from each, and accepted the 400 parameter sets closest to the observed diversity trajectory and rank-frequency profile, ranked by Euclidean distance over the summary statistics. The posterior of the bias is tightly constrained near neutral, with mean</w:t>
      </w:r>
      <w:r>
        <w:t xml:space="preserve"> </w:t>
      </w:r>
      <m:oMath>
        <m:r>
          <m:t>b</m:t>
        </m:r>
        <m:r>
          <m:rPr>
            <m:sty m:val="p"/>
          </m:rPr>
          <m:t>=</m:t>
        </m:r>
        <m:r>
          <m:rPr>
            <m:sty m:val="p"/>
          </m:rPr>
          <m:t>+</m:t>
        </m:r>
        <m:r>
          <m:t>0.028</m:t>
        </m:r>
      </m:oMath>
      <w:r>
        <w:t xml:space="preserve"> </w:t>
      </w:r>
      <w:r>
        <w:t xml:space="preserve">and a 95 percent interval of</w:t>
      </w:r>
      <w:r>
        <w:t xml:space="preserve"> </w:t>
      </w:r>
      <m:oMath>
        <m:r>
          <m:rPr>
            <m:sty m:val="p"/>
          </m:rPr>
          <m:t>−</m:t>
        </m:r>
        <m:r>
          <m:t>0.021</m:t>
        </m:r>
      </m:oMath>
      <w:r>
        <w:t xml:space="preserve"> </w:t>
      </w:r>
      <w:r>
        <w:t xml:space="preserve">to</w:t>
      </w:r>
      <w:r>
        <w:t xml:space="preserve"> </w:t>
      </w:r>
      <m:oMath>
        <m:r>
          <m:rPr>
            <m:sty m:val="p"/>
          </m:rPr>
          <m:t>+</m:t>
        </m:r>
        <m:r>
          <m:t>0.063</m:t>
        </m:r>
      </m:oMath>
      <w:r>
        <w:t xml:space="preserve"> </w:t>
      </w:r>
      <w:r>
        <w:t xml:space="preserve">that includes zero (Figure S4A). The posterior standard deviation is 0.021 against a prior of 0.289, so the data appreciably constrain the bias rather than leaving it at the prior, placing it close to neutral. A weak conformist lean is visible, with</w:t>
      </w:r>
      <w:r>
        <w:t xml:space="preserve"> </w:t>
      </w:r>
      <m:oMath>
        <m:r>
          <m:t>P</m:t>
        </m:r>
        <m:r>
          <m:rPr>
            <m:sty m:val="p"/>
          </m:rPr>
          <m:t>(</m:t>
        </m:r>
        <m:r>
          <m:t>b</m:t>
        </m:r>
        <m:r>
          <m:rPr>
            <m:sty m:val="p"/>
          </m:rPr>
          <m:t>&gt;</m:t>
        </m:r>
        <m:r>
          <m:t>0</m:t>
        </m:r>
        <m:r>
          <m:rPr>
            <m:sty m:val="p"/>
          </m:rPr>
          <m:t>)</m:t>
        </m:r>
        <m:r>
          <m:rPr>
            <m:sty m:val="p"/>
          </m:rPr>
          <m:t>=</m:t>
        </m:r>
        <m:r>
          <m:t>0.91</m:t>
        </m:r>
      </m:oMath>
      <w:r>
        <w:t xml:space="preserve">, but it is not resolved as a departure from neutral, and refitting the bias separately to the early and late halves of the sequence recovers no shift between them. The inference rules out the strong conformist bias that a marker- or assortment-based dynamic would require by modeling copying dynamics rather than a single static moment. The posterior contraction should be read with one caveat: rejection sampling at a one percent acceptance tolerance is not formally calibrated here, so we present this inference as concordant with the record-matched recovery and the static signatures rather than as a standalone result.</w:t>
      </w:r>
    </w:p>
    <w:p>
      <w:pPr>
        <w:pStyle w:val="BodyText"/>
      </w:pPr>
      <w:r>
        <w:t xml:space="preserve">The second test asks, in plain terms, whether the assemblages’ diversity drifts aimlessly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classes, binned along the oriented axis, we fit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and compared them by the small-sample Akaike information criterion. The aggregate diversity trajectory favors the unbiased random walk, with an Akaike weight of 0.81 against 0.19 for the directional model and negligible weight for stasis or the Ornstein-Uhlenbeck model. The model comparison has only six points, so it is weak. This result is a concordance rather than a decisive selection (Figure S4B). The diversity trajectory is the trait of interest here, because the correspondence-analysis ordering does not arrange it by construction. Individual-class trajectories more often favor the directional model. That comparison, however, is weak and partly tautological because the seriation axis is designed to maximize monotonic class-frequency turnover, and only three classes are abundant enough across the sequence to fit. The robust reading is neutral drift, not a sustained directional transition.</w:t>
      </w:r>
    </w:p>
    <w:p>
      <w:pPr>
        <w:pStyle w:val="CaptionedFigure"/>
      </w:pPr>
      <w:r>
        <w:drawing>
          <wp:inline>
            <wp:extent cx="5334000" cy="2794140"/>
            <wp:effectExtent b="0" l="0" r="0" t="0"/>
            <wp:docPr descr="Figure S2. 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class trajectories. The diversity trajectory, which the correspondence-analysis ordering does not arrange by construction, favors the unbiased random walk (neutral drift), a concordance rather than a decisive selection given only six points." title="" id="33" name="Picture"/>
            <a:graphic>
              <a:graphicData uri="http://schemas.openxmlformats.org/drawingml/2006/picture">
                <pic:pic>
                  <pic:nvPicPr>
                    <pic:cNvPr descr="../../figures/figS2_dynamic.png" id="34" name="Picture"/>
                    <pic:cNvPicPr>
                      <a:picLocks noChangeArrowheads="1" noChangeAspect="1"/>
                    </pic:cNvPicPr>
                  </pic:nvPicPr>
                  <pic:blipFill>
                    <a:blip r:embed="rId32"/>
                    <a:stretch>
                      <a:fillRect/>
                    </a:stretch>
                  </pic:blipFill>
                  <pic:spPr bwMode="auto">
                    <a:xfrm>
                      <a:off x="0" y="0"/>
                      <a:ext cx="5334000" cy="2794140"/>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class trajectories. The diversity trajectory, which the correspondence-analysis ordering does not arrange by construction, favors the unbiased random walk (neutral drift), a concordance rather than a decisive selection given only six points.</w:t>
      </w:r>
    </w:p>
    <w:p>
      <w:pPr>
        <w:pStyle w:val="BodyText"/>
      </w:pPr>
      <w:r>
        <w:t xml:space="preserve">A third probe, for the early-warning signature of a critical transition, is underpowered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End w:id="35"/>
    <w:bookmarkStart w:id="39" w:name="radiocarbon-chronology"/>
    <w:p>
      <w:pPr>
        <w:pStyle w:val="Heading2"/>
      </w:pPr>
      <w:r>
        <w:t xml:space="preserve">Radiocarbon chronology</w:t>
      </w:r>
    </w:p>
    <w:p>
      <w:pPr>
        <w:pStyle w:val="FirstParagraph"/>
      </w:pPr>
      <w:r>
        <w:t xml:space="preserve">We calibrated the Mainfort</w:t>
      </w:r>
      <w:r>
        <w:t xml:space="preserve"> </w:t>
      </w:r>
      <w:r>
        <w:t xml:space="preserve">(2001)</w:t>
      </w:r>
      <w:r>
        <w:t xml:space="preserve"> </w:t>
      </w:r>
      <w:r>
        <w:t xml:space="preserve">compilation of central-valley determinations against IntCal20</w:t>
      </w:r>
      <w:r>
        <w:t xml:space="preserve"> </w:t>
      </w:r>
      <w:r>
        <w:t xml:space="preserve">(</w:t>
      </w:r>
      <w:r>
        <w:t xml:space="preserve">Reimer et al.</w:t>
      </w:r>
      <w:r>
        <w:t xml:space="preserve"> </w:t>
      </w:r>
      <w:r>
        <w:t xml:space="preserve">2020)</w:t>
      </w:r>
      <w:r>
        <w:t xml:space="preserve">. Forty-one determinations come from seven St. Francis Basin Parkin-phase sites, nineteen of them from Parkin. The summed probability distribution of the basin dates concentrates the occupation in the fourteenth to sixteenth centuries, with a median of AD 1422 (Parkin alone, AD 1483), and declines across the contact interval: 29 percent of the basin probability mass postdates AD 1541 and 18 percent postdates AD 1600 (Figure S3).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w:t>
      </w:r>
      <w:r>
        <w:t xml:space="preserve"> </w:t>
      </w:r>
      <w:r>
        <w:t xml:space="preserve">(Surovell et al. 2009; Surovell and Brantingham 2007)</w:t>
      </w:r>
      <w:r>
        <w:t xml:space="preserve">. To test the assumption that the seriation axis tracks calendar time, we pooled the dates of the five proveniences matching curated assemblages. We correlated their pooled median calibrated ages with CA1 position: Spearman’s r = +0.70 (n = 5, 27 dates pooled), with four sites in calendar order and one late-dated site, Clay Hill, departing from it. The orientation of the axis toward later time is supported but not certain, and we treat directional statements as provisional throughout.</w:t>
      </w:r>
    </w:p>
    <w:p>
      <w:pPr>
        <w:pStyle w:val="CaptionedFigure"/>
      </w:pPr>
      <w:r>
        <w:drawing>
          <wp:inline>
            <wp:extent cx="5334000" cy="2715284"/>
            <wp:effectExtent b="0" l="0" r="0" t="0"/>
            <wp:docPr descr="Figure S3.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37" name="Picture"/>
            <a:graphic>
              <a:graphicData uri="http://schemas.openxmlformats.org/drawingml/2006/picture">
                <pic:pic>
                  <pic:nvPicPr>
                    <pic:cNvPr descr="../../figures/figS3_chronology.png" id="38" name="Picture"/>
                    <pic:cNvPicPr>
                      <a:picLocks noChangeArrowheads="1" noChangeAspect="1"/>
                    </pic:cNvPicPr>
                  </pic:nvPicPr>
                  <pic:blipFill>
                    <a:blip r:embed="rId36"/>
                    <a:stretch>
                      <a:fillRect/>
                    </a:stretch>
                  </pic:blipFill>
                  <pic:spPr bwMode="auto">
                    <a:xfrm>
                      <a:off x="0" y="0"/>
                      <a:ext cx="5334000" cy="2715284"/>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39"/>
    <w:bookmarkStart w:id="90" w:name="references"/>
    <w:p>
      <w:pPr>
        <w:pStyle w:val="Heading2"/>
      </w:pPr>
      <w:r>
        <w:t xml:space="preserve">References</w:t>
      </w:r>
    </w:p>
    <w:bookmarkStart w:id="89" w:name="refs"/>
    <w:bookmarkStart w:id="41"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40">
        <w:r>
          <w:rPr>
            <w:rStyle w:val="Hyperlink"/>
          </w:rPr>
          <w:t xml:space="preserve">https://doi.org/10.1073/pnas.0903232106</w:t>
        </w:r>
      </w:hyperlink>
      <w:r>
        <w:t xml:space="preserve">.</w:t>
      </w:r>
    </w:p>
    <w:bookmarkEnd w:id="41"/>
    <w:bookmarkStart w:id="43"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42">
        <w:r>
          <w:rPr>
            <w:rStyle w:val="Hyperlink"/>
          </w:rPr>
          <w:t xml:space="preserve">https://doi.org/10.1098/rspb.2004.2746</w:t>
        </w:r>
      </w:hyperlink>
      <w:r>
        <w:t xml:space="preserve">.</w:t>
      </w:r>
    </w:p>
    <w:bookmarkEnd w:id="43"/>
    <w:bookmarkStart w:id="45"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44">
        <w:r>
          <w:rPr>
            <w:rStyle w:val="Hyperlink"/>
          </w:rPr>
          <w:t xml:space="preserve">https://doi.org/10.1057/s41599-019-0295-9</w:t>
        </w:r>
      </w:hyperlink>
      <w:r>
        <w:t xml:space="preserve">.</w:t>
      </w:r>
    </w:p>
    <w:bookmarkEnd w:id="45"/>
    <w:bookmarkStart w:id="46"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46"/>
    <w:bookmarkStart w:id="48"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47">
        <w:r>
          <w:rPr>
            <w:rStyle w:val="Hyperlink"/>
          </w:rPr>
          <w:t xml:space="preserve">https://doi.org/10.1016/j.jas.2014.07.014</w:t>
        </w:r>
      </w:hyperlink>
      <w:r>
        <w:t xml:space="preserve">.</w:t>
      </w:r>
    </w:p>
    <w:bookmarkEnd w:id="48"/>
    <w:bookmarkStart w:id="50"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49">
        <w:r>
          <w:rPr>
            <w:rStyle w:val="Hyperlink"/>
          </w:rPr>
          <w:t xml:space="preserve">https://doi.org/10.1038/srep39122</w:t>
        </w:r>
      </w:hyperlink>
      <w:r>
        <w:t xml:space="preserve">.</w:t>
      </w:r>
    </w:p>
    <w:bookmarkEnd w:id="50"/>
    <w:bookmarkStart w:id="52"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51">
        <w:r>
          <w:rPr>
            <w:rStyle w:val="Hyperlink"/>
          </w:rPr>
          <w:t xml:space="preserve">https://doi.org/10.1371/journal.pone.0041010</w:t>
        </w:r>
      </w:hyperlink>
      <w:r>
        <w:t xml:space="preserve">.</w:t>
      </w:r>
    </w:p>
    <w:bookmarkEnd w:id="52"/>
    <w:bookmarkStart w:id="54"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53">
        <w:r>
          <w:rPr>
            <w:rStyle w:val="Hyperlink"/>
          </w:rPr>
          <w:t xml:space="preserve">https://doi.org/10.2307/278341</w:t>
        </w:r>
      </w:hyperlink>
      <w:r>
        <w:t xml:space="preserve">.</w:t>
      </w:r>
    </w:p>
    <w:bookmarkEnd w:id="54"/>
    <w:bookmarkStart w:id="55"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55"/>
    <w:bookmarkStart w:id="57"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56">
        <w:r>
          <w:rPr>
            <w:rStyle w:val="Hyperlink"/>
          </w:rPr>
          <w:t xml:space="preserve">https://doi.org/10.1534/genetics.113.158220</w:t>
        </w:r>
      </w:hyperlink>
      <w:r>
        <w:t xml:space="preserve">.</w:t>
      </w:r>
    </w:p>
    <w:bookmarkEnd w:id="57"/>
    <w:bookmarkStart w:id="58"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58"/>
    <w:bookmarkStart w:id="60"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59">
        <w:r>
          <w:rPr>
            <w:rStyle w:val="Hyperlink"/>
          </w:rPr>
          <w:t xml:space="preserve">https://doi.org/10.1525/aa.2001.103.4.992</w:t>
        </w:r>
      </w:hyperlink>
      <w:r>
        <w:t xml:space="preserve">.</w:t>
      </w:r>
    </w:p>
    <w:bookmarkEnd w:id="60"/>
    <w:bookmarkStart w:id="61"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61"/>
    <w:bookmarkStart w:id="63"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62">
        <w:r>
          <w:rPr>
            <w:rStyle w:val="Hyperlink"/>
          </w:rPr>
          <w:t xml:space="preserve">https://doi.org/10.1666/05070.1</w:t>
        </w:r>
      </w:hyperlink>
      <w:r>
        <w:t xml:space="preserve">.</w:t>
      </w:r>
    </w:p>
    <w:bookmarkEnd w:id="63"/>
    <w:bookmarkStart w:id="65"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64">
        <w:r>
          <w:rPr>
            <w:rStyle w:val="Hyperlink"/>
          </w:rPr>
          <w:t xml:space="preserve">https://doi.org/10.1111/j.1558-5646.2007.00310.x</w:t>
        </w:r>
      </w:hyperlink>
      <w:r>
        <w:t xml:space="preserve">.</w:t>
      </w:r>
    </w:p>
    <w:bookmarkEnd w:id="65"/>
    <w:bookmarkStart w:id="67"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66">
        <w:r>
          <w:rPr>
            <w:rStyle w:val="Hyperlink"/>
          </w:rPr>
          <w:t xml:space="preserve">https://doi.org/10.1371/journal.pone.0250690</w:t>
        </w:r>
      </w:hyperlink>
      <w:r>
        <w:t xml:space="preserve">.</w:t>
      </w:r>
    </w:p>
    <w:bookmarkEnd w:id="67"/>
    <w:bookmarkStart w:id="69"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68">
        <w:r>
          <w:rPr>
            <w:rStyle w:val="Hyperlink"/>
          </w:rPr>
          <w:t xml:space="preserve">https://doi.org/10.1371/journal.pone.0124942</w:t>
        </w:r>
      </w:hyperlink>
      <w:r>
        <w:t xml:space="preserve">.</w:t>
      </w:r>
    </w:p>
    <w:bookmarkEnd w:id="69"/>
    <w:bookmarkStart w:id="71"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70">
        <w:r>
          <w:rPr>
            <w:rStyle w:val="Hyperlink"/>
          </w:rPr>
          <w:t xml:space="preserve">https://doi.org/10.1006/jaar.1997.0314</w:t>
        </w:r>
      </w:hyperlink>
      <w:r>
        <w:t xml:space="preserve">.</w:t>
      </w:r>
    </w:p>
    <w:bookmarkEnd w:id="71"/>
    <w:bookmarkStart w:id="72"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72"/>
    <w:bookmarkStart w:id="73"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73"/>
    <w:bookmarkStart w:id="74"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74"/>
    <w:bookmarkStart w:id="75"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75"/>
    <w:bookmarkStart w:id="76"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76"/>
    <w:bookmarkStart w:id="77"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77"/>
    <w:bookmarkStart w:id="79"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78">
        <w:r>
          <w:rPr>
            <w:rStyle w:val="Hyperlink"/>
          </w:rPr>
          <w:t xml:space="preserve">https://doi.org/10.1017/RDC.2020.41</w:t>
        </w:r>
      </w:hyperlink>
      <w:r>
        <w:t xml:space="preserve">.</w:t>
      </w:r>
    </w:p>
    <w:bookmarkEnd w:id="79"/>
    <w:bookmarkStart w:id="80"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80"/>
    <w:bookmarkStart w:id="82"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81">
        <w:r>
          <w:rPr>
            <w:rStyle w:val="Hyperlink"/>
          </w:rPr>
          <w:t xml:space="preserve">https://doi.org/10.1038/nature08227</w:t>
        </w:r>
      </w:hyperlink>
      <w:r>
        <w:t xml:space="preserve">.</w:t>
      </w:r>
    </w:p>
    <w:bookmarkEnd w:id="82"/>
    <w:bookmarkStart w:id="84"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83">
        <w:r>
          <w:rPr>
            <w:rStyle w:val="Hyperlink"/>
          </w:rPr>
          <w:t xml:space="preserve">https://doi.org/10.1016/j.jas.2007.01.003</w:t>
        </w:r>
      </w:hyperlink>
      <w:r>
        <w:t xml:space="preserve">.</w:t>
      </w:r>
    </w:p>
    <w:bookmarkEnd w:id="84"/>
    <w:bookmarkStart w:id="86" w:name="ref-surovell_etal_2009"/>
    <w:p>
      <w:pPr>
        <w:pStyle w:val="Bibliography"/>
      </w:pPr>
      <w:r>
        <w:t xml:space="preserve">Surovell, Todd A., Judson B. Finley, Geoffrey M. Smith, P. Jeffrey Brantingham, and Robert L. Kelly. 2009. Correcting Temporal Frequency Distributions for Taphonomic Bias.</w:t>
      </w:r>
      <w:r>
        <w:t xml:space="preserve"> </w:t>
      </w:r>
      <w:r>
        <w:rPr>
          <w:i/>
          <w:iCs/>
        </w:rPr>
        <w:t xml:space="preserve">Journal of Archaeological Science</w:t>
      </w:r>
      <w:r>
        <w:t xml:space="preserve"> </w:t>
      </w:r>
      <w:r>
        <w:t xml:space="preserve">36(8):1715–1724.</w:t>
      </w:r>
      <w:r>
        <w:t xml:space="preserve"> </w:t>
      </w:r>
      <w:hyperlink r:id="rId85">
        <w:r>
          <w:rPr>
            <w:rStyle w:val="Hyperlink"/>
          </w:rPr>
          <w:t xml:space="preserve">https://doi.org/10.1016/j.jas.2009.03.029</w:t>
        </w:r>
      </w:hyperlink>
      <w:r>
        <w:t xml:space="preserve">.</w:t>
      </w:r>
    </w:p>
    <w:bookmarkEnd w:id="86"/>
    <w:bookmarkStart w:id="87"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87"/>
    <w:bookmarkStart w:id="88" w:name="ref-williams_1954"/>
    <w:p>
      <w:pPr>
        <w:pStyle w:val="Bibliography"/>
      </w:pPr>
      <w:r>
        <w:t xml:space="preserve">Williams, Stephen. 1954. An Archeological Study of the Mississippian Culture in Southeast Missouri. PhD thesis, Yale University, New Haven.</w:t>
      </w:r>
    </w:p>
    <w:bookmarkEnd w:id="88"/>
    <w:bookmarkEnd w:id="89"/>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10" Target="media/rId10.png" /><Relationship Type="http://schemas.openxmlformats.org/officeDocument/2006/relationships/image" Id="rId19" Target="media/rId19.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hyperlink" Id="rId70" Target="https://doi.org/10.1006/jaar.1997.0314" TargetMode="External" /><Relationship Type="http://schemas.openxmlformats.org/officeDocument/2006/relationships/hyperlink" Id="rId83" Target="https://doi.org/10.1016/j.jas.2007.01.003" TargetMode="External" /><Relationship Type="http://schemas.openxmlformats.org/officeDocument/2006/relationships/hyperlink" Id="rId85" Target="https://doi.org/10.1016/j.jas.2009.03.029" TargetMode="External" /><Relationship Type="http://schemas.openxmlformats.org/officeDocument/2006/relationships/hyperlink" Id="rId47" Target="https://doi.org/10.1016/j.jas.2014.07.014" TargetMode="External" /><Relationship Type="http://schemas.openxmlformats.org/officeDocument/2006/relationships/hyperlink" Id="rId78" Target="https://doi.org/10.1017/RDC.2020.41" TargetMode="External" /><Relationship Type="http://schemas.openxmlformats.org/officeDocument/2006/relationships/hyperlink" Id="rId81" Target="https://doi.org/10.1038/nature08227" TargetMode="External" /><Relationship Type="http://schemas.openxmlformats.org/officeDocument/2006/relationships/hyperlink" Id="rId49" Target="https://doi.org/10.1038/srep39122" TargetMode="External" /><Relationship Type="http://schemas.openxmlformats.org/officeDocument/2006/relationships/hyperlink" Id="rId44" Target="https://doi.org/10.1057/s41599-019-0295-9" TargetMode="External" /><Relationship Type="http://schemas.openxmlformats.org/officeDocument/2006/relationships/hyperlink" Id="rId40" Target="https://doi.org/10.1073/pnas.0903232106" TargetMode="External" /><Relationship Type="http://schemas.openxmlformats.org/officeDocument/2006/relationships/hyperlink" Id="rId42" Target="https://doi.org/10.1098/rspb.2004.2746" TargetMode="External" /><Relationship Type="http://schemas.openxmlformats.org/officeDocument/2006/relationships/hyperlink" Id="rId64" Target="https://doi.org/10.1111/j.1558-5646.2007.00310.x" TargetMode="External" /><Relationship Type="http://schemas.openxmlformats.org/officeDocument/2006/relationships/hyperlink" Id="rId51" Target="https://doi.org/10.1371/journal.pone.0041010" TargetMode="External" /><Relationship Type="http://schemas.openxmlformats.org/officeDocument/2006/relationships/hyperlink" Id="rId68" Target="https://doi.org/10.1371/journal.pone.0124942" TargetMode="External" /><Relationship Type="http://schemas.openxmlformats.org/officeDocument/2006/relationships/hyperlink" Id="rId66" Target="https://doi.org/10.1371/journal.pone.0250690" TargetMode="External" /><Relationship Type="http://schemas.openxmlformats.org/officeDocument/2006/relationships/hyperlink" Id="rId59" Target="https://doi.org/10.1525/aa.2001.103.4.992" TargetMode="External" /><Relationship Type="http://schemas.openxmlformats.org/officeDocument/2006/relationships/hyperlink" Id="rId56" Target="https://doi.org/10.1534/genetics.113.158220" TargetMode="External" /><Relationship Type="http://schemas.openxmlformats.org/officeDocument/2006/relationships/hyperlink" Id="rId62" Target="https://doi.org/10.1666/05070.1" TargetMode="External" /><Relationship Type="http://schemas.openxmlformats.org/officeDocument/2006/relationships/hyperlink" Id="rId53" Target="https://doi.org/10.2307/278341" TargetMode="External" /></Relationships>
</file>

<file path=word/_rels/footnotes.xml.rels><?xml version="1.0" encoding="UTF-8"?><Relationships xmlns="http://schemas.openxmlformats.org/package/2006/relationships"><Relationship Type="http://schemas.openxmlformats.org/officeDocument/2006/relationships/hyperlink" Id="rId70" Target="https://doi.org/10.1006/jaar.1997.0314" TargetMode="External" /><Relationship Type="http://schemas.openxmlformats.org/officeDocument/2006/relationships/hyperlink" Id="rId83" Target="https://doi.org/10.1016/j.jas.2007.01.003" TargetMode="External" /><Relationship Type="http://schemas.openxmlformats.org/officeDocument/2006/relationships/hyperlink" Id="rId85" Target="https://doi.org/10.1016/j.jas.2009.03.029" TargetMode="External" /><Relationship Type="http://schemas.openxmlformats.org/officeDocument/2006/relationships/hyperlink" Id="rId47" Target="https://doi.org/10.1016/j.jas.2014.07.014" TargetMode="External" /><Relationship Type="http://schemas.openxmlformats.org/officeDocument/2006/relationships/hyperlink" Id="rId78" Target="https://doi.org/10.1017/RDC.2020.41" TargetMode="External" /><Relationship Type="http://schemas.openxmlformats.org/officeDocument/2006/relationships/hyperlink" Id="rId81" Target="https://doi.org/10.1038/nature08227" TargetMode="External" /><Relationship Type="http://schemas.openxmlformats.org/officeDocument/2006/relationships/hyperlink" Id="rId49" Target="https://doi.org/10.1038/srep39122" TargetMode="External" /><Relationship Type="http://schemas.openxmlformats.org/officeDocument/2006/relationships/hyperlink" Id="rId44" Target="https://doi.org/10.1057/s41599-019-0295-9" TargetMode="External" /><Relationship Type="http://schemas.openxmlformats.org/officeDocument/2006/relationships/hyperlink" Id="rId40" Target="https://doi.org/10.1073/pnas.0903232106" TargetMode="External" /><Relationship Type="http://schemas.openxmlformats.org/officeDocument/2006/relationships/hyperlink" Id="rId42" Target="https://doi.org/10.1098/rspb.2004.2746" TargetMode="External" /><Relationship Type="http://schemas.openxmlformats.org/officeDocument/2006/relationships/hyperlink" Id="rId64" Target="https://doi.org/10.1111/j.1558-5646.2007.00310.x" TargetMode="External" /><Relationship Type="http://schemas.openxmlformats.org/officeDocument/2006/relationships/hyperlink" Id="rId51" Target="https://doi.org/10.1371/journal.pone.0041010" TargetMode="External" /><Relationship Type="http://schemas.openxmlformats.org/officeDocument/2006/relationships/hyperlink" Id="rId68" Target="https://doi.org/10.1371/journal.pone.0124942" TargetMode="External" /><Relationship Type="http://schemas.openxmlformats.org/officeDocument/2006/relationships/hyperlink" Id="rId66" Target="https://doi.org/10.1371/journal.pone.0250690" TargetMode="External" /><Relationship Type="http://schemas.openxmlformats.org/officeDocument/2006/relationships/hyperlink" Id="rId59" Target="https://doi.org/10.1525/aa.2001.103.4.992" TargetMode="External" /><Relationship Type="http://schemas.openxmlformats.org/officeDocument/2006/relationships/hyperlink" Id="rId56" Target="https://doi.org/10.1534/genetics.113.158220" TargetMode="External" /><Relationship Type="http://schemas.openxmlformats.org/officeDocument/2006/relationships/hyperlink" Id="rId62" Target="https://doi.org/10.1666/05070.1" TargetMode="External" /><Relationship Type="http://schemas.openxmlformats.org/officeDocument/2006/relationships/hyperlink" Id="rId53" Target="https://doi.org/10.2307/2783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2026-06-15T17:09:04Z</dcterms:created>
  <dcterms:modified xsi:type="dcterms:W3CDTF">2026-06-15T17:09:04Z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