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3.png" ContentType="image/png"/>
  <Override PartName="/word/media/rId116.png" ContentType="image/png"/>
  <Override PartName="/word/media/rId119.png" ContentType="image/png"/>
  <Override PartName="/word/media/rId146.png" ContentType="image/png"/>
  <Override PartName="/word/media/rId127.png" ContentType="image/png"/>
  <Override PartName="/word/media/rId132.png" ContentType="image/png"/>
  <Override PartName="/word/media/rId136.png" ContentType="image/png"/>
  <Override PartName="/word/media/rId140.png" ContentType="image/png"/>
  <Override PartName="/word/media/rId153.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3) point to the main article.</w:t>
      </w:r>
    </w:p>
    <w:bookmarkStart w:id="109" w:name="statistical-conventions"/>
    <w:p>
      <w:pPr>
        <w:pStyle w:val="Heading2"/>
      </w:pPr>
      <w:r>
        <w:t xml:space="preserve">Statistical conventions</w:t>
      </w:r>
    </w:p>
    <w:p>
      <w:pPr>
        <w:pStyle w:val="FirstParagraph"/>
      </w:pPr>
      <w:r>
        <w:t xml:space="preserve">We use the conventions of the main text (Statistical approach), and a few terms recur throughout. A</w:t>
      </w:r>
      <w:r>
        <w:t xml:space="preserve"> </w:t>
      </w:r>
      <w:r>
        <w:rPr>
          <w:i/>
          <w:iCs/>
        </w:rPr>
        <w:t xml:space="preserve">credible interval</w:t>
      </w:r>
      <w:r>
        <w:t xml:space="preserve"> </w:t>
      </w:r>
      <w:r>
        <w:t xml:space="preserve">is the range within which a quantity lies with the stated probability, given the data and the prior. A</w:t>
      </w:r>
      <w:r>
        <w:t xml:space="preserve"> </w:t>
      </w:r>
      <w:r>
        <w:rPr>
          <w:i/>
          <w:iCs/>
        </w:rPr>
        <w:t xml:space="preserve">95 percent range</w:t>
      </w:r>
      <w:r>
        <w:t xml:space="preserve"> </w:t>
      </w:r>
      <w:r>
        <w:t xml:space="preserve">describes a simulation: it holds the middle 95 percent of the values a statistic takes when a model is run many times with fixed parameters. The</w:t>
      </w:r>
      <w:r>
        <w:t xml:space="preserve"> </w:t>
      </w:r>
      <w:r>
        <w:rPr>
          <w:i/>
          <w:iCs/>
        </w:rPr>
        <w:t xml:space="preserve">share of runs reaching the observed value</w:t>
      </w:r>
      <w:r>
        <w:t xml:space="preserve"> </w:t>
      </w:r>
      <w:r>
        <w:t xml:space="preserve">is the fraction of those runs in which the simulated statistic is at least as large as the one computed from the record, so a small share means the model rarely produces what the record shows. A</w:t>
      </w:r>
      <w:r>
        <w:t xml:space="preserve"> </w:t>
      </w:r>
      <w:r>
        <w:rPr>
          <w:i/>
          <w:iCs/>
        </w:rPr>
        <w:t xml:space="preserve">posterior predictive probability</w:t>
      </w:r>
      <w:r>
        <w:t xml:space="preserve"> </w:t>
      </w:r>
      <w:r>
        <w:t xml:space="preserve">makes the same comparison for a fitted model, using datasets generated from its posterior, and values near 0 or 1 indicate a poor fit. A</w:t>
      </w:r>
      <w:r>
        <w:t xml:space="preserve"> </w:t>
      </w:r>
      <w:r>
        <w:rPr>
          <w:i/>
          <w:iCs/>
        </w:rPr>
        <w:t xml:space="preserve">direct</w:t>
      </w:r>
      <w:r>
        <w:t xml:space="preserve"> </w:t>
      </w:r>
      <w:r>
        <w:t xml:space="preserve">value is computed from the counts as they stand, with no allowance for sampling uncertainty. No inference about the record rests on significance tests or p-values. The one test reported, a Kolmogorov-Smirnov test of rank uniformity in the section on tests of change along the sequence, checks the software’s calibration on simulated data.</w:t>
      </w:r>
    </w:p>
    <w:p>
      <w:pPr>
        <w:pStyle w:val="BodyText"/>
      </w:pPr>
      <w:r>
        <w:t xml:space="preserve">Three further terms follow the main text.</w:t>
      </w:r>
      <w:r>
        <w:t xml:space="preserve"> </w:t>
      </w:r>
      <w:r>
        <w:rPr>
          <w:i/>
          <w:iCs/>
        </w:rPr>
        <w:t xml:space="preserve">Closure</w:t>
      </w:r>
      <w:r>
        <w:t xml:space="preserve"> </w:t>
      </w:r>
      <w:r>
        <w:t xml:space="preserve">is the restriction of copying to within a group, the property that would make a phase a bounded group. The 16 versions of the bounded-groups model are</w:t>
      </w:r>
      <w:r>
        <w:t xml:space="preserve"> </w:t>
      </w:r>
      <w:r>
        <w:rPr>
          <w:i/>
          <w:iCs/>
        </w:rPr>
        <w:t xml:space="preserve">settings</w:t>
      </w:r>
      <w:r>
        <w:t xml:space="preserve">, and the calibrated parameter sets of the copying model are</w:t>
      </w:r>
      <w:r>
        <w:t xml:space="preserve"> </w:t>
      </w:r>
      <w:r>
        <w:rPr>
          <w:i/>
          <w:iCs/>
        </w:rPr>
        <w:t xml:space="preserve">combinations</w:t>
      </w:r>
      <w:r>
        <w:t xml:space="preserve">.</w:t>
      </w:r>
    </w:p>
    <w:bookmarkEnd w:id="109"/>
    <w:bookmarkStart w:id="110" w:name="how-this-supplement-is-organized"/>
    <w:p>
      <w:pPr>
        <w:pStyle w:val="Heading2"/>
      </w:pPr>
      <w:r>
        <w:t xml:space="preserve">How this supplement is organized</w:t>
      </w:r>
    </w:p>
    <w:p>
      <w:pPr>
        <w:pStyle w:val="FirstParagraph"/>
      </w:pPr>
      <w:r>
        <w:t xml:space="preserve">The sections follow the order of the main text. The first four define the measures and ask which of them can detect a bounded group on a record of this size. The next four support choices made in the Methods: the spatial model with no divisions, the minimum sample size, further checks of the measures, and a test of why only cultural</w:t>
      </w:r>
      <w:r>
        <w:t xml:space="preserve"> </w:t>
      </w:r>
      <m:oMath>
        <m:sSub>
          <m:e>
            <m:r>
              <m:t>F</m:t>
            </m:r>
          </m:e>
          <m:sub>
            <m:r>
              <m:t>S</m:t>
            </m:r>
            <m:r>
              <m:t>T</m:t>
            </m:r>
          </m:sub>
        </m:sSub>
      </m:oMath>
      <w:r>
        <w:t xml:space="preserve"> </w:t>
      </w:r>
      <w:r>
        <w:t xml:space="preserve">can be used. Six sections then document the copying model: how it compares with the record, how it is built and calibrated, how sensitive the comparison is, what happens when its simplifying assumptions are relaxed, what happens when the phases are treated as groups, and how the record differs from it at finer scales. A section on the map of compositional change is included, since it uses the same simulations. The remaining sections cover tests of change along the sequence, the clustering that recovers the phases, the contrast case, the coordinates, and the radiocarbon chronology.</w:t>
      </w:r>
    </w:p>
    <w:bookmarkEnd w:id="110"/>
    <w:bookmarkStart w:id="111" w:name="the-four-measures-in-full"/>
    <w:p>
      <w:pPr>
        <w:pStyle w:val="Heading2"/>
      </w:pPr>
      <w:r>
        <w:t xml:space="preserve">The four measures in full</w:t>
      </w:r>
    </w:p>
    <w:p>
      <w:pPr>
        <w:pStyle w:val="FirstParagraph"/>
      </w:pPr>
      <w:r>
        <w:t xml:space="preserve">We began with four measures, each a different trace that restricted copying should leave in assemblage frequencies. This section defines them. The main text draws its inferences from the third, cultural</w:t>
      </w:r>
      <w:r>
        <w:t xml:space="preserve"> </w:t>
      </w:r>
      <m:oMath>
        <m:sSub>
          <m:e>
            <m:r>
              <m:t>F</m:t>
            </m:r>
          </m:e>
          <m:sub>
            <m:r>
              <m:t>S</m:t>
            </m:r>
            <m:r>
              <m:t>T</m:t>
            </m:r>
          </m:sub>
        </m:sSub>
      </m:oMath>
      <w:r>
        <w:t xml:space="preserve">, and uses the fourth, the boundary excess, for description; the sections that follow show why the other two cannot be used on this record.</w:t>
      </w:r>
    </w:p>
    <w:p>
      <w:pPr>
        <w:pStyle w:val="BodyText"/>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each decorated class’s frequency curve single-peaked and gapless.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(Figure S1)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is the size-weighted mean diversity within clusters, which is Nei’s</w:t>
      </w:r>
      <w:r>
        <w:t xml:space="preserve"> </w:t>
      </w:r>
      <w:r>
        <w:t xml:space="preserve">(1973)</w:t>
      </w:r>
      <w:r>
        <w:t xml:space="preserve"> </w:t>
      </w:r>
      <w:r>
        <w:t xml:space="preserve">diversity form of the cultural</w:t>
      </w:r>
      <w:r>
        <w:t xml:space="preserve"> </w:t>
      </w:r>
      <m:oMath>
        <m:sSub>
          <m:e>
            <m:r>
              <m:t>F</m:t>
            </m:r>
          </m:e>
          <m:sub>
            <m:r>
              <m:t>S</m:t>
            </m:r>
            <m:r>
              <m:t>T</m:t>
            </m:r>
          </m:sub>
        </m:sSub>
      </m:oMath>
      <w:r>
        <w:t xml:space="preserve"> </w:t>
      </w:r>
      <w:r>
        <w:t xml:space="preserve">of Bell, Richerson, and McElreath</w:t>
      </w:r>
      <w:r>
        <w:t xml:space="preserve"> </w:t>
      </w:r>
      <w:r>
        <w:t xml:space="preserve">(2009)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the mean within-cluster similarity minus the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size-control draws take 50 sherds from each assemblage without replacement; an assemblage of exactly 50 is unchanged. We average the three measures the recovery experiment shows to be unusable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11"/>
    <w:bookmarkStart w:id="112" w:name="the-idealized-validation-model"/>
    <w:p>
      <w:pPr>
        <w:pStyle w:val="Heading2"/>
      </w:pPr>
      <w:r>
        <w:t xml:space="preserve">The idealized validation model</w:t>
      </w:r>
    </w:p>
    <w:p>
      <w:pPr>
        <w:pStyle w:val="FirstParagraph"/>
      </w:pPr>
      <w:r>
        <w:t xml:space="preserve">Before applying the measures to the record, we checked that they behave as intended on artificial data in which the process is known. This section describes the simulation that produces those data.</w:t>
      </w:r>
    </w:p>
    <w:p>
      <w:pPr>
        <w:pStyle w:val="BodyText"/>
      </w:pPr>
      <w:r>
        <w:t xml:space="preserve">The simulation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configurations produce the four processes of Table S1.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configuration produces a sequence of group-by-class samples along an order, and we compute the four measures on each without knowing its source, across 500 random seeds. On the bounded-group runs, we also compute the correlations among the four measures to confirm that the measures move together because of the process and not because they measure the same thing. These assemblages are large and clean (12 groups, several hundred sherds each), so the test shows what the measures can do in principle; the record-matched recovery (Figure S2) shows what survives on the real record.</w:t>
      </w:r>
    </w:p>
    <w:bookmarkEnd w:id="112"/>
    <w:bookmarkStart w:id="122" w:name="can-the-record-detect-a-boundary"/>
    <w:p>
      <w:pPr>
        <w:pStyle w:val="Heading2"/>
      </w:pPr>
      <w:r>
        <w:t xml:space="preserve">Can the record detect a boundary?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therefore began with four measures, each a different consequence of restricted interaction (defined above), and asked which of them this record can use. Only a bounded interaction group drives all four together (Table S1). Environmental patchiness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w:t>
      </w:r>
      <w:r>
        <w:t xml:space="preserve"> </w:t>
      </w:r>
      <w:r>
        <w:t xml:space="preserve">(Lipo et al. 2021)</w:t>
      </w:r>
      <w:r>
        <w:t xml:space="preserve">.</w:t>
      </w:r>
    </w:p>
    <w:p>
      <w:pPr>
        <w:pStyle w:val="BodyText"/>
      </w:pPr>
      <w:r>
        <w:rPr>
          <w:b/>
          <w:bCs/>
        </w:rPr>
        <w:t xml:space="preserve">Table S1.</w:t>
      </w:r>
      <w:r>
        <w:t xml:space="preserve"> </w:t>
      </w:r>
      <w:r>
        <w:t xml:space="preserve">What each process does to the four measures, and which measure this record can use. A filled circle (●) marks a measure the process drives and an open circle (○) one it does not. The last column reports the record-matched recovery experiment.</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On idealized data, the four measures behave as designed (Figure S1). When interaction narrows toward closed groups, all four rise together, whereas the other three processes move only some of them. Under closure, the four are tightly correlated (mean absolute correlation 0.88), and under the other processes they are nearly independent (0.14 to 0.28), so their joint movement carries information.</w:t>
      </w:r>
    </w:p>
    <w:p>
      <w:pPr>
        <w:pStyle w:val="CaptionedFigure"/>
      </w:pPr>
      <w:r>
        <w:drawing>
          <wp:inline>
            <wp:extent cx="5334000" cy="4683019"/>
            <wp:effectExtent b="0" l="0" r="0" t="0"/>
            <wp:docPr descr="Figure S1.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credible interval 0.97 to 0.99, uniform prior), and none of the three other processes was identified in any of the 500 (upper limit of the 95 percent credible interval 0.007 for each, uniform prior; analyses/04_validation_report.py). Right panel: the mean absolute correlation among the four measures, about 0.88 under closure and 0.14 to 0.28 under the other processes, so their joint movement is informative rather than redundant." title="" id="114" name="Picture"/>
            <a:graphic>
              <a:graphicData uri="http://schemas.openxmlformats.org/drawingml/2006/picture">
                <pic:pic>
                  <pic:nvPicPr>
                    <pic:cNvPr descr="../../figures/fig2_validation.png" id="115" name="Picture"/>
                    <pic:cNvPicPr>
                      <a:picLocks noChangeArrowheads="1" noChangeAspect="1"/>
                    </pic:cNvPicPr>
                  </pic:nvPicPr>
                  <pic:blipFill>
                    <a:blip r:embed="rId113"/>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credible interval 0.97 to 0.99, uniform prior), and none of the three other processes was identified in any of the 500 (upper limit of the 95 percent credible interval 0.007 for each, uniform prior;</w:t>
      </w:r>
      <w:r>
        <w:t xml:space="preserve"> </w:t>
      </w:r>
      <w:r>
        <w:rPr>
          <w:rStyle w:val="VerbatimChar"/>
        </w:rPr>
        <w:t xml:space="preserve">analyses/04_validation_report.py</w:t>
      </w:r>
      <w:r>
        <w:t xml:space="preserve">). Right panel: the mean absolute correlation among the four measures, about 0.88 under closure and 0.14 to 0.28 under the other processes, so their joint movement is informative rather than redundant.</w:t>
      </w:r>
    </w:p>
    <w:p>
      <w:pPr>
        <w:pStyle w:val="BodyText"/>
      </w:pPr>
      <w:r>
        <w:t xml:space="preserve">A real record is smaller, noisier, and time-averaged, so a measure that works in principle may fail in practice. We built one synthetic assemblage for each real one, matching its sample size, spatial cluster, and position in the sequence, and imposed closure of known strength</w:t>
      </w:r>
      <w:r>
        <w:t xml:space="preserve"> </w:t>
      </w:r>
      <w:r>
        <w:rPr>
          <w:i/>
          <w:iCs/>
        </w:rPr>
        <w:t xml:space="preserve">s</w:t>
      </w:r>
      <w:r>
        <w:t xml:space="preserve">, from 0 (no groups) to 1 (sharply separated groups), increasing along the sequence. We time-averaged the synthetic assemblages by blending neighboring periods, subsampled them exactly as we did the real ones, and asked which measures recovered the imposed closure</w:t>
      </w:r>
      <w:r>
        <w:t xml:space="preserve"> </w:t>
      </w:r>
      <w:r>
        <w:t xml:space="preserve">(Crema et al. 2014; Holdaway and Wandsnider 2008; Kandler and Shennan 2015; Perreault 2019)</w:t>
      </w:r>
      <w:r>
        <w:t xml:space="preserve">. Only cultural</w:t>
      </w:r>
      <w:r>
        <w:t xml:space="preserve"> </w:t>
      </w:r>
      <m:oMath>
        <m:sSub>
          <m:e>
            <m:r>
              <m:t>F</m:t>
            </m:r>
          </m:e>
          <m:sub>
            <m:r>
              <m:t>S</m:t>
            </m:r>
            <m:r>
              <m:t>T</m:t>
            </m:r>
          </m:sub>
        </m:sSub>
      </m:oMath>
      <w:r>
        <w:t xml:space="preserve"> </w:t>
      </w:r>
      <w:r>
        <w:t xml:space="preserve">recovers it (Figure S2). It rises steadily as imposed closure increases. The departure from neutral copying does not move in one direction as conformity increases, the boundary excess does not respond to the two spatial clusters the site layout supports, and the number of seriation groups does not rise as closure predicts. The section</w:t>
      </w:r>
      <w:r>
        <w:t xml:space="preserve"> </w:t>
      </w:r>
      <w:r>
        <w:t xml:space="preserve">“Why only cultural</w:t>
      </w:r>
      <w:r>
        <w:t xml:space="preserve"> </w:t>
      </w:r>
      <m:oMath>
        <m:sSub>
          <m:e>
            <m:r>
              <m:t>F</m:t>
            </m:r>
          </m:e>
          <m:sub>
            <m:r>
              <m:t>S</m:t>
            </m:r>
            <m:r>
              <m:t>T</m:t>
            </m:r>
          </m:sub>
        </m:sSub>
      </m:oMath>
      <w:r>
        <w:t xml:space="preserve"> </w:t>
      </w:r>
      <w:r>
        <w:t xml:space="preserve">can be used”</w:t>
      </w:r>
      <w:r>
        <w:t xml:space="preserve"> </w:t>
      </w:r>
      <w:r>
        <w:t xml:space="preserve">below shows that this reduction is a property of the record rather than of how closure was imposed.</w:t>
      </w:r>
    </w:p>
    <w:p>
      <w:pPr>
        <w:pStyle w:val="CaptionedFigure"/>
      </w:pPr>
      <w:r>
        <w:drawing>
          <wp:inline>
            <wp:extent cx="5334000" cy="2692949"/>
            <wp:effectExtent b="0" l="0" r="0" t="0"/>
            <wp:docPr descr="Figure S2.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 title="" id="117" name="Picture"/>
            <a:graphic>
              <a:graphicData uri="http://schemas.openxmlformats.org/drawingml/2006/picture">
                <pic:pic>
                  <pic:nvPicPr>
                    <pic:cNvPr descr="../../figures/fig5_recovery.png" id="118" name="Picture"/>
                    <pic:cNvPicPr>
                      <a:picLocks noChangeArrowheads="1" noChangeAspect="1"/>
                    </pic:cNvPicPr>
                  </pic:nvPicPr>
                  <pic:blipFill>
                    <a:blip r:embed="rId116"/>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w:t>
      </w:r>
    </w:p>
    <w:p>
      <w:pPr>
        <w:pStyle w:val="BodyText"/>
      </w:pPr>
      <w:r>
        <w:t xml:space="preserve">The same simulations let us ask how much closure the basin could contain. For each closure strength, they show how often a trend like the observed one arises, and treating each strength as equally likely beforehand (a uniform prior over</w:t>
      </w:r>
      <w:r>
        <w:t xml:space="preserve"> </w:t>
      </w:r>
      <w:r>
        <w:rPr>
          <w:i/>
          <w:iCs/>
        </w:rPr>
        <w:t xml:space="preserve">s</w:t>
      </w:r>
      <w:r>
        <w:t xml:space="preserve">) gives a posterior distribution for the strength. This posterior refers to closure that grows along the sequence; a boundary present from the start would not produce a trend, and the phase-line tests of the main text address that case. If the phases were becoming bounded groups, differences between them should grow as interaction narrows. Along the seriation order, they do not (Figure S3), although that order runs largely south to north rather than early to late, so this test speaks more to change across the basin than to change through time.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(Spearman +0.61). Once every assemblage is subsampled to a common 50 sherds, the trend averages -0.048 over 4,000 subsamples, and a single subsample returns anything from -0.80 to +0.40. The record therefore shows no trend distinguishable from none. Two of the six periods hold assemblages from a single spatial cluster and carry no between-cluster variance, so the trend rests on four. Read against the recovery experiment, a trend this small corresponds to closure with a posterior median of 0.15 and a 95 percent credible interval of 0.00 to 0.37, with a probability of 0.001 on closure of 0.5 or more. With the record’s time-averaging built into the simulations, the posterior widens to a median of 0.22 and an interval of 0.00 to 0.57, and 9 percent of it lies at 0.5 or above. Reversing the order barely changes this: the median becomes 0.17 (0.00 to 0.39), or 0.25 (0.00 to 0.60) with time-averaging. The record is consistent with no closure and with weak closure growing along the sequence, and shows no moderate or strong closure of that kind.</w:t>
      </w:r>
    </w:p>
    <w:p>
      <w:pPr>
        <w:pStyle w:val="CaptionedFigure"/>
      </w:pPr>
      <w:r>
        <w:drawing>
          <wp:inline>
            <wp:extent cx="5334000" cy="3952347"/>
            <wp:effectExtent b="0" l="0" r="0" t="0"/>
            <wp:docPr descr="Figure S3.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 title="" id="120" name="Picture"/>
            <a:graphic>
              <a:graphicData uri="http://schemas.openxmlformats.org/drawingml/2006/picture">
                <pic:pic>
                  <pic:nvPicPr>
                    <pic:cNvPr descr="../../figures/fig6_empirical_trajectory.png" id="121" name="Picture"/>
                    <pic:cNvPicPr>
                      <a:picLocks noChangeArrowheads="1" noChangeAspect="1"/>
                    </pic:cNvPicPr>
                  </pic:nvPicPr>
                  <pic:blipFill>
                    <a:blip r:embed="rId119"/>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w:t>
      </w:r>
    </w:p>
    <w:bookmarkEnd w:id="122"/>
    <w:bookmarkStart w:id="123"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section above reports the</w:t>
      </w:r>
      <w:r>
        <w:t xml:space="preserve"> </w:t>
      </w:r>
      <m:oMath>
        <m:sSub>
          <m:e>
            <m:r>
              <m:t>F</m:t>
            </m:r>
          </m:e>
          <m:sub>
            <m:r>
              <m:t>S</m:t>
            </m:r>
            <m:r>
              <m:t>T</m:t>
            </m:r>
          </m:sub>
        </m:sSub>
      </m:oMath>
      <w:r>
        <w:t xml:space="preserve"> </w:t>
      </w:r>
      <w:r>
        <w:t xml:space="preserve">trend as a rank correlation on subsampled assemblages, which discards most of the sherds in the larger assemblages. Here we estimate the trend from all of the counts.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We chose it because a flat prior, although it looks neutral, predicts far more differentiation than this record could show: with these assemblages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S2.</w:t>
      </w:r>
    </w:p>
    <w:p>
      <w:pPr>
        <w:pStyle w:val="BodyText"/>
      </w:pPr>
      <w:r>
        <w:rPr>
          <w:b/>
          <w:bCs/>
        </w:rPr>
        <w:t xml:space="preserve">Table S2.</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direct value is the Gini-Simpson estimator of the main text, computed from the counts as they stand. The first and fifth periods hold assemblages from a single cluster, so their</w:t>
      </w:r>
      <w:r>
        <w:t xml:space="preserve"> </w:t>
      </w:r>
      <m:oMath>
        <m:sSub>
          <m:e>
            <m:r>
              <m:t>F</m:t>
            </m:r>
          </m:e>
          <m:sub>
            <m:r>
              <m:t>S</m:t>
            </m:r>
            <m:r>
              <m:t>T</m:t>
            </m:r>
          </m:sub>
        </m:sSub>
      </m:oMath>
      <w:r>
        <w:t xml:space="preserve"> </w:t>
      </w:r>
      <w:r>
        <w:t xml:space="preserve">is undefined. At this scale, the two ends of the order are places rather than times.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Direct</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8,000). Under a uniform prior, it is +0.0013 (-0.033 to +0.038), with P(slope &gt; 0) = 0.55 (R-hat 1.001, 3 divergent transitions). The trend direction is unresolved, consistent with the subsampled rank correlation.</w:t>
      </w:r>
    </w:p>
    <w:bookmarkEnd w:id="123"/>
    <w:bookmarkStart w:id="125" w:name="the-spatial-model-with-no-groups"/>
    <w:p>
      <w:pPr>
        <w:pStyle w:val="Heading2"/>
      </w:pPr>
      <w:r>
        <w:t xml:space="preserve">The spatial model with no groups</w:t>
      </w:r>
    </w:p>
    <w:p>
      <w:pPr>
        <w:pStyle w:val="FirstParagraph"/>
      </w:pPr>
      <w:r>
        <w:t xml:space="preserve">Cultural</w:t>
      </w:r>
      <w:r>
        <w:t xml:space="preserve"> </w:t>
      </w:r>
      <m:oMath>
        <m:sSub>
          <m:e>
            <m:r>
              <m:t>F</m:t>
            </m:r>
          </m:e>
          <m:sub>
            <m:r>
              <m:t>S</m:t>
            </m:r>
            <m:r>
              <m:t>T</m:t>
            </m:r>
          </m:sub>
        </m:sSub>
      </m:oMath>
      <w:r>
        <w:t xml:space="preserve"> </w:t>
      </w:r>
      <w:r>
        <w:t xml:space="preserve">can be computed only after the basin has been divided into groups, and its value depends on the division. To describe the record without dividing it, we fitted a model in which composition varies smoothly over the map. This section gives the model, what it can and cannot show, and how well it reproduces the record.</w:t>
      </w:r>
    </w:p>
    <w:p>
      <w:pPr>
        <w:pStyle w:val="BodyText"/>
      </w:pPr>
      <w:r>
        <w:t xml:space="preserve">The model treats each assemblage’s decorated-class composition as a multinomial draw whose class probabilities, on the logit scale, sum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That halves the number of latent parameters and keeps the two terms from substituting for one another. We report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the latent, logit-scale variance among assemblages assigned to the spatial surface rather than to independent assemblage deviations. It is a ratio of variance components on the latent scale, not the fraction of observed compositional variation explained. Nor is it a measure of group absence. The surface can take any smooth shape the covariance allows, so the shared composition of a group whose members lie near one another enters through</w:t>
      </w:r>
      <w:r>
        <w:t xml:space="preserve"> </w:t>
      </w:r>
      <m:oMath>
        <m:r>
          <m:t>σ</m:t>
        </m:r>
      </m:oMath>
      <w:r>
        <w:t xml:space="preserve"> </w:t>
      </w:r>
      <w:r>
        <w:t xml:space="preserve">at the sampled sites, and</w:t>
      </w:r>
      <w:r>
        <w:t xml:space="preserve"> </w:t>
      </w:r>
      <m:oMath>
        <m:r>
          <m:t>τ</m:t>
        </m:r>
      </m:oMath>
      <w:r>
        <w:t xml:space="preserve"> </w:t>
      </w:r>
      <w:r>
        <w:t xml:space="preserve">carries only deviations that are independent from one assemblage to the next</w:t>
      </w:r>
      <w:r>
        <w:t xml:space="preserve"> </w:t>
      </w:r>
      <w:r>
        <w:t xml:space="preserve">(Rasmussen and Williams 2006:Chapter 2)</w:t>
      </w:r>
      <w:r>
        <w:t xml:space="preserve">. A high spatial share is therefore expected under geographically aligned groups and under continuous copying. We have not fitted the model to simulated bounded groups at these locations, nor compared it with a version with an explicit boundary term, so we use it only to describe the record, and its predictive checks below as evidence that a surface with no explicit divisions describes the record adequately. The length scale has an inverse-gamma prior that places its mass within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0.996 (95 percent credible interval 0.972 to 1.000) in the reported form and 0.997 (0.975 to 1.000) with the assemblage term as a second surface. The data do not determine the length scale. In the reported form, its posterior median is 195 km (95 percent credible interval 96 to 292 km), longer than the basin itself. The sampler reached its maximum tree depth on every iteration with no divergent transitions, indicating that many length scales fit the data equally well (a ridge in the posterior) rather than a sampling fault. Diagnostics for the reported form: R-hat 1.0020, bulk effective sample size 2,211, tail effective sample size 7,241, 0 divergent transitions of 12,000, all 12,000 iterations at the maximum tree depth of 10, E-BFMI 0.688; for the two-surface form, R-hat 1.0157, bulk effective sample size 438, 0 divergences, all iterations at the maximum tree depth, E-BFMI 0.793 (</w:t>
      </w:r>
      <w:r>
        <w:rPr>
          <w:rStyle w:val="VerbatimChar"/>
        </w:rPr>
        <w:t xml:space="preserve">output/findings/gp_basin_fit.md</w:t>
      </w:r>
      <w:r>
        <w:t xml:space="preserve">). The spatial share does not depend on which length scale is used, and it is well sampled, whereas the length scale is not. We therefore report the length scale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0.0128 to 0.0188 (median 0.0157) against an observed 0.0156 (posterior predictive probability 0.525). For the fade of similarity with distance, measured here as a rank correlation with straight-line distance, it is -0.367 to -0.274 (median -0.321) against -0.341 (0.78), for mean within-assemblage diversity 0.550 to 0.575 against 0.563 (0.57), and for the spread of that diversity 0.096 to 0.122 against 0.112 (0.295). A surface with no explicit divisions therefore reproduces the observed differentiation at three clusters, which the copying model does not, as well as the fade with distance and the diversity structure. The copying model misses the shorter-range variation, but at the sampled sites it is smooth enough for such a surface to carry it, whether or not it arose at group edges. It describes the pattern rather than a mechanism, so it complements the copying model rather than competing with it.</w:t>
      </w:r>
    </w:p>
    <w:bookmarkStart w:id="124"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0.0202 (0.0175 to 0.0232) at five and 0.0320 (0.0283 to 0.0362) at six, and the intervals at the two ends do not overlap. It also depends on where the cuts fall. The</w:t>
      </w:r>
      <w:r>
        <w:t xml:space="preserve"> </w:t>
      </w:r>
      <m:oMath>
        <m:r>
          <m:t>k</m:t>
        </m:r>
      </m:oMath>
      <w:r>
        <w:t xml:space="preserve">-means division at two clusters is stable, since twenty seeds return it, and unremarkable, at the 42nd percentile of 150 alternative contiguous divisions into two (median 0.0067), but those alternatives range from 0.0007 to 0.0160 between their 5th and 95th percentiles. A quantity this sensitive to how the basin is divided cannot be interpreted by itself. This is why the main text also fits a model with no divisions, and why every between-cluster value is compared against the copying model at the same number of clusters.</w:t>
      </w:r>
    </w:p>
    <w:bookmarkEnd w:id="124"/>
    <w:bookmarkEnd w:id="125"/>
    <w:bookmarkStart w:id="126" w:name="the-minimum-sample-size-and-why-it-is-75"/>
    <w:p>
      <w:pPr>
        <w:pStyle w:val="Heading2"/>
      </w:pPr>
      <w:r>
        <w:t xml:space="preserve">The minimum sample size, and why it is 75</w:t>
      </w:r>
    </w:p>
    <w:p>
      <w:pPr>
        <w:pStyle w:val="FirstParagraph"/>
      </w:pPr>
      <w:r>
        <w:t xml:space="preserve">This section explains why assemblages need at least 75 decorated sherds to enter the analysis. Cultural</w:t>
      </w:r>
      <w:r>
        <w:t xml:space="preserve"> </w:t>
      </w:r>
      <m:oMath>
        <m:sSub>
          <m:e>
            <m:r>
              <m:t>F</m:t>
            </m:r>
          </m:e>
          <m:sub>
            <m:r>
              <m:t>S</m:t>
            </m:r>
            <m:r>
              <m:t>T</m:t>
            </m:r>
          </m:sub>
        </m:sSub>
      </m:oMath>
      <w:r>
        <w:t xml:space="preserve"> </w:t>
      </w:r>
      <w:r>
        <w:t xml:space="preserve">computed directly from counts is biased upward by sampling. Two assemblages drawn from the same population of pots differ because each is a finite sample, and the spurious variance between them scales roughly as</w:t>
      </w:r>
      <w:r>
        <w:t xml:space="preserve"> </w:t>
      </w:r>
      <m:oMath>
        <m:r>
          <m:t>1</m:t>
        </m:r>
        <m:r>
          <m:rPr>
            <m:sty m:val="p"/>
          </m:rPr>
          <m:t>/</m:t>
        </m:r>
        <m:r>
          <m:t>n</m:t>
        </m:r>
      </m:oMath>
      <w:r>
        <w:t xml:space="preserve">. To find the count at which that artifact becomes small relative to the differences we interpret,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 0.0206.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71%</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34%</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22%</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16%</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11%</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8%</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5%</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3%</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2%</w:t>
            </w:r>
          </w:p>
        </w:tc>
      </w:tr>
    </w:tbl>
    <w:p>
      <w:pPr>
        <w:pStyle w:val="BodyText"/>
      </w:pPr>
      <w:r>
        <w:t xml:space="preserve">At 75 sherds, the median artifact is about a fifth of the observed five-cluster differentiation, and its 95th percentile (0.0195) lies just below it, whereas at 50 sherds, the 95th percentile (0.0305) exceeds it by half. The five-cluster value is the reference because it is the finest division analyzed cluster by cluster (analyses 72 and 85), where clusters hold the fewest sherds and a sampling artifact would matter most. Pooling into clusters shrinks the artifact further: redrawing every assemblage from the pooled profile at its own sherd count gives each five-cluster term at most 0.0003 (the section on the finer-scale differences below). Against the two-cluster value of 0.0062, the artifact is proportionally larger at every sample size, which is why the copying model is always sampled at the real sherd counts: it then carries the same artifact as the data. Above 75, the bias shrinks slowly, by about six percentage points between 75 and 100, while assemblages are lost quickly: a minimum of 100 would remove three more basin assemblages (Davis, Irby, and Grant).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26"/>
    <w:bookmarkStart w:id="130" w:name="further-checks-of-the-measures"/>
    <w:p>
      <w:pPr>
        <w:pStyle w:val="Heading2"/>
      </w:pPr>
      <w:r>
        <w:t xml:space="preserve">Further checks of the measures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 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The repository also contains a sensitivity grid that we do not use (</w:t>
      </w:r>
      <w:r>
        <w:rPr>
          <w:rStyle w:val="VerbatimChar"/>
        </w:rPr>
        <w:t xml:space="preserve">output/sensitivity_grid.md</w:t>
      </w:r>
      <w:r>
        <w:t xml:space="preserve">). It computes raw trends without subsampling, on sets of 38, 36, and 17 assemblages defined by latitude rather than by phase, so its trends carry the sample-size artifact that subsampling removes. Two entries show all three raw trends rising together, and we note this so a reader of the code does not mistake them for a result.</w:t>
      </w:r>
    </w:p>
    <w:p>
      <w:pPr>
        <w:pStyle w:val="CaptionedFigure"/>
      </w:pPr>
      <w:r>
        <w:drawing>
          <wp:inline>
            <wp:extent cx="5334000" cy="2918988"/>
            <wp:effectExtent b="0" l="0" r="0" t="0"/>
            <wp:docPr descr="Figure S4. Neiman’s distance between assemblages. (A) Within-assemblage diversity against mean distance to the other assemblages, with Parkin starred. The association is negative (posterior median rank correlation -0.14, 95 percent credible interval -0.44 to +0.20, so P(r &lt; 0) = 0.78), matching the drift signature Neiman (1995) reported at rho = -0.62, rather than the positive relationship bounded groups would produce. (B) Mean within-period distance along the seriation order, showing no resolved trend (posterior median rank correlation +0.09, 95 percent credible interval -0.53 to +0.63 over six periods)." title="" id="128" name="Picture"/>
            <a:graphic>
              <a:graphicData uri="http://schemas.openxmlformats.org/drawingml/2006/picture">
                <pic:pic>
                  <pic:nvPicPr>
                    <pic:cNvPr descr="../../figures/figS1_neiman.png" id="129" name="Picture"/>
                    <pic:cNvPicPr>
                      <a:picLocks noChangeArrowheads="1" noChangeAspect="1"/>
                    </pic:cNvPicPr>
                  </pic:nvPicPr>
                  <pic:blipFill>
                    <a:blip r:embed="rId127"/>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Neiman’s distance between assemblages. (A) Within-assemblage diversity against mean distance to the other assemblages, with Parkin starred. The association is negative (posterior median rank correlation -0.14, 95 percent credible interval -0.44 to +0.20, so P(r &lt; 0) = 0.78), matching the drift signature Neiman (1995) reported at rho = -0.62, rather than the positive relationship bounded groups would produce. (B) Mean within-period distance along the seriation order, showing no resolved trend (posterior median rank correlation +0.09, 95 percent credible interval -0.53 to +0.63 over six periods).</w:t>
      </w:r>
    </w:p>
    <w:bookmarkEnd w:id="130"/>
    <w:bookmarkStart w:id="131" w:name="why-only-cultural-f_st-can-be-used"/>
    <w:p>
      <w:pPr>
        <w:pStyle w:val="Heading2"/>
      </w:pPr>
      <w:r>
        <w:t xml:space="preserve">Why only cultural</w:t>
      </w:r>
      <w:r>
        <w:t xml:space="preserve"> </w:t>
      </w:r>
      <m:oMath>
        <m:sSub>
          <m:e>
            <m:r>
              <m:t>F</m:t>
            </m:r>
          </m:e>
          <m:sub>
            <m:r>
              <m:t>S</m:t>
            </m:r>
            <m:r>
              <m:t>T</m:t>
            </m:r>
          </m:sub>
        </m:sSub>
      </m:oMath>
      <w:r>
        <w:t xml:space="preserve"> </w:t>
      </w:r>
      <w:r>
        <w:t xml:space="preserve">can be used</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the experiment might favor cultural</w:t>
      </w:r>
      <w:r>
        <w:t xml:space="preserve"> </w:t>
      </w:r>
      <m:oMath>
        <m:sSub>
          <m:e>
            <m:r>
              <m:t>F</m:t>
            </m:r>
          </m:e>
          <m:sub>
            <m:r>
              <m:t>S</m:t>
            </m:r>
            <m:r>
              <m:t>T</m:t>
            </m:r>
          </m:sub>
        </m:sSub>
      </m:oMath>
      <w:r>
        <w:t xml:space="preserve"> </w:t>
      </w:r>
      <w:r>
        <w:t xml:space="preserve">only because the groups were built in the form that the measure detects.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in both cases. In every case, it was scored at the two</w:t>
      </w:r>
      <w:r>
        <w:t xml:space="preserve"> </w:t>
      </w:r>
      <m:oMath>
        <m:r>
          <m:t>k</m:t>
        </m:r>
      </m:oMath>
      <w:r>
        <w:t xml:space="preserve">-means spatial clusters, never at the social groups themselves. Its mean trend rises from +0.01 to +0.96 under spatial divergence and from +0.07 to +0.77 under the scrambled social groups. The second rise happens because three social groups assigned at random over 28 assemblages are unevenly represented in the two spatial clusters, so their divergence leaks into between-cluster variance.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the limits stated in the main text. Closure carried purely by conformity within one pool moves none of the measures. Social groups that cut across the map can raise</w:t>
      </w:r>
      <w:r>
        <w:t xml:space="preserve"> </w:t>
      </w:r>
      <m:oMath>
        <m:sSub>
          <m:e>
            <m:r>
              <m:t>F</m:t>
            </m:r>
          </m:e>
          <m:sub>
            <m:r>
              <m:t>S</m:t>
            </m:r>
            <m:r>
              <m:t>T</m:t>
            </m:r>
          </m:sub>
        </m:sSub>
      </m:oMath>
      <w:r>
        <w:t xml:space="preserve"> </w:t>
      </w:r>
      <w:r>
        <w:t xml:space="preserve">at spatial divisions, but none of the four measures identifies them as groups: the only measure designed to register them, seriation structure, does not respond, and every division this study scores is spatial.</w:t>
      </w:r>
    </w:p>
    <w:bookmarkEnd w:id="131"/>
    <w:bookmarkStart w:id="135" w:name="the-basin-comparison-in-detail"/>
    <w:p>
      <w:pPr>
        <w:pStyle w:val="Heading2"/>
      </w:pPr>
      <w:r>
        <w:t xml:space="preserve">The basin comparison in detail</w:t>
      </w:r>
    </w:p>
    <w:p>
      <w:pPr>
        <w:pStyle w:val="FirstParagraph"/>
      </w:pPr>
      <w:r>
        <w:t xml:space="preserve">This section compares the record with the copying model in more detail than the main text does. 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0.4) falls within the 10 percent tolerance on both the six-run screen and the fifty-run check. It sits at the corner of the grid, at the highest mixing rate swept, and its within-assemblage and pooled diversities of 0.62 and 0.65, against 0.56 and 0.59 observed, are close to the tolerance limit, so we report it without treating it as a robust calibration. Under pooled-profile innovation, 50 combinations match on the screen and 45 on the check, spanning populations of 120, 2,000 and 10,000 learners and low rates of innovation and mixing (Table S3). None of the 45 reaches the observed between-cluster</w:t>
      </w:r>
      <w:r>
        <w:t xml:space="preserve"> </w:t>
      </w:r>
      <m:oMath>
        <m:sSub>
          <m:e>
            <m:r>
              <m:t>F</m:t>
            </m:r>
          </m:e>
          <m:sub>
            <m:r>
              <m:t>S</m:t>
            </m:r>
            <m:r>
              <m:t>T</m:t>
            </m:r>
          </m:sub>
        </m:sSub>
      </m:oMath>
      <w:r>
        <w:t xml:space="preserve"> </w:t>
      </w:r>
      <w:r>
        <w:t xml:space="preserve">at its median; the highest fifty-run median is 0.0027 against 0.0062 observed, and 19 of the 45 include the observation within their 95 percent ranges.</w:t>
      </w:r>
    </w:p>
    <w:p>
      <w:pPr>
        <w:pStyle w:val="BodyText"/>
      </w:pPr>
      <w:r>
        <w:t xml:space="preserve">At the matched combination most favorable to the model (2,000 learners, innovation 0.001, mixing 0.02,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0.0002 to 0.0113 (median 0.0023, 500 runs). Sixteen percent of simulated datasets reach it in seriation order, 14 percent in reverse order, and 21 percent when assemblages are treated as contemporaneous. The model returns a single community in 464 of 500 runs sampled through time. Where it returns two or more, the difference between communities has a median of 0.012 (95 percent range 0.007 to 0.024) against an observed 0.039, which none of those 36 runs reaches, and modularity is near zero in every run (95 percent range up to 0.005) against an observed 0.045. The fade of similarity with distance, measured here as the correlation between similarity and distance along the rivers, falls within the model’s range (observed -0.20; simulated median -0.18, range -0.53 to +0.04). The boundary excess of the spatial clusters is +13.7 in the data, outside the model’s range (-6.4 to +8.6) and the bounded-groups range at a copying factor of 0.03 and interaction length 24 km (+0.1 to +12.4), though not at 12 km (-8.5 to +16.8). Weakening copying across the two clusters has a visible effect at this mixing rate only at its strongest: at a copying factor of 0.03 the median</w:t>
      </w:r>
      <w:r>
        <w:t xml:space="preserve"> </w:t>
      </w:r>
      <m:oMath>
        <m:sSub>
          <m:e>
            <m:r>
              <m:t>F</m:t>
            </m:r>
          </m:e>
          <m:sub>
            <m:r>
              <m:t>S</m:t>
            </m:r>
            <m:r>
              <m:t>T</m:t>
            </m:r>
          </m:sub>
        </m:sSub>
      </m:oMath>
      <w:r>
        <w:t xml:space="preserve"> </w:t>
      </w:r>
      <w:r>
        <w:t xml:space="preserve">is 0.0080 at 24 km and 0.0064 at 12 km, reaching the observation in about half of 30 runs, against medians of 0.0023 and 0.0047 with no boundary; factors of 0.5 and 0.1 give medians of 0.0022 to 0.0071 (Table S4, Figure S5). New variants in this model come from the regional pooled profile, a source with no boundary interruptions; the section on the phases as groups below gives the boundary model local innovation as well.</w:t>
      </w:r>
    </w:p>
    <w:p>
      <w:pPr>
        <w:pStyle w:val="CaptionedFigure"/>
      </w:pPr>
      <w:r>
        <w:drawing>
          <wp:inline>
            <wp:extent cx="5334000" cy="4112706"/>
            <wp:effectExtent b="0" l="0" r="0" t="0"/>
            <wp:docPr descr="Figure S5.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boundary excess and modularity (0.045) lie above both models. (E to G) Multidimensional scaling of decorated dissimilarity for the observed assemblages (Parkin starred) and one run of each model." title="" id="133" name="Picture"/>
            <a:graphic>
              <a:graphicData uri="http://schemas.openxmlformats.org/drawingml/2006/picture">
                <pic:pic>
                  <pic:nvPicPr>
                    <pic:cNvPr descr="../../figures/figS2_drift_vs_groups.png" id="134" name="Picture"/>
                    <pic:cNvPicPr>
                      <a:picLocks noChangeArrowheads="1" noChangeAspect="1"/>
                    </pic:cNvPicPr>
                  </pic:nvPicPr>
                  <pic:blipFill>
                    <a:blip r:embed="rId132"/>
                    <a:stretch>
                      <a:fillRect/>
                    </a:stretch>
                  </pic:blipFill>
                  <pic:spPr bwMode="auto">
                    <a:xfrm>
                      <a:off x="0" y="0"/>
                      <a:ext cx="5334000" cy="411270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boundary excess and modularity (0.045) lie above both models. (E to G) Multidimensional scaling of decorated dissimilarity for the observed assemblages (Parkin starred) and one run of each model.</w:t>
      </w:r>
    </w:p>
    <w:p>
      <w:pPr>
        <w:pStyle w:val="BodyText"/>
      </w:pPr>
      <w:r>
        <w:rPr>
          <w:b/>
          <w:bCs/>
        </w:rPr>
        <w:t xml:space="preserve">Table S3.</w:t>
      </w:r>
      <w:r>
        <w:t xml:space="preserve"> </w:t>
      </w:r>
      <w:r>
        <w:t xml:space="preserve">Calibration of the two innovation models to the within-assemblage summaries of the St. Francis basin assemblages.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combinations (of 297; six-run screen / fifty-run 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50 / 45</w:t>
            </w:r>
          </w:p>
        </w:tc>
        <w:tc>
          <w:tcPr/>
          <w:p>
            <w:pPr>
              <w:pStyle w:val="Compact"/>
            </w:pPr>
            <w:r>
              <w:t xml:space="preserve">2,000, 0.001, 0.02</w:t>
            </w:r>
          </w:p>
        </w:tc>
        <w:tc>
          <w:tcPr/>
          <w:p>
            <w:pPr>
              <w:pStyle w:val="Compact"/>
            </w:pPr>
            <w:r>
              <w:t xml:space="preserve">0.563 / 6.25 / 0.592</w:t>
            </w:r>
          </w:p>
        </w:tc>
        <w:tc>
          <w:tcPr/>
          <w:p>
            <w:pPr>
              <w:pStyle w:val="Compact"/>
            </w:pPr>
            <w:r>
              <w:t xml:space="preserve">0.577 / 6.04 / 0.588</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0.616 / 5.96 / 0.648</w:t>
            </w:r>
          </w:p>
        </w:tc>
      </w:tr>
    </w:tbl>
    <w:bookmarkEnd w:id="135"/>
    <w:bookmarkStart w:id="139" w:name="Xadbb3fee6170dc82f82218c8d6b92e90e708aca"/>
    <w:p>
      <w:pPr>
        <w:pStyle w:val="Heading2"/>
      </w:pPr>
      <w:r>
        <w:t xml:space="preserve">The neutral copying model and its calibration</w:t>
      </w:r>
    </w:p>
    <w:p>
      <w:pPr>
        <w:pStyle w:val="FirstParagraph"/>
      </w:pPr>
      <w:r>
        <w:t xml:space="preserve">This section describes how the copying model works, how we chose its three parameters, how we measure distance, and how we sample simulated assemblages so they can be compared with real ones.</w:t>
      </w:r>
    </w:p>
    <w:p>
      <w:pPr>
        <w:pStyle w:val="BodyText"/>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the next 1,800 generations.</w:t>
      </w:r>
    </w:p>
    <w:p>
      <w:pPr>
        <w:pStyle w:val="BodyText"/>
      </w:pPr>
      <w:r>
        <w:t xml:space="preserve">How new variants enter the model depends on what an archaeological class is.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We then rerun each matched combination fifty times with fresh seeds and recheck the match;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w:t>
      </w:r>
    </w:p>
    <w:p>
      <w:pPr>
        <w:pStyle w:val="BodyText"/>
      </w:pPr>
      <w:r>
        <w:t xml:space="preserve">We confirm at fifty runs because a median over six runs is noisy, and choosing the highest of about fifty noisy medians selects for chance. The combination ranked first on six runs had a six-run median (0.0053) twice its fifty-run median (0.0027), and an independent check with fresh seeds gave 0.0025 (</w:t>
      </w:r>
      <w:r>
        <w:rPr>
          <w:rStyle w:val="VerbatimChar"/>
        </w:rPr>
        <w:t xml:space="preserve">output/findings/calibration_stability.md</w:t>
      </w:r>
      <w:r>
        <w:t xml:space="preserve">). Even at fifty runs, the ranking of the leading combinations is not sharp: the independent check agrees with the six-run ranking at a rank correlation of 0.71, and its first-ranked combination (2,000 learners, innovation 0.001, mixing 0.01) failed the fifty-run diversity confirmation in the calibration itself. We therefore repeat the key comparisons at the six most favorable confirmed combinations, and at that unconfirmed one (Table S6).</w:t>
      </w:r>
    </w:p>
    <w:p>
      <w:pPr>
        <w:pStyle w:val="BodyText"/>
      </w:pPr>
      <w:r>
        <w:t xml:space="preserve">We then run the baseline 500 times, the boundary factors 30 times each at interaction lengths of 12 and 24 km, and seven sensitivity cases (burn-in doubled, a single-class starting state with and without burn-in, and innovation and mixing halved and doubled) 50 times each. In the baseline runs of this analysis,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is the number of runs; the scale sweep, combination-sensitivity (Table S6), phases-as-groups, and power tables report the plain share</w:t>
      </w:r>
      <w:r>
        <w:t xml:space="preserve"> </w:t>
      </w:r>
      <m:oMath>
        <m:r>
          <m:t>e</m:t>
        </m:r>
        <m:r>
          <m:rPr>
            <m:sty m:val="p"/>
          </m:rPr>
          <m:t>/</m:t>
        </m:r>
        <m:r>
          <m:t>R</m:t>
        </m:r>
      </m:oMath>
      <w:r>
        <w:t xml:space="preserve">. We store every run with a record of the configuration, inputs, source code, and package versions that produced it, and rerun it when any of them changes.</w:t>
      </w:r>
    </w:p>
    <w:p>
      <w:pPr>
        <w:pStyle w:val="BodyText"/>
      </w:pPr>
      <w:r>
        <w:t xml:space="preserve">We measure copying distance along rivers because interaction in this settlement system plausibly followed watercourses, and because that choice is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2.77 km. Paths along the rivers are longer than straight lines by a mean ratio of 3.7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0.36 and with river distance at 0.24, and once straight-line distance is held fixed, river distance adds nothing (-0.02). Between assemblages in different phases, straight-line distance correlates at 0.32 and river distance at 0.09. The network is modern hydrography, and the St. Francis, Tyronza, and Mississippi have all moved since these sites were occupied. Both measures are carried through the relaxations below. At every interaction length from 6 to 96 km the median under straight-line distance is at or below the median under river distance at the calibrated combination, so river distance is the choice more favorable to the model.</w:t>
      </w:r>
    </w:p>
    <w:p>
      <w:pPr>
        <w:pStyle w:val="BodyText"/>
      </w:pPr>
      <w:r>
        <w:t xml:space="preserve">The assemblages are not contemporaneous, so the simulated field is sampled over time rather than at a single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community detection, and</w:t>
      </w:r>
      <w:r>
        <w:t xml:space="preserve"> </w:t>
      </w:r>
      <m:oMath>
        <m:sSub>
          <m:e>
            <m:r>
              <m:t>F</m:t>
            </m:r>
          </m:e>
          <m:sub>
            <m:r>
              <m:t>S</m:t>
            </m:r>
            <m:r>
              <m:t>T</m:t>
            </m:r>
          </m:sub>
        </m:sSub>
      </m:oMath>
      <w:r>
        <w:t xml:space="preserve">. Because the dates only weakly indicate which end of the seriation axis is later, every run is also sampled in reverse order and as if contemporaneous, with every assemblage drawn from the final window.</w:t>
      </w:r>
    </w:p>
    <w:p>
      <w:pPr>
        <w:pStyle w:val="BodyText"/>
      </w:pPr>
      <w:r>
        <w:t xml:space="preserve">The source of an assemblage’s counts matters little. Within each of the three five-cluster groups holding at least two rows of each kind, we computed the posterior probability that rows carrying the survey’s counts alone differ from rows carrying Lipo’s compilation more than a random split of that group into subsets of the same sizes, with each assemblage’s class proportions drawn from Dirichlet(counts + 1/2) (</w:t>
      </w:r>
      <w:r>
        <w:rPr>
          <w:rStyle w:val="VerbatimChar"/>
        </w:rPr>
        <w:t xml:space="preserve">analyses/78_source_effect.py</w:t>
      </w:r>
      <w:r>
        <w:t xml:space="preserve">). It is 0.04 and 0.15 in two of them and 0.89 in the third (Big Eddy, Castile Landing, Clay Hill, Cramor Place, and Nickel), where source and place cannot be separated with five assemblages. The rows carrying the survey’s counts alone are also the smallest, so source and sample size are confounded throughout.</w:t>
      </w:r>
    </w:p>
    <w:p>
      <w:pPr>
        <w:pStyle w:val="BodyText"/>
      </w:pPr>
      <w:r>
        <w:t xml:space="preserve">Because community labels are arbitrary and switch between runs, we summarize the basin’s simulated communities by co-membership (Figure S6). For each assemblage, we record the share of runs in which it falls in the same community as Parkin. Under the calibrated model, that share is 0.94 to 1.00 for every assemblage because the model returns a single community in most runs. Under pooled-profile innovation, the 36 time-sampled runs that return two or more communities give a between-community</w:t>
      </w:r>
      <w:r>
        <w:t xml:space="preserve"> </w:t>
      </w:r>
      <m:oMath>
        <m:sSub>
          <m:e>
            <m:r>
              <m:t>F</m:t>
            </m:r>
          </m:e>
          <m:sub>
            <m:r>
              <m:t>S</m:t>
            </m:r>
            <m:r>
              <m:t>T</m:t>
            </m:r>
          </m:sub>
        </m:sSub>
      </m:oMath>
      <w:r>
        <w:t xml:space="preserve"> </w:t>
      </w:r>
      <w:r>
        <w:t xml:space="preserve">with a median of 0.012 (95 percent range 0.007 to 0.024), and none reach the observed 0.039. Under uniform innovation, which does not robustly fit the assemblages’ diversity, the observed value falls within a wide interval.</w:t>
      </w:r>
    </w:p>
    <w:p>
      <w:pPr>
        <w:pStyle w:val="CaptionedFigure"/>
      </w:pPr>
      <w:r>
        <w:drawing>
          <wp:inline>
            <wp:extent cx="5334000" cy="4016402"/>
            <wp:effectExtent b="0" l="0" r="0" t="0"/>
            <wp:docPr descr="Figure S6. Basin co-membership and community differentiation under the calibrated model, over 500 runs. (A) Each assemblage is shaded by the share of runs in which it falls in Parkin’s community (star). The share ranges from 0.94 to 1.00 throughout because the model returns one community in most runs. (B) Between-community cultural F_{ST} for the observed data (dashed, 0.039) against the model’s medians and 95 percent ranges, sampled as contemporaneous and through time, for pooled-profile (filled) and uniform (open) innovation. The pooled-profile points summarize only the runs returning two or more communities (54 contemporaneous and 36 through time, of 500); the rest return one community and leave the statistic undefined. The observed value lies above them. The uniform model’s wide range reflects a parameterization that does not fit the assemblages’ diversity robustly." title="" id="137" name="Picture"/>
            <a:graphic>
              <a:graphicData uri="http://schemas.openxmlformats.org/drawingml/2006/picture">
                <pic:pic>
                  <pic:nvPicPr>
                    <pic:cNvPr descr="../../figures/figS3_emergent_phases.png" id="138" name="Picture"/>
                    <pic:cNvPicPr>
                      <a:picLocks noChangeArrowheads="1" noChangeAspect="1"/>
                    </pic:cNvPicPr>
                  </pic:nvPicPr>
                  <pic:blipFill>
                    <a:blip r:embed="rId136"/>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Basin co-membership and community differentiation under the calibrated model, over 500 runs. (A) Each assemblage is shaded by the share of runs in which it falls in Parkin’s community (star). The share ranges from 0.94 to 1.00 throughout because the model returns one community in most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(filled) and uniform (open) innovation. The pooled-profile points summarize only the runs returning two or more communities (54 contemporaneous and 36 through time, of 500); the rest return one community and leave the statistic undefined. The observed value lies above them. The uniform model’s wide range reflects a parameterization that does not fit the assemblages’ diversity robustly.</w:t>
      </w:r>
    </w:p>
    <w:bookmarkEnd w:id="139"/>
    <w:bookmarkStart w:id="143" w:name="X6f709a8852ced2b4efe4258f523a9f4ec56fbed"/>
    <w:p>
      <w:pPr>
        <w:pStyle w:val="Heading2"/>
      </w:pPr>
      <w:r>
        <w:t xml:space="preserve">The calibration series and its sensitivity</w:t>
      </w:r>
    </w:p>
    <w:p>
      <w:pPr>
        <w:pStyle w:val="FirstParagraph"/>
      </w:pPr>
      <w:r>
        <w:t xml:space="preserve">This section shows every parameter combination tried and how the two-cluster comparison changes when the model settings are varied around the calibrated combination. Figure S7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every combination that reaches it at the median lies outside the diversity tolerance (lowest misfit 0.21, against 0.17 at the tolerance line). Under uniform innovation, one combination matches at the corner of the grid, and its median (0.0098)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w:t>
      </w:r>
    </w:p>
    <w:p>
      <w:pPr>
        <w:pStyle w:val="CaptionedFigure"/>
      </w:pPr>
      <w:r>
        <w:drawing>
          <wp:inline>
            <wp:extent cx="5334000" cy="6034856"/>
            <wp:effectExtent b="0" l="0" r="0" t="0"/>
            <wp:docPr descr="Figure S7.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illed markers match all three within-assemblage summaries within 10 percent (vertical line). The dashed line is the observed F_{ST}. No matched pooled-profile combination reaches the observed value at its median; the single matched uniform combination (median 0.0098) sits at the corner of the grid and does not fit the diversity robustly." title="" id="141" name="Picture"/>
            <a:graphic>
              <a:graphicData uri="http://schemas.openxmlformats.org/drawingml/2006/picture">
                <pic:pic>
                  <pic:nvPicPr>
                    <pic:cNvPr descr="../../figures/figS4_emergence_robustness.png" id="142" name="Picture"/>
                    <pic:cNvPicPr>
                      <a:picLocks noChangeArrowheads="1" noChangeAspect="1"/>
                    </pic:cNvPicPr>
                  </pic:nvPicPr>
                  <pic:blipFill>
                    <a:blip r:embed="rId140"/>
                    <a:stretch>
                      <a:fillRect/>
                    </a:stretch>
                  </pic:blipFill>
                  <pic:spPr bwMode="auto">
                    <a:xfrm>
                      <a:off x="0" y="0"/>
                      <a:ext cx="5334000" cy="6034856"/>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Filled markers match all three within-assemblage summaries within 10 percent (vertical line). The dashed line is the observed</w:t>
      </w:r>
      <w:r>
        <w:t xml:space="preserve"> </w:t>
      </w:r>
      <m:oMath>
        <m:sSub>
          <m:e>
            <m:r>
              <m:t>F</m:t>
            </m:r>
          </m:e>
          <m:sub>
            <m:r>
              <m:t>S</m:t>
            </m:r>
            <m:r>
              <m:t>T</m:t>
            </m:r>
          </m:sub>
        </m:sSub>
      </m:oMath>
      <w:r>
        <w:t xml:space="preserve">. No matched pooled-profile combination reaches the observed value at its median; the single matched uniform combination (median 0.0098) sits at the corner of the grid and does not fit the diversity robustly.</w:t>
      </w:r>
    </w:p>
    <w:p>
      <w:pPr>
        <w:pStyle w:val="BodyText"/>
      </w:pPr>
      <w:r>
        <w:rPr>
          <w:b/>
          <w:bCs/>
        </w:rPr>
        <w:t xml:space="preserve">Table S4.</w:t>
      </w:r>
      <w:r>
        <w:t xml:space="preserve"> </w:t>
      </w:r>
      <w:r>
        <w:t xml:space="preserve">Sensitivity of the calibrated comparison for the pooled-profile model (50 runs per sensitivity case, 30 per boundary case, baseline 500). Entries are the median and 95 percent range of the between-cluster</w:t>
      </w:r>
      <w:r>
        <w:t xml:space="preserve"> </w:t>
      </w:r>
      <m:oMath>
        <m:sSub>
          <m:e>
            <m:r>
              <m:t>F</m:t>
            </m:r>
          </m:e>
          <m:sub>
            <m:r>
              <m:t>S</m:t>
            </m:r>
            <m:r>
              <m:t>T</m:t>
            </m:r>
          </m:sub>
        </m:sSub>
      </m:oMath>
      <w:r>
        <w:t xml:space="preserve">, the share of runs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Share of runs reaching observed</w:t>
            </w:r>
          </w:p>
        </w:tc>
        <w:tc>
          <w:tcPr/>
          <w:p>
            <w:pPr>
              <w:pStyle w:val="Compact"/>
              <w:jc w:val="right"/>
            </w:pPr>
            <w:r>
              <w:t xml:space="preserve">Within-assemblage diversity</w:t>
            </w:r>
          </w:p>
        </w:tc>
        <w:tc>
          <w:tcPr/>
          <w:p>
            <w:pPr>
              <w:pStyle w:val="Compact"/>
              <w:jc w:val="right"/>
            </w:pPr>
            <w:r>
              <w:t xml:space="preserve">Richness</w:t>
            </w:r>
          </w:p>
        </w:tc>
      </w:tr>
      <w:tr>
        <w:tc>
          <w:tcPr/>
          <w:p>
            <w:pPr>
              <w:pStyle w:val="Compact"/>
            </w:pPr>
            <w:r>
              <w:t xml:space="preserve">Basin (observed 0.0062; diversity 0.56, richness 6.2)</w:t>
            </w:r>
          </w:p>
        </w:tc>
        <w:tc>
          <w:tcPr/>
          <w:p>
            <w:pPr>
              <w:pStyle w:val="Compact"/>
            </w:pPr>
            <w:r>
              <w:t xml:space="preserve">baseline</w:t>
            </w:r>
          </w:p>
        </w:tc>
        <w:tc>
          <w:tcPr/>
          <w:p>
            <w:pPr>
              <w:pStyle w:val="Compact"/>
            </w:pPr>
            <w:r>
              <w:t xml:space="preserve">0.0023 [0.0002, 0.0113]</w:t>
            </w:r>
          </w:p>
        </w:tc>
        <w:tc>
          <w:tcPr/>
          <w:p>
            <w:pPr>
              <w:pStyle w:val="Compact"/>
              <w:jc w:val="right"/>
            </w:pPr>
            <w:r>
              <w:t xml:space="preserve">0.160</w:t>
            </w:r>
          </w:p>
        </w:tc>
        <w:tc>
          <w:tcPr/>
          <w:p>
            <w:pPr>
              <w:pStyle w:val="Compact"/>
              <w:jc w:val="right"/>
            </w:pPr>
            <w:r>
              <w:t xml:space="preserve">0.58</w:t>
            </w:r>
          </w:p>
        </w:tc>
        <w:tc>
          <w:tcPr/>
          <w:p>
            <w:pPr>
              <w:pStyle w:val="Compact"/>
              <w:jc w:val="right"/>
            </w:pPr>
            <w:r>
              <w:t xml:space="preserve">6.0</w:t>
            </w:r>
          </w:p>
        </w:tc>
      </w:tr>
      <w:tr>
        <w:tc>
          <w:tcPr/>
          <w:p>
            <w:pPr>
              <w:pStyle w:val="Compact"/>
            </w:pPr>
          </w:p>
        </w:tc>
        <w:tc>
          <w:tcPr/>
          <w:p>
            <w:pPr>
              <w:pStyle w:val="Compact"/>
            </w:pPr>
            <w:r>
              <w:t xml:space="preserve">burn-in 2,400</w:t>
            </w:r>
          </w:p>
        </w:tc>
        <w:tc>
          <w:tcPr/>
          <w:p>
            <w:pPr>
              <w:pStyle w:val="Compact"/>
            </w:pPr>
            <w:r>
              <w:t xml:space="preserve">0.0019 [0.0003, 0.0099]</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6.1</w:t>
            </w:r>
          </w:p>
        </w:tc>
      </w:tr>
      <w:tr>
        <w:tc>
          <w:tcPr/>
          <w:p>
            <w:pPr>
              <w:pStyle w:val="Compact"/>
            </w:pPr>
          </w:p>
        </w:tc>
        <w:tc>
          <w:tcPr/>
          <w:p>
            <w:pPr>
              <w:pStyle w:val="Compact"/>
            </w:pPr>
            <w:r>
              <w:t xml:space="preserve">single-class start, burn-in</w:t>
            </w:r>
          </w:p>
        </w:tc>
        <w:tc>
          <w:tcPr/>
          <w:p>
            <w:pPr>
              <w:pStyle w:val="Compact"/>
            </w:pPr>
            <w:r>
              <w:t xml:space="preserve">0.0021 [0.0004, 0.0218]</w:t>
            </w:r>
          </w:p>
        </w:tc>
        <w:tc>
          <w:tcPr/>
          <w:p>
            <w:pPr>
              <w:pStyle w:val="Compact"/>
              <w:jc w:val="right"/>
            </w:pPr>
            <w:r>
              <w:t xml:space="preserve">0.196</w:t>
            </w:r>
          </w:p>
        </w:tc>
        <w:tc>
          <w:tcPr/>
          <w:p>
            <w:pPr>
              <w:pStyle w:val="Compact"/>
              <w:jc w:val="right"/>
            </w:pPr>
            <w:r>
              <w:t xml:space="preserve">0.54</w:t>
            </w:r>
          </w:p>
        </w:tc>
        <w:tc>
          <w:tcPr/>
          <w:p>
            <w:pPr>
              <w:pStyle w:val="Compact"/>
              <w:jc w:val="right"/>
            </w:pPr>
            <w:r>
              <w:t xml:space="preserve">5.9</w:t>
            </w:r>
          </w:p>
        </w:tc>
      </w:tr>
      <w:tr>
        <w:tc>
          <w:tcPr/>
          <w:p>
            <w:pPr>
              <w:pStyle w:val="Compact"/>
            </w:pPr>
          </w:p>
        </w:tc>
        <w:tc>
          <w:tcPr/>
          <w:p>
            <w:pPr>
              <w:pStyle w:val="Compact"/>
            </w:pPr>
            <w:r>
              <w:t xml:space="preserve">single-class start, no burn-in</w:t>
            </w:r>
          </w:p>
        </w:tc>
        <w:tc>
          <w:tcPr/>
          <w:p>
            <w:pPr>
              <w:pStyle w:val="Compact"/>
            </w:pPr>
            <w:r>
              <w:t xml:space="preserve">0.0049 [0.0003, 0.0239]</w:t>
            </w:r>
          </w:p>
        </w:tc>
        <w:tc>
          <w:tcPr/>
          <w:p>
            <w:pPr>
              <w:pStyle w:val="Compact"/>
              <w:jc w:val="right"/>
            </w:pPr>
            <w:r>
              <w:t xml:space="preserve">0.431</w:t>
            </w:r>
          </w:p>
        </w:tc>
        <w:tc>
          <w:tcPr/>
          <w:p>
            <w:pPr>
              <w:pStyle w:val="Compact"/>
              <w:jc w:val="right"/>
            </w:pPr>
            <w:r>
              <w:t xml:space="preserve">0.37</w:t>
            </w:r>
          </w:p>
        </w:tc>
        <w:tc>
          <w:tcPr/>
          <w:p>
            <w:pPr>
              <w:pStyle w:val="Compact"/>
              <w:jc w:val="right"/>
            </w:pPr>
            <w:r>
              <w:t xml:space="preserve">5.2</w:t>
            </w:r>
          </w:p>
        </w:tc>
      </w:tr>
      <w:tr>
        <w:tc>
          <w:tcPr/>
          <w:p>
            <w:pPr>
              <w:pStyle w:val="Compact"/>
            </w:pPr>
          </w:p>
        </w:tc>
        <w:tc>
          <w:tcPr/>
          <w:p>
            <w:pPr>
              <w:pStyle w:val="Compact"/>
            </w:pPr>
            <w:r>
              <w:t xml:space="preserve">innovation halved</w:t>
            </w:r>
          </w:p>
        </w:tc>
        <w:tc>
          <w:tcPr/>
          <w:p>
            <w:pPr>
              <w:pStyle w:val="Compact"/>
            </w:pPr>
            <w:r>
              <w:t xml:space="preserve">0.0027 [0.0007, 0.0177]</w:t>
            </w:r>
          </w:p>
        </w:tc>
        <w:tc>
          <w:tcPr/>
          <w:p>
            <w:pPr>
              <w:pStyle w:val="Compact"/>
              <w:jc w:val="right"/>
            </w:pPr>
            <w:r>
              <w:t xml:space="preserve">0.235</w:t>
            </w:r>
          </w:p>
        </w:tc>
        <w:tc>
          <w:tcPr/>
          <w:p>
            <w:pPr>
              <w:pStyle w:val="Compact"/>
              <w:jc w:val="right"/>
            </w:pPr>
            <w:r>
              <w:t xml:space="preserve">0.58</w:t>
            </w:r>
          </w:p>
        </w:tc>
        <w:tc>
          <w:tcPr/>
          <w:p>
            <w:pPr>
              <w:pStyle w:val="Compact"/>
              <w:jc w:val="right"/>
            </w:pPr>
            <w:r>
              <w:t xml:space="preserve">5.5</w:t>
            </w:r>
          </w:p>
        </w:tc>
      </w:tr>
      <w:tr>
        <w:tc>
          <w:tcPr/>
          <w:p>
            <w:pPr>
              <w:pStyle w:val="Compact"/>
            </w:pPr>
          </w:p>
        </w:tc>
        <w:tc>
          <w:tcPr/>
          <w:p>
            <w:pPr>
              <w:pStyle w:val="Compact"/>
            </w:pPr>
            <w:r>
              <w:t xml:space="preserve">innovation doubled</w:t>
            </w:r>
          </w:p>
        </w:tc>
        <w:tc>
          <w:tcPr/>
          <w:p>
            <w:pPr>
              <w:pStyle w:val="Compact"/>
            </w:pPr>
            <w:r>
              <w:t xml:space="preserve">0.0010 [0.0002, 0.0055]</w:t>
            </w:r>
          </w:p>
        </w:tc>
        <w:tc>
          <w:tcPr/>
          <w:p>
            <w:pPr>
              <w:pStyle w:val="Compact"/>
              <w:jc w:val="right"/>
            </w:pPr>
            <w:r>
              <w:t xml:space="preserve">0.039</w:t>
            </w:r>
          </w:p>
        </w:tc>
        <w:tc>
          <w:tcPr/>
          <w:p>
            <w:pPr>
              <w:pStyle w:val="Compact"/>
              <w:jc w:val="right"/>
            </w:pPr>
            <w:r>
              <w:t xml:space="preserve">0.58</w:t>
            </w:r>
          </w:p>
        </w:tc>
        <w:tc>
          <w:tcPr/>
          <w:p>
            <w:pPr>
              <w:pStyle w:val="Compact"/>
              <w:jc w:val="right"/>
            </w:pPr>
            <w:r>
              <w:t xml:space="preserve">6.6</w:t>
            </w:r>
          </w:p>
        </w:tc>
      </w:tr>
      <w:tr>
        <w:tc>
          <w:tcPr/>
          <w:p>
            <w:pPr>
              <w:pStyle w:val="Compact"/>
            </w:pPr>
          </w:p>
        </w:tc>
        <w:tc>
          <w:tcPr/>
          <w:p>
            <w:pPr>
              <w:pStyle w:val="Compact"/>
            </w:pPr>
            <w:r>
              <w:t xml:space="preserve">mixing halved</w:t>
            </w:r>
          </w:p>
        </w:tc>
        <w:tc>
          <w:tcPr/>
          <w:p>
            <w:pPr>
              <w:pStyle w:val="Compact"/>
            </w:pPr>
            <w:r>
              <w:t xml:space="preserve">0.0025 [0.0006, 0.0137]</w:t>
            </w:r>
          </w:p>
        </w:tc>
        <w:tc>
          <w:tcPr/>
          <w:p>
            <w:pPr>
              <w:pStyle w:val="Compact"/>
              <w:jc w:val="right"/>
            </w:pPr>
            <w:r>
              <w:t xml:space="preserve">0.255</w:t>
            </w:r>
          </w:p>
        </w:tc>
        <w:tc>
          <w:tcPr/>
          <w:p>
            <w:pPr>
              <w:pStyle w:val="Compact"/>
              <w:jc w:val="right"/>
            </w:pPr>
            <w:r>
              <w:t xml:space="preserve">0.58</w:t>
            </w:r>
          </w:p>
        </w:tc>
        <w:tc>
          <w:tcPr/>
          <w:p>
            <w:pPr>
              <w:pStyle w:val="Compact"/>
              <w:jc w:val="right"/>
            </w:pPr>
            <w:r>
              <w:t xml:space="preserve">5.8</w:t>
            </w:r>
          </w:p>
        </w:tc>
      </w:tr>
      <w:tr>
        <w:tc>
          <w:tcPr/>
          <w:p>
            <w:pPr>
              <w:pStyle w:val="Compact"/>
            </w:pPr>
          </w:p>
        </w:tc>
        <w:tc>
          <w:tcPr/>
          <w:p>
            <w:pPr>
              <w:pStyle w:val="Compact"/>
            </w:pPr>
            <w:r>
              <w:t xml:space="preserve">mixing doubled</w:t>
            </w:r>
          </w:p>
        </w:tc>
        <w:tc>
          <w:tcPr/>
          <w:p>
            <w:pPr>
              <w:pStyle w:val="Compact"/>
            </w:pPr>
            <w:r>
              <w:t xml:space="preserve">0.0015 [0.0002, 0.0052]</w:t>
            </w:r>
          </w:p>
        </w:tc>
        <w:tc>
          <w:tcPr/>
          <w:p>
            <w:pPr>
              <w:pStyle w:val="Compact"/>
              <w:jc w:val="right"/>
            </w:pPr>
            <w:r>
              <w:t xml:space="preserve">0.020</w:t>
            </w:r>
          </w:p>
        </w:tc>
        <w:tc>
          <w:tcPr/>
          <w:p>
            <w:pPr>
              <w:pStyle w:val="Compact"/>
              <w:jc w:val="right"/>
            </w:pPr>
            <w:r>
              <w:t xml:space="preserve">0.58</w:t>
            </w:r>
          </w:p>
        </w:tc>
        <w:tc>
          <w:tcPr/>
          <w:p>
            <w:pPr>
              <w:pStyle w:val="Compact"/>
              <w:jc w:val="right"/>
            </w:pPr>
            <w:r>
              <w:t xml:space="preserve">6.4</w:t>
            </w:r>
          </w:p>
        </w:tc>
      </w:tr>
      <w:tr>
        <w:tc>
          <w:tcPr/>
          <w:p>
            <w:pPr>
              <w:pStyle w:val="Compact"/>
            </w:pPr>
          </w:p>
        </w:tc>
        <w:tc>
          <w:tcPr/>
          <w:p>
            <w:pPr>
              <w:pStyle w:val="Compact"/>
            </w:pPr>
            <w:r>
              <w:t xml:space="preserve">boundary, multiplier 0.5 (24 km)</w:t>
            </w:r>
          </w:p>
        </w:tc>
        <w:tc>
          <w:tcPr/>
          <w:p>
            <w:pPr>
              <w:pStyle w:val="Compact"/>
            </w:pPr>
            <w:r>
              <w:t xml:space="preserve">0.0022 [0.0004, 0.0129]</w:t>
            </w:r>
          </w:p>
        </w:tc>
        <w:tc>
          <w:tcPr/>
          <w:p>
            <w:pPr>
              <w:pStyle w:val="Compact"/>
              <w:jc w:val="right"/>
            </w:pPr>
            <w:r>
              <w:t xml:space="preserve">0.161</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0.0031 [0.0005, 0.0184]</w:t>
            </w:r>
          </w:p>
        </w:tc>
        <w:tc>
          <w:tcPr/>
          <w:p>
            <w:pPr>
              <w:pStyle w:val="Compact"/>
              <w:jc w:val="right"/>
            </w:pPr>
            <w:r>
              <w:t xml:space="preserve">0.194</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0.0080 [0.0007, 0.0165]</w:t>
            </w:r>
          </w:p>
        </w:tc>
        <w:tc>
          <w:tcPr/>
          <w:p>
            <w:pPr>
              <w:pStyle w:val="Compact"/>
              <w:jc w:val="right"/>
            </w:pPr>
            <w:r>
              <w:t xml:space="preserve">0.548</w:t>
            </w:r>
          </w:p>
        </w:tc>
        <w:tc>
          <w:tcPr/>
          <w:p>
            <w:pPr>
              <w:pStyle w:val="Compact"/>
            </w:pPr>
          </w:p>
        </w:tc>
        <w:tc>
          <w:tcPr/>
          <w:p>
            <w:pPr>
              <w:pStyle w:val="Compact"/>
            </w:pPr>
          </w:p>
        </w:tc>
      </w:tr>
    </w:tbl>
    <w:p>
      <w:pPr>
        <w:pStyle w:val="BodyText"/>
      </w:pPr>
      <w:r>
        <w:t xml:space="preserve">The single-class start with no burn-in departs from the calibrated diversity and is reported for completeness rather than as a fitting alternative. The other cases put the share of runs reaching the observed value between 0.02 and 0.26. Doubling the innovation or mixing rate, which keeps the diversity close to the record, lowers that share to 0.04 and 0.02, so the two-cluster agreement holds at the selected combination and its neighbors with lower rates but not at every rate choice. The 30-run boundary cases resolve that share only to about 0.03.</w:t>
      </w:r>
    </w:p>
    <w:bookmarkEnd w:id="143"/>
    <w:bookmarkStart w:id="144" w:name="Xeafe564f9578fc6514294828af52095d4d7f034"/>
    <w:p>
      <w:pPr>
        <w:pStyle w:val="Heading2"/>
      </w:pPr>
      <w:r>
        <w:t xml:space="preserve">Relaxing four simplifications of the copying model</w:t>
      </w:r>
    </w:p>
    <w:p>
      <w:pPr>
        <w:pStyle w:val="FirstParagraph"/>
      </w:pPr>
      <w:r>
        <w:t xml:space="preserve">The calibrated model reproduces the difference between two clusters, although its median falls short. It does not reproduce the larger differences among three or more clusters, where the observed value lies at or beyond the upper edge of the model’s range: outside it with the seeds of Table 1 and Table S5, and just inside it at three clusters with those of Table S5a (main text Table 1; Table S5).</w:t>
      </w:r>
    </w:p>
    <w:p>
      <w:pPr>
        <w:pStyle w:val="BodyText"/>
      </w:pPr>
      <w:r>
        <w:t xml:space="preserve">The model makes four simplifying assumptions: every site has the same population, copying falls off exponentially with distance along the rivers, every deposit accumulated over the same span, and new variants arise at the same rates everywhere. Any of these could account for the shortfall, so we relaxed each in turn. Each variant is still neutral copying. It is the same model with one assumption changed, run on the basin at the calibrated combination. Every variant, and the baseline, is judged on the same three criteria, kept separate because they answer different questions: whether the median reaches the observation (median discrepancy), how often runs reach it (predictive coverage), and whether all three diversity summaries stay within the 10 percent tolerance (joint fit to diversity). A variant that reaches the observed differentiation only by losing the fit to diversity has exchanged one misfit for another. The tables below give the two-cluster sweeps of analyses 64 and 65, with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 The two-cluster value is already inside the baseline’s predictive range, so Table S5a then scores the main settings at three and four clusters and at the phase lines, where the baseline falls short.</w:t>
      </w:r>
    </w:p>
    <w:p>
      <w:pPr>
        <w:pStyle w:val="BodyText"/>
      </w:pPr>
      <w:r>
        <w:t xml:space="preserve">We relax each assumption separately, always at the baseline calibration. A variant that breaks the diversity match here might fit after recalibration, which we have not attempted, so a broken match means the variant is unsupported at this calibration, not that it cannot fit.</w:t>
      </w:r>
    </w:p>
    <w:p>
      <w:pPr>
        <w:pStyle w:val="BodyText"/>
      </w:pPr>
      <w:r>
        <w:rPr>
          <w:b/>
          <w:bCs/>
        </w:rPr>
        <w:t xml:space="preserve">Table S5a.</w:t>
      </w:r>
      <w:r>
        <w:t xml:space="preserve"> </w:t>
      </w:r>
      <w:r>
        <w:t xml:space="preserve">The main settings of each relaxation scored at every scale, 300 runs each with the seeds of analyses 64 and 65, local innovation areas, the two spatial clusters (</w:t>
      </w:r>
      <w:r>
        <w:rPr>
          <w:rStyle w:val="VerbatimChar"/>
        </w:rPr>
        <w:t xml:space="preserve">analyses/92_relaxations_by_scale.py</w:t>
      </w:r>
      <w:r>
        <w:t xml:space="preserve">,</w:t>
      </w:r>
      <w:r>
        <w:t xml:space="preserve"> </w:t>
      </w:r>
      <w:r>
        <w:rPr>
          <w:rStyle w:val="VerbatimChar"/>
        </w:rPr>
        <w:t xml:space="preserve">output/findings/relaxations_by_scale.md</w:t>
      </w:r>
      <w:r>
        <w:t xml:space="preserve">). Entries are the median, 95 percent range, and share of runs at or above the observed value. The baseline row uses analysis 65’s seeds, as do the transport and local-innovation rows; the unequal-population rows use analysis 64’s. Its shares therefore differ slightly from Table 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account</w:t>
            </w:r>
          </w:p>
        </w:tc>
        <w:tc>
          <w:tcPr/>
          <w:p>
            <w:pPr>
              <w:pStyle w:val="Compact"/>
            </w:pPr>
            <w:r>
              <w:t xml:space="preserve">setting</w:t>
            </w:r>
          </w:p>
        </w:tc>
        <w:tc>
          <w:tcPr/>
          <w:p>
            <w:pPr>
              <w:pStyle w:val="Compact"/>
            </w:pPr>
            <w:r>
              <w:t xml:space="preserve">two clusters (0.0062)</w:t>
            </w:r>
          </w:p>
        </w:tc>
        <w:tc>
          <w:tcPr/>
          <w:p>
            <w:pPr>
              <w:pStyle w:val="Compact"/>
            </w:pPr>
            <w:r>
              <w:t xml:space="preserve">three clusters (0.0156)</w:t>
            </w:r>
          </w:p>
        </w:tc>
        <w:tc>
          <w:tcPr/>
          <w:p>
            <w:pPr>
              <w:pStyle w:val="Compact"/>
            </w:pPr>
            <w:r>
              <w:t xml:space="preserve">four clusters (0.0186)</w:t>
            </w:r>
          </w:p>
        </w:tc>
        <w:tc>
          <w:tcPr/>
          <w:p>
            <w:pPr>
              <w:pStyle w:val="Compact"/>
            </w:pPr>
            <w:r>
              <w:t xml:space="preserve">the phases (0.0110)</w:t>
            </w:r>
          </w:p>
        </w:tc>
        <w:tc>
          <w:tcPr/>
          <w:p>
            <w:pPr>
              <w:pStyle w:val="Compact"/>
            </w:pPr>
            <w:r>
              <w:t xml:space="preserve">diversity</w:t>
            </w:r>
          </w:p>
        </w:tc>
      </w:tr>
      <w:tr>
        <w:tc>
          <w:tcPr/>
          <w:p>
            <w:pPr>
              <w:pStyle w:val="Compact"/>
            </w:pPr>
            <w:r>
              <w:t xml:space="preserve">baseline</w:t>
            </w:r>
          </w:p>
        </w:tc>
        <w:tc>
          <w:tcPr/>
          <w:p>
            <w:pPr>
              <w:pStyle w:val="Compact"/>
            </w:pPr>
            <w:r>
              <w:t xml:space="preserve">calibrated</w:t>
            </w:r>
          </w:p>
        </w:tc>
        <w:tc>
          <w:tcPr/>
          <w:p>
            <w:pPr>
              <w:pStyle w:val="Compact"/>
            </w:pPr>
            <w:r>
              <w:t xml:space="preserve">0.0022 [0.0003, 0.0119]; 13%</w:t>
            </w:r>
          </w:p>
        </w:tc>
        <w:tc>
          <w:tcPr/>
          <w:p>
            <w:pPr>
              <w:pStyle w:val="Compact"/>
            </w:pPr>
            <w:r>
              <w:t xml:space="preserve">0.0040 [0.0009, 0.0158]; 3%</w:t>
            </w:r>
          </w:p>
        </w:tc>
        <w:tc>
          <w:tcPr/>
          <w:p>
            <w:pPr>
              <w:pStyle w:val="Compact"/>
            </w:pPr>
            <w:r>
              <w:t xml:space="preserve">0.0042 [0.0014, 0.0166]; 1%</w:t>
            </w:r>
          </w:p>
        </w:tc>
        <w:tc>
          <w:tcPr/>
          <w:p>
            <w:pPr>
              <w:pStyle w:val="Compact"/>
            </w:pPr>
            <w:r>
              <w:t xml:space="preserve">0.0037 [0.0008, 0.0156]; 7%</w:t>
            </w:r>
          </w:p>
        </w:tc>
        <w:tc>
          <w:tcPr/>
          <w:p>
            <w:pPr>
              <w:pStyle w:val="Compact"/>
            </w:pPr>
            <w:r>
              <w:t xml:space="preserve">matched</w:t>
            </w:r>
          </w:p>
        </w:tc>
      </w:tr>
      <w:tr>
        <w:tc>
          <w:tcPr/>
          <w:p>
            <w:pPr>
              <w:pStyle w:val="Compact"/>
            </w:pPr>
            <w:r>
              <w:t xml:space="preserve">unequal populations</w:t>
            </w:r>
          </w:p>
        </w:tc>
        <w:tc>
          <w:tcPr/>
          <w:p>
            <w:pPr>
              <w:pStyle w:val="Compact"/>
            </w:pPr>
            <w:r>
              <w:t xml:space="preserve">CV 0.5</w:t>
            </w:r>
          </w:p>
        </w:tc>
        <w:tc>
          <w:tcPr/>
          <w:p>
            <w:pPr>
              <w:pStyle w:val="Compact"/>
            </w:pPr>
            <w:r>
              <w:t xml:space="preserve">0.0025 [0.0003, 0.0142]; 15%</w:t>
            </w:r>
          </w:p>
        </w:tc>
        <w:tc>
          <w:tcPr/>
          <w:p>
            <w:pPr>
              <w:pStyle w:val="Compact"/>
            </w:pPr>
            <w:r>
              <w:t xml:space="preserve">0.0042 [0.0009, 0.0180]; 4%</w:t>
            </w:r>
          </w:p>
        </w:tc>
        <w:tc>
          <w:tcPr/>
          <w:p>
            <w:pPr>
              <w:pStyle w:val="Compact"/>
            </w:pPr>
            <w:r>
              <w:t xml:space="preserve">0.0048 [0.0013, 0.0188]; 3%</w:t>
            </w:r>
          </w:p>
        </w:tc>
        <w:tc>
          <w:tcPr/>
          <w:p>
            <w:pPr>
              <w:pStyle w:val="Compact"/>
            </w:pPr>
            <w:r>
              <w:t xml:space="preserve">0.0040 [0.0009, 0.0178]; 6%</w:t>
            </w:r>
          </w:p>
        </w:tc>
        <w:tc>
          <w:tcPr/>
          <w:p>
            <w:pPr>
              <w:pStyle w:val="Compact"/>
            </w:pPr>
            <w:r>
              <w:t xml:space="preserve">matched</w:t>
            </w:r>
          </w:p>
        </w:tc>
      </w:tr>
      <w:tr>
        <w:tc>
          <w:tcPr/>
          <w:p>
            <w:pPr>
              <w:pStyle w:val="Compact"/>
            </w:pPr>
            <w:r>
              <w:t xml:space="preserve">unequal populations</w:t>
            </w:r>
          </w:p>
        </w:tc>
        <w:tc>
          <w:tcPr/>
          <w:p>
            <w:pPr>
              <w:pStyle w:val="Compact"/>
            </w:pPr>
            <w:r>
              <w:t xml:space="preserve">CV 1.0</w:t>
            </w:r>
          </w:p>
        </w:tc>
        <w:tc>
          <w:tcPr/>
          <w:p>
            <w:pPr>
              <w:pStyle w:val="Compact"/>
            </w:pPr>
            <w:r>
              <w:t xml:space="preserve">0.0033 [0.0004, 0.0219]; 29%</w:t>
            </w:r>
          </w:p>
        </w:tc>
        <w:tc>
          <w:tcPr/>
          <w:p>
            <w:pPr>
              <w:pStyle w:val="Compact"/>
            </w:pPr>
            <w:r>
              <w:t xml:space="preserve">0.0064 [0.0013, 0.0248]; 13%</w:t>
            </w:r>
          </w:p>
        </w:tc>
        <w:tc>
          <w:tcPr/>
          <w:p>
            <w:pPr>
              <w:pStyle w:val="Compact"/>
            </w:pPr>
            <w:r>
              <w:t xml:space="preserve">0.0069 [0.0015, 0.0258]; 9%</w:t>
            </w:r>
          </w:p>
        </w:tc>
        <w:tc>
          <w:tcPr/>
          <w:p>
            <w:pPr>
              <w:pStyle w:val="Compact"/>
            </w:pPr>
            <w:r>
              <w:t xml:space="preserve">0.0065 [0.0013, 0.0242]; 24%</w:t>
            </w:r>
          </w:p>
        </w:tc>
        <w:tc>
          <w:tcPr/>
          <w:p>
            <w:pPr>
              <w:pStyle w:val="Compact"/>
            </w:pPr>
            <w:r>
              <w:t xml:space="preserve">broken</w:t>
            </w:r>
          </w:p>
        </w:tc>
      </w:tr>
      <w:tr>
        <w:tc>
          <w:tcPr/>
          <w:p>
            <w:pPr>
              <w:pStyle w:val="Compact"/>
            </w:pPr>
            <w:r>
              <w:t xml:space="preserve">unequal populations</w:t>
            </w:r>
          </w:p>
        </w:tc>
        <w:tc>
          <w:tcPr/>
          <w:p>
            <w:pPr>
              <w:pStyle w:val="Compact"/>
            </w:pPr>
            <w:r>
              <w:t xml:space="preserve">CV 1.5</w:t>
            </w:r>
          </w:p>
        </w:tc>
        <w:tc>
          <w:tcPr/>
          <w:p>
            <w:pPr>
              <w:pStyle w:val="Compact"/>
            </w:pPr>
            <w:r>
              <w:t xml:space="preserve">0.0046 [0.0005, 0.0392]; 42%</w:t>
            </w:r>
          </w:p>
        </w:tc>
        <w:tc>
          <w:tcPr/>
          <w:p>
            <w:pPr>
              <w:pStyle w:val="Compact"/>
            </w:pPr>
            <w:r>
              <w:t xml:space="preserve">0.0089 [0.0016, 0.0483]; 26%</w:t>
            </w:r>
          </w:p>
        </w:tc>
        <w:tc>
          <w:tcPr/>
          <w:p>
            <w:pPr>
              <w:pStyle w:val="Compact"/>
            </w:pPr>
            <w:r>
              <w:t xml:space="preserve">0.0100 [0.0029, 0.0488]; 21%</w:t>
            </w:r>
          </w:p>
        </w:tc>
        <w:tc>
          <w:tcPr/>
          <w:p>
            <w:pPr>
              <w:pStyle w:val="Compact"/>
            </w:pPr>
            <w:r>
              <w:t xml:space="preserve">0.0084 [0.0015, 0.0437]; 40%</w:t>
            </w:r>
          </w:p>
        </w:tc>
        <w:tc>
          <w:tcPr/>
          <w:p>
            <w:pPr>
              <w:pStyle w:val="Compact"/>
            </w:pPr>
            <w:r>
              <w:t xml:space="preserve">broken</w:t>
            </w:r>
          </w:p>
        </w:tc>
      </w:tr>
      <w:tr>
        <w:tc>
          <w:tcPr/>
          <w:p>
            <w:pPr>
              <w:pStyle w:val="Compact"/>
            </w:pPr>
            <w:r>
              <w:t xml:space="preserve">transport</w:t>
            </w:r>
          </w:p>
        </w:tc>
        <w:tc>
          <w:tcPr/>
          <w:p>
            <w:pPr>
              <w:pStyle w:val="Compact"/>
            </w:pPr>
            <w:r>
              <w:t xml:space="preserve">straight-line, exponential, 6 km</w:t>
            </w:r>
          </w:p>
        </w:tc>
        <w:tc>
          <w:tcPr/>
          <w:p>
            <w:pPr>
              <w:pStyle w:val="Compact"/>
            </w:pPr>
            <w:r>
              <w:t xml:space="preserve">0.0034 [0.0004, 0.0213]; 32%</w:t>
            </w:r>
          </w:p>
        </w:tc>
        <w:tc>
          <w:tcPr/>
          <w:p>
            <w:pPr>
              <w:pStyle w:val="Compact"/>
            </w:pPr>
            <w:r>
              <w:t xml:space="preserve">0.0050 [0.0010, 0.0241]; 11%</w:t>
            </w:r>
          </w:p>
        </w:tc>
        <w:tc>
          <w:tcPr/>
          <w:p>
            <w:pPr>
              <w:pStyle w:val="Compact"/>
            </w:pPr>
            <w:r>
              <w:t xml:space="preserve">0.0055 [0.0014, 0.0243]; 7%</w:t>
            </w:r>
          </w:p>
        </w:tc>
        <w:tc>
          <w:tcPr/>
          <w:p>
            <w:pPr>
              <w:pStyle w:val="Compact"/>
            </w:pPr>
            <w:r>
              <w:t xml:space="preserve">0.0050 [0.0010, 0.0236]; 19%</w:t>
            </w:r>
          </w:p>
        </w:tc>
        <w:tc>
          <w:tcPr/>
          <w:p>
            <w:pPr>
              <w:pStyle w:val="Compact"/>
            </w:pPr>
            <w:r>
              <w:t xml:space="preserve">matched</w:t>
            </w:r>
          </w:p>
        </w:tc>
      </w:tr>
      <w:tr>
        <w:tc>
          <w:tcPr/>
          <w:p>
            <w:pPr>
              <w:pStyle w:val="Compact"/>
            </w:pPr>
            <w:r>
              <w:t xml:space="preserve">transport</w:t>
            </w:r>
          </w:p>
        </w:tc>
        <w:tc>
          <w:tcPr/>
          <w:p>
            <w:pPr>
              <w:pStyle w:val="Compact"/>
            </w:pPr>
            <w:r>
              <w:t xml:space="preserve">river, exponential, 6 km</w:t>
            </w:r>
          </w:p>
        </w:tc>
        <w:tc>
          <w:tcPr/>
          <w:p>
            <w:pPr>
              <w:pStyle w:val="Compact"/>
            </w:pPr>
            <w:r>
              <w:t xml:space="preserve">0.0071 [0.0007, 0.0328]; 54%</w:t>
            </w:r>
          </w:p>
        </w:tc>
        <w:tc>
          <w:tcPr/>
          <w:p>
            <w:pPr>
              <w:pStyle w:val="Compact"/>
            </w:pPr>
            <w:r>
              <w:t xml:space="preserve">0.0112 [0.0021, 0.0412]; 31%</w:t>
            </w:r>
          </w:p>
        </w:tc>
        <w:tc>
          <w:tcPr/>
          <w:p>
            <w:pPr>
              <w:pStyle w:val="Compact"/>
            </w:pPr>
            <w:r>
              <w:t xml:space="preserve">0.0133 [0.0029, 0.0455]; 31%</w:t>
            </w:r>
          </w:p>
        </w:tc>
        <w:tc>
          <w:tcPr/>
          <w:p>
            <w:pPr>
              <w:pStyle w:val="Compact"/>
            </w:pPr>
            <w:r>
              <w:t xml:space="preserve">0.0110 [0.0019, 0.0381]; 50%</w:t>
            </w:r>
          </w:p>
        </w:tc>
        <w:tc>
          <w:tcPr/>
          <w:p>
            <w:pPr>
              <w:pStyle w:val="Compact"/>
            </w:pPr>
            <w:r>
              <w:t xml:space="preserve">broken</w:t>
            </w:r>
          </w:p>
        </w:tc>
      </w:tr>
      <w:tr>
        <w:tc>
          <w:tcPr/>
          <w:p>
            <w:pPr>
              <w:pStyle w:val="Compact"/>
            </w:pPr>
            <w:r>
              <w:t xml:space="preserve">transport</w:t>
            </w:r>
          </w:p>
        </w:tc>
        <w:tc>
          <w:tcPr/>
          <w:p>
            <w:pPr>
              <w:pStyle w:val="Compact"/>
            </w:pPr>
            <w:r>
              <w:t xml:space="preserve">river, exponential, 12 km</w:t>
            </w:r>
          </w:p>
        </w:tc>
        <w:tc>
          <w:tcPr/>
          <w:p>
            <w:pPr>
              <w:pStyle w:val="Compact"/>
            </w:pPr>
            <w:r>
              <w:t xml:space="preserve">0.0048 [0.0005, 0.0255]; 37%</w:t>
            </w:r>
          </w:p>
        </w:tc>
        <w:tc>
          <w:tcPr/>
          <w:p>
            <w:pPr>
              <w:pStyle w:val="Compact"/>
            </w:pPr>
            <w:r>
              <w:t xml:space="preserve">0.0074 [0.0015, 0.0306]; 16%</w:t>
            </w:r>
          </w:p>
        </w:tc>
        <w:tc>
          <w:tcPr/>
          <w:p>
            <w:pPr>
              <w:pStyle w:val="Compact"/>
            </w:pPr>
            <w:r>
              <w:t xml:space="preserve">0.0086 [0.0022, 0.0322]; 12%</w:t>
            </w:r>
          </w:p>
        </w:tc>
        <w:tc>
          <w:tcPr/>
          <w:p>
            <w:pPr>
              <w:pStyle w:val="Compact"/>
            </w:pPr>
            <w:r>
              <w:t xml:space="preserve">0.0072 [0.0014, 0.0299]; 27%</w:t>
            </w:r>
          </w:p>
        </w:tc>
        <w:tc>
          <w:tcPr/>
          <w:p>
            <w:pPr>
              <w:pStyle w:val="Compact"/>
            </w:pPr>
            <w:r>
              <w:t xml:space="preserve">broken</w:t>
            </w:r>
          </w:p>
        </w:tc>
      </w:tr>
      <w:tr>
        <w:tc>
          <w:tcPr/>
          <w:p>
            <w:pPr>
              <w:pStyle w:val="Compact"/>
            </w:pPr>
            <w:r>
              <w:t xml:space="preserve">transport</w:t>
            </w:r>
          </w:p>
        </w:tc>
        <w:tc>
          <w:tcPr/>
          <w:p>
            <w:pPr>
              <w:pStyle w:val="Compact"/>
            </w:pPr>
            <w:r>
              <w:t xml:space="preserve">river, gaussian, 24 km</w:t>
            </w:r>
          </w:p>
        </w:tc>
        <w:tc>
          <w:tcPr/>
          <w:p>
            <w:pPr>
              <w:pStyle w:val="Compact"/>
            </w:pPr>
            <w:r>
              <w:t xml:space="preserve">0.0046 [0.0005, 0.0300]; 40%</w:t>
            </w:r>
          </w:p>
        </w:tc>
        <w:tc>
          <w:tcPr/>
          <w:p>
            <w:pPr>
              <w:pStyle w:val="Compact"/>
            </w:pPr>
            <w:r>
              <w:t xml:space="preserve">0.0086 [0.0014, 0.0351]; 18%</w:t>
            </w:r>
          </w:p>
        </w:tc>
        <w:tc>
          <w:tcPr/>
          <w:p>
            <w:pPr>
              <w:pStyle w:val="Compact"/>
            </w:pPr>
            <w:r>
              <w:t xml:space="preserve">0.0098 [0.0022, 0.0361]; 15%</w:t>
            </w:r>
          </w:p>
        </w:tc>
        <w:tc>
          <w:tcPr/>
          <w:p>
            <w:pPr>
              <w:pStyle w:val="Compact"/>
            </w:pPr>
            <w:r>
              <w:t xml:space="preserve">0.0084 [0.0014, 0.0337]; 33%</w:t>
            </w:r>
          </w:p>
        </w:tc>
        <w:tc>
          <w:tcPr/>
          <w:p>
            <w:pPr>
              <w:pStyle w:val="Compact"/>
            </w:pPr>
            <w:r>
              <w:t xml:space="preserve">broken</w:t>
            </w:r>
          </w:p>
        </w:tc>
      </w:tr>
      <w:tr>
        <w:tc>
          <w:tcPr/>
          <w:p>
            <w:pPr>
              <w:pStyle w:val="Compact"/>
            </w:pPr>
            <w:r>
              <w:t xml:space="preserve">transport</w:t>
            </w:r>
          </w:p>
        </w:tc>
        <w:tc>
          <w:tcPr/>
          <w:p>
            <w:pPr>
              <w:pStyle w:val="Compact"/>
            </w:pPr>
            <w:r>
              <w:t xml:space="preserve">river, gaussian, 48 km</w:t>
            </w:r>
          </w:p>
        </w:tc>
        <w:tc>
          <w:tcPr/>
          <w:p>
            <w:pPr>
              <w:pStyle w:val="Compact"/>
            </w:pPr>
            <w:r>
              <w:t xml:space="preserve">0.0023 [0.0002, 0.0131]; 17%</w:t>
            </w:r>
          </w:p>
        </w:tc>
        <w:tc>
          <w:tcPr/>
          <w:p>
            <w:pPr>
              <w:pStyle w:val="Compact"/>
            </w:pPr>
            <w:r>
              <w:t xml:space="preserve">0.0043 [0.0009, 0.0187]; 3%</w:t>
            </w:r>
          </w:p>
        </w:tc>
        <w:tc>
          <w:tcPr/>
          <w:p>
            <w:pPr>
              <w:pStyle w:val="Compact"/>
            </w:pPr>
            <w:r>
              <w:t xml:space="preserve">0.0046 [0.0011, 0.0190]; 3%</w:t>
            </w:r>
          </w:p>
        </w:tc>
        <w:tc>
          <w:tcPr/>
          <w:p>
            <w:pPr>
              <w:pStyle w:val="Compact"/>
            </w:pPr>
            <w:r>
              <w:t xml:space="preserve">0.0042 [0.0008, 0.0176]; 8%</w:t>
            </w:r>
          </w:p>
        </w:tc>
        <w:tc>
          <w:tcPr/>
          <w:p>
            <w:pPr>
              <w:pStyle w:val="Compact"/>
            </w:pPr>
            <w:r>
              <w:t xml:space="preserve">matched</w:t>
            </w:r>
          </w:p>
        </w:tc>
      </w:tr>
      <w:tr>
        <w:tc>
          <w:tcPr/>
          <w:p>
            <w:pPr>
              <w:pStyle w:val="Compact"/>
            </w:pPr>
            <w:r>
              <w:t xml:space="preserve">local innovation</w:t>
            </w:r>
          </w:p>
        </w:tc>
        <w:tc>
          <w:tcPr/>
          <w:p>
            <w:pPr>
              <w:pStyle w:val="Compact"/>
            </w:pPr>
            <w:r>
              <w:t xml:space="preserve">strength 0.2</w:t>
            </w:r>
          </w:p>
        </w:tc>
        <w:tc>
          <w:tcPr/>
          <w:p>
            <w:pPr>
              <w:pStyle w:val="Compact"/>
            </w:pPr>
            <w:r>
              <w:t xml:space="preserve">0.0047 [0.0004, 0.0530]; 44%</w:t>
            </w:r>
          </w:p>
        </w:tc>
        <w:tc>
          <w:tcPr/>
          <w:p>
            <w:pPr>
              <w:pStyle w:val="Compact"/>
            </w:pPr>
            <w:r>
              <w:t xml:space="preserve">0.0063 [0.0011, 0.0544]; 31%</w:t>
            </w:r>
          </w:p>
        </w:tc>
        <w:tc>
          <w:tcPr/>
          <w:p>
            <w:pPr>
              <w:pStyle w:val="Compact"/>
            </w:pPr>
            <w:r>
              <w:t xml:space="preserve">0.0070 [0.0015, 0.0555]; 28%</w:t>
            </w:r>
          </w:p>
        </w:tc>
        <w:tc>
          <w:tcPr/>
          <w:p>
            <w:pPr>
              <w:pStyle w:val="Compact"/>
            </w:pPr>
            <w:r>
              <w:t xml:space="preserve">0.0061 [0.0010, 0.0545]; 38%</w:t>
            </w:r>
          </w:p>
        </w:tc>
        <w:tc>
          <w:tcPr/>
          <w:p>
            <w:pPr>
              <w:pStyle w:val="Compact"/>
            </w:pPr>
            <w:r>
              <w:t xml:space="preserve">matched</w:t>
            </w:r>
          </w:p>
        </w:tc>
      </w:tr>
      <w:tr>
        <w:tc>
          <w:tcPr/>
          <w:p>
            <w:pPr>
              <w:pStyle w:val="Compact"/>
            </w:pPr>
            <w:r>
              <w:t xml:space="preserve">local innovation</w:t>
            </w:r>
          </w:p>
        </w:tc>
        <w:tc>
          <w:tcPr/>
          <w:p>
            <w:pPr>
              <w:pStyle w:val="Compact"/>
            </w:pPr>
            <w:r>
              <w:t xml:space="preserve">strength 0.25</w:t>
            </w:r>
          </w:p>
        </w:tc>
        <w:tc>
          <w:tcPr/>
          <w:p>
            <w:pPr>
              <w:pStyle w:val="Compact"/>
            </w:pPr>
            <w:r>
              <w:t xml:space="preserve">0.0086 [0.0004, 0.0539]; 54%</w:t>
            </w:r>
          </w:p>
        </w:tc>
        <w:tc>
          <w:tcPr/>
          <w:p>
            <w:pPr>
              <w:pStyle w:val="Compact"/>
            </w:pPr>
            <w:r>
              <w:t xml:space="preserve">0.0107 [0.0011, 0.0571]; 42%</w:t>
            </w:r>
          </w:p>
        </w:tc>
        <w:tc>
          <w:tcPr/>
          <w:p>
            <w:pPr>
              <w:pStyle w:val="Compact"/>
            </w:pPr>
            <w:r>
              <w:t xml:space="preserve">0.0109 [0.0016, 0.0578]; 40%</w:t>
            </w:r>
          </w:p>
        </w:tc>
        <w:tc>
          <w:tcPr/>
          <w:p>
            <w:pPr>
              <w:pStyle w:val="Compact"/>
            </w:pPr>
            <w:r>
              <w:t xml:space="preserve">0.0103 [0.0010, 0.0565]; 49%</w:t>
            </w:r>
          </w:p>
        </w:tc>
        <w:tc>
          <w:tcPr/>
          <w:p>
            <w:pPr>
              <w:pStyle w:val="Compact"/>
            </w:pPr>
            <w:r>
              <w:t xml:space="preserve">matched</w:t>
            </w:r>
          </w:p>
        </w:tc>
      </w:tr>
      <w:tr>
        <w:tc>
          <w:tcPr/>
          <w:p>
            <w:pPr>
              <w:pStyle w:val="Compact"/>
            </w:pPr>
            <w:r>
              <w:t xml:space="preserve">local innovation</w:t>
            </w:r>
          </w:p>
        </w:tc>
        <w:tc>
          <w:tcPr/>
          <w:p>
            <w:pPr>
              <w:pStyle w:val="Compact"/>
            </w:pPr>
            <w:r>
              <w:t xml:space="preserve">strength 0.3</w:t>
            </w:r>
          </w:p>
        </w:tc>
        <w:tc>
          <w:tcPr/>
          <w:p>
            <w:pPr>
              <w:pStyle w:val="Compact"/>
            </w:pPr>
            <w:r>
              <w:t xml:space="preserve">0.0111 [0.0005, 0.0532]; 61%</w:t>
            </w:r>
          </w:p>
        </w:tc>
        <w:tc>
          <w:tcPr/>
          <w:p>
            <w:pPr>
              <w:pStyle w:val="Compact"/>
            </w:pPr>
            <w:r>
              <w:t xml:space="preserve">0.0125 [0.0011, 0.0551]; 44%</w:t>
            </w:r>
          </w:p>
        </w:tc>
        <w:tc>
          <w:tcPr/>
          <w:p>
            <w:pPr>
              <w:pStyle w:val="Compact"/>
            </w:pPr>
            <w:r>
              <w:t xml:space="preserve">0.0132 [0.0018, 0.0562]; 42%</w:t>
            </w:r>
          </w:p>
        </w:tc>
        <w:tc>
          <w:tcPr/>
          <w:p>
            <w:pPr>
              <w:pStyle w:val="Compact"/>
            </w:pPr>
            <w:r>
              <w:t xml:space="preserve">0.0123 [0.0012, 0.0545]; 53%</w:t>
            </w:r>
          </w:p>
        </w:tc>
        <w:tc>
          <w:tcPr/>
          <w:p>
            <w:pPr>
              <w:pStyle w:val="Compact"/>
            </w:pPr>
            <w:r>
              <w:t xml:space="preserve">matched</w:t>
            </w:r>
          </w:p>
        </w:tc>
      </w:tr>
    </w:tbl>
    <w:p>
      <w:pPr>
        <w:pStyle w:val="BodyText"/>
      </w:pPr>
      <w:r>
        <w:t xml:space="preserve">Read on the same criteria as the baseline, two relaxations are adequate by predictive coverage at the finer scales while keeping diversity matched: local innovation, whose runs reach the three- and four-cluster values 28 to 44 percent of the time, and copying that falls off over 6 km of straight-line distance, 7 to 11 percent. No matched setting brings its median to the three- or four-cluster value. Unequal populations at coefficients of variation of 1.0 and above, and river fall-off at 6 to 24 km, raise coverage further, but only with the diversity match broken; the matched settings of those kinds (a coefficient of 0.5, a Gaussian fall-off at 48 km) barely move it. At two clusters, where the baseline itself covers the observation, the tables below show that several matched settings also cover it (for example, unequal populations at a coefficient of variation of 0.5, range 0.0003 to 0.0142), so that scale does not discriminate among the accounts.</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Each site’s population is drawn from a lognormal distribution with a mean equal to the calibrated population, with inequality among sites set by the coefficient of variation (CV).</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mean population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0.0019</w:t>
            </w:r>
          </w:p>
        </w:tc>
        <w:tc>
          <w:tcPr/>
          <w:p>
            <w:pPr>
              <w:pStyle w:val="Compact"/>
            </w:pPr>
            <w:r>
              <w:t xml:space="preserve">[0.0002, 0.0124]</w:t>
            </w:r>
          </w:p>
        </w:tc>
        <w:tc>
          <w:tcPr/>
          <w:p>
            <w:pPr>
              <w:pStyle w:val="Compact"/>
              <w:jc w:val="right"/>
            </w:pPr>
            <w:r>
              <w:t xml:space="preserve">3.4x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0.0025</w:t>
            </w:r>
          </w:p>
        </w:tc>
        <w:tc>
          <w:tcPr/>
          <w:p>
            <w:pPr>
              <w:pStyle w:val="Compact"/>
            </w:pPr>
            <w:r>
              <w:t xml:space="preserve">[0.0003, 0.0142]</w:t>
            </w:r>
          </w:p>
        </w:tc>
        <w:tc>
          <w:tcPr/>
          <w:p>
            <w:pPr>
              <w:pStyle w:val="Compact"/>
              <w:jc w:val="right"/>
            </w:pPr>
            <w:r>
              <w:t xml:space="preserve">2.5x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0.0033</w:t>
            </w:r>
          </w:p>
        </w:tc>
        <w:tc>
          <w:tcPr/>
          <w:p>
            <w:pPr>
              <w:pStyle w:val="Compact"/>
            </w:pPr>
            <w:r>
              <w:t xml:space="preserve">[0.0004, 0.0219]</w:t>
            </w:r>
          </w:p>
        </w:tc>
        <w:tc>
          <w:tcPr/>
          <w:p>
            <w:pPr>
              <w:pStyle w:val="Compact"/>
              <w:jc w:val="right"/>
            </w:pPr>
            <w:r>
              <w:t xml:space="preserve">1.9x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0.0046</w:t>
            </w:r>
          </w:p>
        </w:tc>
        <w:tc>
          <w:tcPr/>
          <w:p>
            <w:pPr>
              <w:pStyle w:val="Compact"/>
            </w:pPr>
            <w:r>
              <w:t xml:space="preserve">[0.0005, 0.0392]</w:t>
            </w:r>
          </w:p>
        </w:tc>
        <w:tc>
          <w:tcPr/>
          <w:p>
            <w:pPr>
              <w:pStyle w:val="Compact"/>
              <w:jc w:val="right"/>
            </w:pPr>
            <w:r>
              <w:t xml:space="preserve">1.4x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0.0069</w:t>
            </w:r>
          </w:p>
        </w:tc>
        <w:tc>
          <w:tcPr/>
          <w:p>
            <w:pPr>
              <w:pStyle w:val="Compact"/>
            </w:pPr>
            <w:r>
              <w:t xml:space="preserve">[0.0005, 0.0445]</w:t>
            </w:r>
          </w:p>
        </w:tc>
        <w:tc>
          <w:tcPr/>
          <w:p>
            <w:pPr>
              <w:pStyle w:val="Compact"/>
              <w:jc w:val="right"/>
            </w:pPr>
            <w:r>
              <w:t xml:space="preserve">0.9x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0.0101</w:t>
            </w:r>
          </w:p>
        </w:tc>
        <w:tc>
          <w:tcPr/>
          <w:p>
            <w:pPr>
              <w:pStyle w:val="Compact"/>
            </w:pPr>
            <w:r>
              <w:t xml:space="preserve">[0.0007, 0.0837]</w:t>
            </w:r>
          </w:p>
        </w:tc>
        <w:tc>
          <w:tcPr/>
          <w:p>
            <w:pPr>
              <w:pStyle w:val="Compact"/>
              <w:jc w:val="right"/>
            </w:pPr>
            <w:r>
              <w:t xml:space="preserve">0.6x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1.9-fold at a coefficient of 1.0 to 1.4-fold at 1.5, and the observation is passed by 2.0, but the diversity match is lost from 1.0. Inequality increases differentiation, but it also lowers the harmonic-mean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0.0067</w:t>
            </w:r>
          </w:p>
        </w:tc>
        <w:tc>
          <w:tcPr/>
          <w:p>
            <w:pPr>
              <w:pStyle w:val="Compact"/>
            </w:pPr>
            <w:r>
              <w:t xml:space="preserve">[0.0006, 0.0320]</w:t>
            </w:r>
          </w:p>
        </w:tc>
        <w:tc>
          <w:tcPr/>
          <w:p>
            <w:pPr>
              <w:pStyle w:val="Compact"/>
              <w:jc w:val="right"/>
            </w:pPr>
            <w:r>
              <w:t xml:space="preserve">0.9x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0.0048</w:t>
            </w:r>
          </w:p>
        </w:tc>
        <w:tc>
          <w:tcPr/>
          <w:p>
            <w:pPr>
              <w:pStyle w:val="Compact"/>
            </w:pPr>
            <w:r>
              <w:t xml:space="preserve">[0.0005, 0.0265]</w:t>
            </w:r>
          </w:p>
        </w:tc>
        <w:tc>
          <w:tcPr/>
          <w:p>
            <w:pPr>
              <w:pStyle w:val="Compact"/>
              <w:jc w:val="right"/>
            </w:pPr>
            <w:r>
              <w:t xml:space="preserve">1.3x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0.0022</w:t>
            </w:r>
          </w:p>
        </w:tc>
        <w:tc>
          <w:tcPr/>
          <w:p>
            <w:pPr>
              <w:pStyle w:val="Compact"/>
            </w:pPr>
            <w:r>
              <w:t xml:space="preserve">[0.0003, 0.0136]</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0.0007</w:t>
            </w:r>
          </w:p>
        </w:tc>
        <w:tc>
          <w:tcPr/>
          <w:p>
            <w:pPr>
              <w:pStyle w:val="Compact"/>
            </w:pPr>
            <w:r>
              <w:t xml:space="preserve">[0.0001, 0.0036]</w:t>
            </w:r>
          </w:p>
        </w:tc>
        <w:tc>
          <w:tcPr/>
          <w:p>
            <w:pPr>
              <w:pStyle w:val="Compact"/>
              <w:jc w:val="right"/>
            </w:pPr>
            <w:r>
              <w:t xml:space="preserve">8.4x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0.0007</w:t>
            </w:r>
          </w:p>
        </w:tc>
        <w:tc>
          <w:tcPr/>
          <w:p>
            <w:pPr>
              <w:pStyle w:val="Compact"/>
            </w:pPr>
            <w:r>
              <w:t xml:space="preserve">[0.0001, 0.0032]</w:t>
            </w:r>
          </w:p>
        </w:tc>
        <w:tc>
          <w:tcPr/>
          <w:p>
            <w:pPr>
              <w:pStyle w:val="Compact"/>
              <w:jc w:val="right"/>
            </w:pPr>
            <w:r>
              <w:t xml:space="preserve">9.2x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0.0036</w:t>
            </w:r>
          </w:p>
        </w:tc>
        <w:tc>
          <w:tcPr/>
          <w:p>
            <w:pPr>
              <w:pStyle w:val="Compact"/>
            </w:pPr>
            <w:r>
              <w:t xml:space="preserve">[0.0004, 0.0211]</w:t>
            </w:r>
          </w:p>
        </w:tc>
        <w:tc>
          <w:tcPr/>
          <w:p>
            <w:pPr>
              <w:pStyle w:val="Compact"/>
              <w:jc w:val="right"/>
            </w:pPr>
            <w:r>
              <w:t xml:space="preserve">1.7x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0.0010</w:t>
            </w:r>
          </w:p>
        </w:tc>
        <w:tc>
          <w:tcPr/>
          <w:p>
            <w:pPr>
              <w:pStyle w:val="Compact"/>
            </w:pPr>
            <w:r>
              <w:t xml:space="preserve">[0.0001, 0.0061]</w:t>
            </w:r>
          </w:p>
        </w:tc>
        <w:tc>
          <w:tcPr/>
          <w:p>
            <w:pPr>
              <w:pStyle w:val="Compact"/>
              <w:jc w:val="right"/>
            </w:pPr>
            <w:r>
              <w:t xml:space="preserve">6.2x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0.0006</w:t>
            </w:r>
          </w:p>
        </w:tc>
        <w:tc>
          <w:tcPr/>
          <w:p>
            <w:pPr>
              <w:pStyle w:val="Compact"/>
            </w:pPr>
            <w:r>
              <w:t xml:space="preserve">[0.0001, 0.0033]</w:t>
            </w:r>
          </w:p>
        </w:tc>
        <w:tc>
          <w:tcPr/>
          <w:p>
            <w:pPr>
              <w:pStyle w:val="Compact"/>
              <w:jc w:val="right"/>
            </w:pPr>
            <w:r>
              <w:t xml:space="preserve">10.6x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0.0006</w:t>
            </w:r>
          </w:p>
        </w:tc>
        <w:tc>
          <w:tcPr/>
          <w:p>
            <w:pPr>
              <w:pStyle w:val="Compact"/>
            </w:pPr>
            <w:r>
              <w:t xml:space="preserve">[0.0001, 0.0035]</w:t>
            </w:r>
          </w:p>
        </w:tc>
        <w:tc>
          <w:tcPr/>
          <w:p>
            <w:pPr>
              <w:pStyle w:val="Compact"/>
              <w:jc w:val="right"/>
            </w:pPr>
            <w:r>
              <w:t xml:space="preserve">11.0x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0.0005</w:t>
            </w:r>
          </w:p>
        </w:tc>
        <w:tc>
          <w:tcPr/>
          <w:p>
            <w:pPr>
              <w:pStyle w:val="Compact"/>
            </w:pPr>
            <w:r>
              <w:t xml:space="preserve">[0.0001, 0.0030]</w:t>
            </w:r>
          </w:p>
        </w:tc>
        <w:tc>
          <w:tcPr/>
          <w:p>
            <w:pPr>
              <w:pStyle w:val="Compact"/>
              <w:jc w:val="right"/>
            </w:pPr>
            <w:r>
              <w:t xml:space="preserve">13.7x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0.0093</w:t>
            </w:r>
          </w:p>
        </w:tc>
        <w:tc>
          <w:tcPr/>
          <w:p>
            <w:pPr>
              <w:pStyle w:val="Compact"/>
            </w:pPr>
            <w:r>
              <w:t xml:space="preserve">[0.0009, 0.0492]</w:t>
            </w:r>
          </w:p>
        </w:tc>
        <w:tc>
          <w:tcPr/>
          <w:p>
            <w:pPr>
              <w:pStyle w:val="Compact"/>
              <w:jc w:val="right"/>
            </w:pPr>
            <w:r>
              <w:t xml:space="preserve">0.7x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0.0079</w:t>
            </w:r>
          </w:p>
        </w:tc>
        <w:tc>
          <w:tcPr/>
          <w:p>
            <w:pPr>
              <w:pStyle w:val="Compact"/>
            </w:pPr>
            <w:r>
              <w:t xml:space="preserve">[0.0006, 0.0445]</w:t>
            </w:r>
          </w:p>
        </w:tc>
        <w:tc>
          <w:tcPr/>
          <w:p>
            <w:pPr>
              <w:pStyle w:val="Compact"/>
              <w:jc w:val="right"/>
            </w:pPr>
            <w:r>
              <w:t xml:space="preserve">0.8x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0.0045</w:t>
            </w:r>
          </w:p>
        </w:tc>
        <w:tc>
          <w:tcPr/>
          <w:p>
            <w:pPr>
              <w:pStyle w:val="Compact"/>
            </w:pPr>
            <w:r>
              <w:t xml:space="preserve">[0.0005, 0.0320]</w:t>
            </w:r>
          </w:p>
        </w:tc>
        <w:tc>
          <w:tcPr/>
          <w:p>
            <w:pPr>
              <w:pStyle w:val="Compact"/>
              <w:jc w:val="right"/>
            </w:pPr>
            <w:r>
              <w:t xml:space="preserve">1.4x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0.0023</w:t>
            </w:r>
          </w:p>
        </w:tc>
        <w:tc>
          <w:tcPr/>
          <w:p>
            <w:pPr>
              <w:pStyle w:val="Compact"/>
            </w:pPr>
            <w:r>
              <w:t xml:space="preserve">[0.0002, 0.0120]</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0.0008</w:t>
            </w:r>
          </w:p>
        </w:tc>
        <w:tc>
          <w:tcPr/>
          <w:p>
            <w:pPr>
              <w:pStyle w:val="Compact"/>
            </w:pPr>
            <w:r>
              <w:t xml:space="preserve">[0.0001, 0.0043]</w:t>
            </w:r>
          </w:p>
        </w:tc>
        <w:tc>
          <w:tcPr/>
          <w:p>
            <w:pPr>
              <w:pStyle w:val="Compact"/>
              <w:jc w:val="right"/>
            </w:pPr>
            <w:r>
              <w:t xml:space="preserve">8.1x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0.0017</w:t>
            </w:r>
          </w:p>
        </w:tc>
        <w:tc>
          <w:tcPr/>
          <w:p>
            <w:pPr>
              <w:pStyle w:val="Compact"/>
            </w:pPr>
            <w:r>
              <w:t xml:space="preserve">[0.0002, 0.0094]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0.0013</w:t>
            </w:r>
          </w:p>
        </w:tc>
        <w:tc>
          <w:tcPr/>
          <w:p>
            <w:pPr>
              <w:pStyle w:val="Compact"/>
            </w:pPr>
            <w:r>
              <w:t xml:space="preserve">[0.0002, 0.0070]</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0.0009</w:t>
            </w:r>
          </w:p>
        </w:tc>
        <w:tc>
          <w:tcPr/>
          <w:p>
            <w:pPr>
              <w:pStyle w:val="Compact"/>
            </w:pPr>
            <w:r>
              <w:t xml:space="preserve">[0.0001, 0.0062]</w:t>
            </w:r>
          </w:p>
        </w:tc>
        <w:tc>
          <w:tcPr/>
          <w:p>
            <w:pPr>
              <w:pStyle w:val="Compact"/>
              <w:jc w:val="right"/>
            </w:pPr>
            <w:r>
              <w:t xml:space="preserve">7.0x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0.0006</w:t>
            </w:r>
          </w:p>
        </w:tc>
        <w:tc>
          <w:tcPr/>
          <w:p>
            <w:pPr>
              <w:pStyle w:val="Compact"/>
            </w:pPr>
            <w:r>
              <w:t xml:space="preserve">[0.0001, 0.0036]</w:t>
            </w:r>
          </w:p>
        </w:tc>
        <w:tc>
          <w:tcPr/>
          <w:p>
            <w:pPr>
              <w:pStyle w:val="Compact"/>
              <w:jc w:val="right"/>
            </w:pPr>
            <w:r>
              <w:t xml:space="preserve">9.9x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0.0006</w:t>
            </w:r>
          </w:p>
        </w:tc>
        <w:tc>
          <w:tcPr/>
          <w:p>
            <w:pPr>
              <w:pStyle w:val="Compact"/>
            </w:pPr>
            <w:r>
              <w:t xml:space="preserve">[0.0001, 0.0029]</w:t>
            </w:r>
          </w:p>
        </w:tc>
        <w:tc>
          <w:tcPr/>
          <w:p>
            <w:pPr>
              <w:pStyle w:val="Compact"/>
              <w:jc w:val="right"/>
            </w:pPr>
            <w:r>
              <w:t xml:space="preserve">11.3x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Short interaction lengths along the rivers reach or approach the observation, an exponential fade at 6 km with a median of 0.0067 and a Gaussian fade at 6 to 24 km with medians of 0.0045 to 0.0093, but every one of them breaks the diversity match. The best matched setting, a straight-line exponential fade at 6 km, leaves a 1.7-fold shortfall.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0.0022</w:t>
            </w:r>
          </w:p>
        </w:tc>
        <w:tc>
          <w:tcPr/>
          <w:p>
            <w:pPr>
              <w:pStyle w:val="Compact"/>
            </w:pPr>
            <w:r>
              <w:t xml:space="preserve">[0.0003, 0.0136]</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0.0133]</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0.0022</w:t>
            </w:r>
          </w:p>
        </w:tc>
        <w:tc>
          <w:tcPr/>
          <w:p>
            <w:pPr>
              <w:pStyle w:val="Compact"/>
            </w:pPr>
            <w:r>
              <w:t xml:space="preserve">[0.0003, 0.0121]</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0.0023</w:t>
            </w:r>
          </w:p>
        </w:tc>
        <w:tc>
          <w:tcPr/>
          <w:p>
            <w:pPr>
              <w:pStyle w:val="Compact"/>
            </w:pPr>
            <w:r>
              <w:t xml:space="preserve">[0.0002, 0.0111]</w:t>
            </w:r>
          </w:p>
        </w:tc>
        <w:tc>
          <w:tcPr/>
          <w:p>
            <w:pPr>
              <w:pStyle w:val="Compact"/>
              <w:jc w:val="right"/>
            </w:pPr>
            <w:r>
              <w:t xml:space="preserve">2.7x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0.0022</w:t>
            </w:r>
          </w:p>
        </w:tc>
        <w:tc>
          <w:tcPr/>
          <w:p>
            <w:pPr>
              <w:pStyle w:val="Compact"/>
            </w:pPr>
            <w:r>
              <w:t xml:space="preserve">[0.0002, 0.0123]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0.0025</w:t>
            </w:r>
          </w:p>
        </w:tc>
        <w:tc>
          <w:tcPr/>
          <w:p>
            <w:pPr>
              <w:pStyle w:val="Compact"/>
            </w:pPr>
            <w:r>
              <w:t xml:space="preserve">[0.0003, 0.0389]</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0.0032</w:t>
            </w:r>
          </w:p>
        </w:tc>
        <w:tc>
          <w:tcPr/>
          <w:p>
            <w:pPr>
              <w:pStyle w:val="Compact"/>
            </w:pPr>
            <w:r>
              <w:t xml:space="preserve">[0.0003, 0.0448]</w:t>
            </w:r>
          </w:p>
        </w:tc>
        <w:tc>
          <w:tcPr/>
          <w:p>
            <w:pPr>
              <w:pStyle w:val="Compact"/>
              <w:jc w:val="right"/>
            </w:pPr>
            <w:r>
              <w:t xml:space="preserve">1.9x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0.0047</w:t>
            </w:r>
          </w:p>
        </w:tc>
        <w:tc>
          <w:tcPr/>
          <w:p>
            <w:pPr>
              <w:pStyle w:val="Compact"/>
            </w:pPr>
            <w:r>
              <w:t xml:space="preserve">[0.0003, 0.0502]</w:t>
            </w:r>
          </w:p>
        </w:tc>
        <w:tc>
          <w:tcPr/>
          <w:p>
            <w:pPr>
              <w:pStyle w:val="Compact"/>
              <w:jc w:val="right"/>
            </w:pPr>
            <w:r>
              <w:t xml:space="preserve">1.3x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0.0073</w:t>
            </w:r>
          </w:p>
        </w:tc>
        <w:tc>
          <w:tcPr/>
          <w:p>
            <w:pPr>
              <w:pStyle w:val="Compact"/>
            </w:pPr>
            <w:r>
              <w:t xml:space="preserve">[0.0004, 0.0520]</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0.0122</w:t>
            </w:r>
          </w:p>
        </w:tc>
        <w:tc>
          <w:tcPr/>
          <w:p>
            <w:pPr>
              <w:pStyle w:val="Compact"/>
            </w:pPr>
            <w:r>
              <w:t xml:space="preserve">[0.0004, 0.0528]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0.0200</w:t>
            </w:r>
          </w:p>
        </w:tc>
        <w:tc>
          <w:tcPr/>
          <w:p>
            <w:pPr>
              <w:pStyle w:val="Compact"/>
            </w:pPr>
            <w:r>
              <w:t xml:space="preserve">[0.0007, 0.0563]</w:t>
            </w:r>
          </w:p>
        </w:tc>
        <w:tc>
          <w:tcPr/>
          <w:p>
            <w:pPr>
              <w:pStyle w:val="Compact"/>
              <w:jc w:val="right"/>
            </w:pPr>
            <w:r>
              <w:t xml:space="preserve">0.3x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0.0316</w:t>
            </w:r>
          </w:p>
        </w:tc>
        <w:tc>
          <w:tcPr/>
          <w:p>
            <w:pPr>
              <w:pStyle w:val="Compact"/>
            </w:pPr>
            <w:r>
              <w:t xml:space="preserve">[0.0017, 0.0662]</w:t>
            </w:r>
          </w:p>
        </w:tc>
        <w:tc>
          <w:tcPr/>
          <w:p>
            <w:pPr>
              <w:pStyle w:val="Compact"/>
              <w:jc w:val="right"/>
            </w:pPr>
            <w:r>
              <w:t xml:space="preserve">0.2x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0.0379</w:t>
            </w:r>
          </w:p>
        </w:tc>
        <w:tc>
          <w:tcPr/>
          <w:p>
            <w:pPr>
              <w:pStyle w:val="Compact"/>
            </w:pPr>
            <w:r>
              <w:t xml:space="preserve">[0.0090, 0.0675]</w:t>
            </w:r>
          </w:p>
        </w:tc>
        <w:tc>
          <w:tcPr/>
          <w:p>
            <w:pPr>
              <w:pStyle w:val="Compact"/>
              <w:jc w:val="right"/>
            </w:pPr>
            <w:r>
              <w:t xml:space="preserve">0.2x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We rejected two other ways of building local profiles because each changed something besides which classes are favored: a random (Dirichlet) perturbation of the regional profile made profiles sparser as well as different, lowering mean richness,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two-cluster observation rather than between narrow distributions, and at three and four clusters (Table S5a) the medians still fall short while the ranges cover the observation. It identifies a mechanism the record is consistent with, not one it demonstrates, and the mechanism is still neutral copying, with new styles arising locally rather than at the same rates across the basin.</w:t>
      </w:r>
    </w:p>
    <w:bookmarkEnd w:id="144"/>
    <w:bookmarkStart w:id="150" w:name="X93206a3fabc55b2a011642dfe11cfca01bab92c"/>
    <w:p>
      <w:pPr>
        <w:pStyle w:val="Heading2"/>
      </w:pPr>
      <w:r>
        <w:t xml:space="preserve">The phases as groups: restricted copying and local innovation together</w:t>
      </w:r>
    </w:p>
    <w:p>
      <w:pPr>
        <w:pStyle w:val="FirstParagraph"/>
      </w:pPr>
      <w:r>
        <w:t xml:space="preserve">This section gives the phases both properties a bounded group would have and asks whether the record favors them. The bounded-groups model above draws new variants from one regional pool that no boundary interrupts, so it is at a disadvantage against local innovation, which most often covers the shortfall. Here the inherited phases are the groups, and both properties of a bounded group are given to them together (</w:t>
      </w:r>
      <w:r>
        <w:rPr>
          <w:rStyle w:val="VerbatimChar"/>
        </w:rPr>
        <w:t xml:space="preserve">analyses/84_phases_as_groups.py</w:t>
      </w:r>
      <w:r>
        <w:t xml:space="preserve">): copying across phase lines is multiplied by a factor of 1 (no copying boundary), 0.5, 0.1, or 0.03, and each phase draws new variants from a partly reordered version of the regional profile, with 0, 10, 20, or 30 percent of the classes reordered. Each of the 16 settings is run 300 times at the calibrated combination (2,000 learners, innovation 0.001, mixing 0.02), with interaction length 24 km along the rivers, and each run is scored on the between-phase</w:t>
      </w:r>
      <w:r>
        <w:t xml:space="preserve"> </w:t>
      </w:r>
      <m:oMath>
        <m:sSub>
          <m:e>
            <m:r>
              <m:t>F</m:t>
            </m:r>
          </m:e>
          <m:sub>
            <m:r>
              <m:t>S</m:t>
            </m:r>
            <m:r>
              <m:t>T</m:t>
            </m:r>
          </m:sub>
        </m:sSub>
      </m:oMath>
      <w:r>
        <w:t xml:space="preserve">, the</w:t>
      </w:r>
      <w:r>
        <w:t xml:space="preserve"> </w:t>
      </w:r>
      <m:oMath>
        <m:sSub>
          <m:e>
            <m:r>
              <m:t>F</m:t>
            </m:r>
          </m:e>
          <m:sub>
            <m:r>
              <m:t>S</m:t>
            </m:r>
            <m:r>
              <m:t>T</m:t>
            </m:r>
          </m:sub>
        </m:sSub>
      </m:oMath>
      <w:r>
        <w:t xml:space="preserve"> </w:t>
      </w:r>
      <w:r>
        <w:t xml:space="preserve">at the two spatial clusters, the boundary excess at the phase lines, and the three diversity summaries. The observed values are a between-phase</w:t>
      </w:r>
      <w:r>
        <w:t xml:space="preserve"> </w:t>
      </w:r>
      <m:oMath>
        <m:sSub>
          <m:e>
            <m:r>
              <m:t>F</m:t>
            </m:r>
          </m:e>
          <m:sub>
            <m:r>
              <m:t>S</m:t>
            </m:r>
            <m:r>
              <m:t>T</m:t>
            </m:r>
          </m:sub>
        </m:sSub>
      </m:oMath>
      <w:r>
        <w:t xml:space="preserve"> </w:t>
      </w:r>
      <w:r>
        <w:t xml:space="preserve">of 0.0110 and a boundary excess at the phase lines of +10.0.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copying factor</w:t>
            </w:r>
          </w:p>
        </w:tc>
        <w:tc>
          <w:tcPr/>
          <w:p>
            <w:pPr>
              <w:pStyle w:val="Compact"/>
            </w:pPr>
            <w:r>
              <w:t xml:space="preserve">local innovation</w:t>
            </w:r>
          </w:p>
        </w:tc>
        <w:tc>
          <w:tcPr/>
          <w:p>
            <w:pPr>
              <w:pStyle w:val="Compact"/>
            </w:pPr>
            <w:r>
              <w:t xml:space="preserve">between-phase</w:t>
            </w:r>
            <w:r>
              <w:t xml:space="preserve"> </w:t>
            </w:r>
            <m:oMath>
              <m:sSub>
                <m:e>
                  <m:r>
                    <m:t>F</m:t>
                  </m:r>
                </m:e>
                <m:sub>
                  <m:r>
                    <m:t>S</m:t>
                  </m:r>
                  <m:r>
                    <m:t>T</m:t>
                  </m:r>
                </m:sub>
              </m:sSub>
            </m:oMath>
            <w:r>
              <w:t xml:space="preserve">, median [95%]</w:t>
            </w:r>
          </w:p>
        </w:tc>
        <w:tc>
          <w:tcPr/>
          <w:p>
            <w:pPr>
              <w:pStyle w:val="Compact"/>
            </w:pPr>
            <w:r>
              <w:t xml:space="preserve">runs reaching</w:t>
            </w:r>
          </w:p>
        </w:tc>
        <w:tc>
          <w:tcPr/>
          <w:p>
            <w:pPr>
              <w:pStyle w:val="Compact"/>
            </w:pPr>
            <w:r>
              <w:t xml:space="preserve">boundary excess, median [95%]</w:t>
            </w:r>
          </w:p>
        </w:tc>
        <w:tc>
          <w:tcPr/>
          <w:p>
            <w:pPr>
              <w:pStyle w:val="Compact"/>
            </w:pPr>
            <w:r>
              <w:t xml:space="preserve">runs reaching</w:t>
            </w:r>
          </w:p>
        </w:tc>
        <w:tc>
          <w:tcPr/>
          <w:p>
            <w:pPr>
              <w:pStyle w:val="Compact"/>
            </w:pPr>
            <w:r>
              <w:t xml:space="preserve">diversity matched</w:t>
            </w:r>
          </w:p>
        </w:tc>
      </w:tr>
      <w:tr>
        <w:tc>
          <w:tcPr/>
          <w:p>
            <w:pPr>
              <w:pStyle w:val="Compact"/>
            </w:pPr>
            <w:r>
              <w:t xml:space="preserve">1</w:t>
            </w:r>
          </w:p>
        </w:tc>
        <w:tc>
          <w:tcPr/>
          <w:p>
            <w:pPr>
              <w:pStyle w:val="Compact"/>
            </w:pPr>
            <w:r>
              <w:t xml:space="preserve">0</w:t>
            </w:r>
          </w:p>
        </w:tc>
        <w:tc>
          <w:tcPr/>
          <w:p>
            <w:pPr>
              <w:pStyle w:val="Compact"/>
            </w:pPr>
            <w:r>
              <w:t xml:space="preserve">0.0035 [0.0007, 0.0145]</w:t>
            </w:r>
          </w:p>
        </w:tc>
        <w:tc>
          <w:tcPr/>
          <w:p>
            <w:pPr>
              <w:pStyle w:val="Compact"/>
            </w:pPr>
            <w:r>
              <w:t xml:space="preserve">4%</w:t>
            </w:r>
          </w:p>
        </w:tc>
        <w:tc>
          <w:tcPr/>
          <w:p>
            <w:pPr>
              <w:pStyle w:val="Compact"/>
            </w:pPr>
            <w:r>
              <w:t xml:space="preserve">+1.5 [-6.0, +7.8]</w:t>
            </w:r>
          </w:p>
        </w:tc>
        <w:tc>
          <w:tcPr/>
          <w:p>
            <w:pPr>
              <w:pStyle w:val="Compact"/>
            </w:pPr>
            <w:r>
              <w:t xml:space="preserve">0.3%</w:t>
            </w:r>
          </w:p>
        </w:tc>
        <w:tc>
          <w:tcPr/>
          <w:p>
            <w:pPr>
              <w:pStyle w:val="Compact"/>
            </w:pPr>
            <w:r>
              <w:t xml:space="preserve">yes</w:t>
            </w:r>
          </w:p>
        </w:tc>
      </w:tr>
      <w:tr>
        <w:tc>
          <w:tcPr/>
          <w:p>
            <w:pPr>
              <w:pStyle w:val="Compact"/>
            </w:pPr>
            <w:r>
              <w:t xml:space="preserve">1</w:t>
            </w:r>
          </w:p>
        </w:tc>
        <w:tc>
          <w:tcPr/>
          <w:p>
            <w:pPr>
              <w:pStyle w:val="Compact"/>
            </w:pPr>
            <w:r>
              <w:t xml:space="preserve">0.2</w:t>
            </w:r>
          </w:p>
        </w:tc>
        <w:tc>
          <w:tcPr/>
          <w:p>
            <w:pPr>
              <w:pStyle w:val="Compact"/>
            </w:pPr>
            <w:r>
              <w:t xml:space="preserve">0.0077 [0.0008, 0.0420]</w:t>
            </w:r>
          </w:p>
        </w:tc>
        <w:tc>
          <w:tcPr/>
          <w:p>
            <w:pPr>
              <w:pStyle w:val="Compact"/>
            </w:pPr>
            <w:r>
              <w:t xml:space="preserve">39%</w:t>
            </w:r>
          </w:p>
        </w:tc>
        <w:tc>
          <w:tcPr/>
          <w:p>
            <w:pPr>
              <w:pStyle w:val="Compact"/>
            </w:pPr>
            <w:r>
              <w:t xml:space="preserve">+4.0 [-5.4, +21.2]</w:t>
            </w:r>
          </w:p>
        </w:tc>
        <w:tc>
          <w:tcPr/>
          <w:p>
            <w:pPr>
              <w:pStyle w:val="Compact"/>
            </w:pPr>
            <w:r>
              <w:t xml:space="preserve">23%</w:t>
            </w:r>
          </w:p>
        </w:tc>
        <w:tc>
          <w:tcPr/>
          <w:p>
            <w:pPr>
              <w:pStyle w:val="Compact"/>
            </w:pPr>
            <w:r>
              <w:t xml:space="preserve">yes</w:t>
            </w:r>
          </w:p>
        </w:tc>
      </w:tr>
      <w:tr>
        <w:tc>
          <w:tcPr/>
          <w:p>
            <w:pPr>
              <w:pStyle w:val="Compact"/>
            </w:pPr>
            <w:r>
              <w:t xml:space="preserve">0.5</w:t>
            </w:r>
          </w:p>
        </w:tc>
        <w:tc>
          <w:tcPr/>
          <w:p>
            <w:pPr>
              <w:pStyle w:val="Compact"/>
            </w:pPr>
            <w:r>
              <w:t xml:space="preserve">0</w:t>
            </w:r>
          </w:p>
        </w:tc>
        <w:tc>
          <w:tcPr/>
          <w:p>
            <w:pPr>
              <w:pStyle w:val="Compact"/>
            </w:pPr>
            <w:r>
              <w:t xml:space="preserve">0.0042 [0.0009, 0.0212]</w:t>
            </w:r>
          </w:p>
        </w:tc>
        <w:tc>
          <w:tcPr/>
          <w:p>
            <w:pPr>
              <w:pStyle w:val="Compact"/>
            </w:pPr>
            <w:r>
              <w:t xml:space="preserve">10%</w:t>
            </w:r>
          </w:p>
        </w:tc>
        <w:tc>
          <w:tcPr/>
          <w:p>
            <w:pPr>
              <w:pStyle w:val="Compact"/>
            </w:pPr>
            <w:r>
              <w:t xml:space="preserve">+2.8 [-4.5, +10.8]</w:t>
            </w:r>
          </w:p>
        </w:tc>
        <w:tc>
          <w:tcPr/>
          <w:p>
            <w:pPr>
              <w:pStyle w:val="Compact"/>
            </w:pPr>
            <w:r>
              <w:t xml:space="preserve">4%</w:t>
            </w:r>
          </w:p>
        </w:tc>
        <w:tc>
          <w:tcPr/>
          <w:p>
            <w:pPr>
              <w:pStyle w:val="Compact"/>
            </w:pPr>
            <w:r>
              <w:t xml:space="preserve">yes</w:t>
            </w:r>
          </w:p>
        </w:tc>
      </w:tr>
      <w:tr>
        <w:tc>
          <w:tcPr/>
          <w:p>
            <w:pPr>
              <w:pStyle w:val="Compact"/>
            </w:pPr>
            <w:r>
              <w:t xml:space="preserve">0.1</w:t>
            </w:r>
          </w:p>
        </w:tc>
        <w:tc>
          <w:tcPr/>
          <w:p>
            <w:pPr>
              <w:pStyle w:val="Compact"/>
            </w:pPr>
            <w:r>
              <w:t xml:space="preserve">0</w:t>
            </w:r>
          </w:p>
        </w:tc>
        <w:tc>
          <w:tcPr/>
          <w:p>
            <w:pPr>
              <w:pStyle w:val="Compact"/>
            </w:pPr>
            <w:r>
              <w:t xml:space="preserve">0.0068 [0.0014, 0.0233]</w:t>
            </w:r>
          </w:p>
        </w:tc>
        <w:tc>
          <w:tcPr/>
          <w:p>
            <w:pPr>
              <w:pStyle w:val="Compact"/>
            </w:pPr>
            <w:r>
              <w:t xml:space="preserve">28%</w:t>
            </w:r>
          </w:p>
        </w:tc>
        <w:tc>
          <w:tcPr/>
          <w:p>
            <w:pPr>
              <w:pStyle w:val="Compact"/>
            </w:pPr>
            <w:r>
              <w:t xml:space="preserve">+4.4 [-5.4, +15.1]</w:t>
            </w:r>
          </w:p>
        </w:tc>
        <w:tc>
          <w:tcPr/>
          <w:p>
            <w:pPr>
              <w:pStyle w:val="Compact"/>
            </w:pPr>
            <w:r>
              <w:t xml:space="preserve">15%</w:t>
            </w:r>
          </w:p>
        </w:tc>
        <w:tc>
          <w:tcPr/>
          <w:p>
            <w:pPr>
              <w:pStyle w:val="Compact"/>
            </w:pPr>
            <w:r>
              <w:t xml:space="preserve">yes</w:t>
            </w:r>
          </w:p>
        </w:tc>
      </w:tr>
      <w:tr>
        <w:tc>
          <w:tcPr/>
          <w:p>
            <w:pPr>
              <w:pStyle w:val="Compact"/>
            </w:pPr>
            <w:r>
              <w:t xml:space="preserve">0.03</w:t>
            </w:r>
          </w:p>
        </w:tc>
        <w:tc>
          <w:tcPr/>
          <w:p>
            <w:pPr>
              <w:pStyle w:val="Compact"/>
            </w:pPr>
            <w:r>
              <w:t xml:space="preserve">0</w:t>
            </w:r>
          </w:p>
        </w:tc>
        <w:tc>
          <w:tcPr/>
          <w:p>
            <w:pPr>
              <w:pStyle w:val="Compact"/>
            </w:pPr>
            <w:r>
              <w:t xml:space="preserve">0.0093 [0.0017, 0.0337]</w:t>
            </w:r>
          </w:p>
        </w:tc>
        <w:tc>
          <w:tcPr/>
          <w:p>
            <w:pPr>
              <w:pStyle w:val="Compact"/>
            </w:pPr>
            <w:r>
              <w:t xml:space="preserve">40%</w:t>
            </w:r>
          </w:p>
        </w:tc>
        <w:tc>
          <w:tcPr/>
          <w:p>
            <w:pPr>
              <w:pStyle w:val="Compact"/>
            </w:pPr>
            <w:r>
              <w:t xml:space="preserve">+7.6 [-0.3, +20.5]</w:t>
            </w:r>
          </w:p>
        </w:tc>
        <w:tc>
          <w:tcPr/>
          <w:p>
            <w:pPr>
              <w:pStyle w:val="Compact"/>
            </w:pPr>
            <w:r>
              <w:t xml:space="preserve">34%</w:t>
            </w:r>
          </w:p>
        </w:tc>
        <w:tc>
          <w:tcPr/>
          <w:p>
            <w:pPr>
              <w:pStyle w:val="Compact"/>
            </w:pPr>
            <w:r>
              <w:t xml:space="preserve">yes</w:t>
            </w:r>
          </w:p>
        </w:tc>
      </w:tr>
      <w:tr>
        <w:tc>
          <w:tcPr/>
          <w:p>
            <w:pPr>
              <w:pStyle w:val="Compact"/>
            </w:pPr>
            <w:r>
              <w:t xml:space="preserve">0.03</w:t>
            </w:r>
          </w:p>
        </w:tc>
        <w:tc>
          <w:tcPr/>
          <w:p>
            <w:pPr>
              <w:pStyle w:val="Compact"/>
            </w:pPr>
            <w:r>
              <w:t xml:space="preserve">0.2</w:t>
            </w:r>
          </w:p>
        </w:tc>
        <w:tc>
          <w:tcPr/>
          <w:p>
            <w:pPr>
              <w:pStyle w:val="Compact"/>
            </w:pPr>
            <w:r>
              <w:t xml:space="preserve">0.0265 [0.0021, 0.1916]</w:t>
            </w:r>
          </w:p>
        </w:tc>
        <w:tc>
          <w:tcPr/>
          <w:p>
            <w:pPr>
              <w:pStyle w:val="Compact"/>
            </w:pPr>
            <w:r>
              <w:t xml:space="preserve">67%</w:t>
            </w:r>
          </w:p>
        </w:tc>
        <w:tc>
          <w:tcPr/>
          <w:p>
            <w:pPr>
              <w:pStyle w:val="Compact"/>
            </w:pPr>
            <w:r>
              <w:t xml:space="preserve">+19.0 [-0.1, +77.1]</w:t>
            </w:r>
          </w:p>
        </w:tc>
        <w:tc>
          <w:tcPr/>
          <w:p>
            <w:pPr>
              <w:pStyle w:val="Compact"/>
            </w:pPr>
            <w:r>
              <w:t xml:space="preserve">65%</w:t>
            </w:r>
          </w:p>
        </w:tc>
        <w:tc>
          <w:tcPr/>
          <w:p>
            <w:pPr>
              <w:pStyle w:val="Compact"/>
            </w:pPr>
            <w:r>
              <w:t xml:space="preserve">yes</w:t>
            </w:r>
          </w:p>
        </w:tc>
      </w:tr>
      <w:tr>
        <w:tc>
          <w:tcPr/>
          <w:p>
            <w:pPr>
              <w:pStyle w:val="Compact"/>
            </w:pPr>
            <w:r>
              <w:t xml:space="preserve">any</w:t>
            </w:r>
          </w:p>
        </w:tc>
        <w:tc>
          <w:tcPr/>
          <w:p>
            <w:pPr>
              <w:pStyle w:val="Compact"/>
            </w:pPr>
            <w:r>
              <w:t xml:space="preserve">0.3</w:t>
            </w:r>
          </w:p>
        </w:tc>
        <w:tc>
          <w:tcPr/>
          <w:p>
            <w:pPr>
              <w:pStyle w:val="Compact"/>
            </w:pPr>
            <w:r>
              <w:t xml:space="preserve">0.0116 to 0.0607</w:t>
            </w:r>
          </w:p>
        </w:tc>
        <w:tc>
          <w:tcPr/>
          <w:p>
            <w:pPr>
              <w:pStyle w:val="Compact"/>
            </w:pPr>
            <w:r>
              <w:t xml:space="preserve">52 to 80%</w:t>
            </w:r>
          </w:p>
        </w:tc>
        <w:tc>
          <w:tcPr/>
          <w:p>
            <w:pPr>
              <w:pStyle w:val="Compact"/>
            </w:pPr>
            <w:r>
              <w:t xml:space="preserve">+6.3 to +34.8</w:t>
            </w:r>
          </w:p>
        </w:tc>
        <w:tc>
          <w:tcPr/>
          <w:p>
            <w:pPr>
              <w:pStyle w:val="Compact"/>
            </w:pPr>
            <w:r>
              <w:t xml:space="preserve">33 to 79%</w:t>
            </w:r>
          </w:p>
        </w:tc>
        <w:tc>
          <w:tcPr/>
          <w:p>
            <w:pPr>
              <w:pStyle w:val="Compact"/>
            </w:pPr>
            <w:r>
              <w:t xml:space="preserve">no</w:t>
            </w:r>
          </w:p>
        </w:tc>
      </w:tr>
    </w:tbl>
    <w:p>
      <w:pPr>
        <w:pStyle w:val="BodyText"/>
      </w:pPr>
      <w:r>
        <w:t xml:space="preserve">The full grid is in</w:t>
      </w:r>
      <w:r>
        <w:t xml:space="preserve"> </w:t>
      </w:r>
      <w:r>
        <w:rPr>
          <w:rStyle w:val="VerbatimChar"/>
        </w:rPr>
        <w:t xml:space="preserve">output/findings/phases_as_groups.md</w:t>
      </w:r>
      <w:r>
        <w:t xml:space="preserve">. Without any boundary, copying across distance rarely produces the observed between-phase</w:t>
      </w:r>
      <w:r>
        <w:t xml:space="preserve"> </w:t>
      </w:r>
      <m:oMath>
        <m:sSub>
          <m:e>
            <m:r>
              <m:t>F</m:t>
            </m:r>
          </m:e>
          <m:sub>
            <m:r>
              <m:t>S</m:t>
            </m:r>
            <m:r>
              <m:t>T</m:t>
            </m:r>
          </m:sub>
        </m:sSub>
      </m:oMath>
      <w:r>
        <w:t xml:space="preserve"> </w:t>
      </w:r>
      <w:r>
        <w:t xml:space="preserve">(4 percent of runs), and produces the observed boundary excess in only 1 of 300 runs. At this mixing rate, a copying boundary does move both statistics: cutting copying across the phase lines to 3 percent of its strength lowers the mean share of each site’s between-site copying that crosses a phase line from 0.24 to 0.05, and raises the share of runs reaching the observed values to 40 and 34 percent. Local innovation, with or without a copying boundary, moves them as well.</w:t>
      </w:r>
    </w:p>
    <w:p>
      <w:pPr>
        <w:pStyle w:val="BodyText"/>
      </w:pPr>
      <w:r>
        <w:t xml:space="preserve">We summarize the grid with a posterior over its 16 settings, estimated by approximate Bayesian computation. Every setting is treated as equally likely beforehand, the 5 percent of all 4,800 runs whose six standardized summaries lie closest to the record’s are kept, and a setting’s posterior probability is its share of the runs kept. The prior places three quarters of its mass on some copying boundary, which leans toward the groups hypothesis, and three quarters on some local innovation. The posterior probability of a copying boundary is 0.79, and of local innovation 0.65. Across acceptance rates of 1, 2, 5, and 10 percent, and with the summaries restricted to the between-phase</w:t>
      </w:r>
      <w:r>
        <w:t xml:space="preserve"> </w:t>
      </w:r>
      <m:oMath>
        <m:sSub>
          <m:e>
            <m:r>
              <m:t>F</m:t>
            </m:r>
          </m:e>
          <m:sub>
            <m:r>
              <m:t>S</m:t>
            </m:r>
            <m:r>
              <m:t>T</m:t>
            </m:r>
          </m:sub>
        </m:sSub>
      </m:oMath>
      <w:r>
        <w:t xml:space="preserve"> </w:t>
      </w:r>
      <w:r>
        <w:t xml:space="preserve">and the boundary excess, the first runs from 0.75 to 0.83 and the second from 0.65 to 0.73. To see whether the design could detect a boundary, we drew 40 runs from each of four settings with a boundary built in (copying factor 0.1 or 0.03, local innovation 0 or 0.2) and passed each through the same procedure, leaving the run itself out of the pool it was compared with. The median posterior probability of a boundary was 0.81 to 0.95, against 0.66 for runs from the no-boundary setting. The observed 0.79 lies just below the with-boundary range and above the no-boundary value: the record leans slightly toward a copying boundary without resolving it, and the copying model neither requires nor excludes one. The lean comes from dividing this map, not from the phase lines in particular: with the phases replaced by three divisions with their group sizes around random centers (adjusted Rand index with the phases 0.40 to 0.41) and the whole grid and posterior rerun, the posterior probability of a copying boundary is 0.87, 0.78, and 0.92, and of local innovation 0.75, 0.68, and 0.70 (</w:t>
      </w:r>
      <w:r>
        <w:rPr>
          <w:rStyle w:val="VerbatimChar"/>
        </w:rPr>
        <w:t xml:space="preserve">analyses/90_placebo_divisions.py</w:t>
      </w:r>
      <w:r>
        <w:t xml:space="preserve">). Local innovation at 30 percent is least favored (posterior 0.18), and at that setting the diversity match is broken.</w:t>
      </w:r>
    </w:p>
    <w:p>
      <w:pPr>
        <w:pStyle w:val="BodyText"/>
      </w:pPr>
      <w:r>
        <w:t xml:space="preserve">The same grid was scored on the division of the basin into the Parkin phase and the rest, which is identical to the two spatial clusters. The observed Parkin-versus-rest</w:t>
      </w:r>
      <w:r>
        <w:t xml:space="preserve"> </w:t>
      </w:r>
      <m:oMath>
        <m:sSub>
          <m:e>
            <m:r>
              <m:t>F</m:t>
            </m:r>
          </m:e>
          <m:sub>
            <m:r>
              <m:t>S</m:t>
            </m:r>
            <m:r>
              <m:t>T</m:t>
            </m:r>
          </m:sub>
        </m:sSub>
      </m:oMath>
      <w:r>
        <w:t xml:space="preserve"> </w:t>
      </w:r>
      <w:r>
        <w:t xml:space="preserve">is 0.0062 and the boundary excess at the Parkin line +13.7. With neither a copying boundary nor local innovation, 12 percent of runs reach the</w:t>
      </w:r>
      <w:r>
        <w:t xml:space="preserve"> </w:t>
      </w:r>
      <m:oMath>
        <m:sSub>
          <m:e>
            <m:r>
              <m:t>F</m:t>
            </m:r>
          </m:e>
          <m:sub>
            <m:r>
              <m:t>S</m:t>
            </m:r>
            <m:r>
              <m:t>T</m:t>
            </m:r>
          </m:sub>
        </m:sSub>
      </m:oMath>
      <w:r>
        <w:t xml:space="preserve"> </w:t>
      </w:r>
      <w:r>
        <w:t xml:space="preserve">(median 0.0019, 95 percent range 0.0002 to 0.0110) and none reach the boundary excess (median +0.5, range -6.5 to +7.5). With copying across the Parkin phase’s edge cut to 3 percent, 45 percent of runs reach the</w:t>
      </w:r>
      <w:r>
        <w:t xml:space="preserve"> </w:t>
      </w:r>
      <m:oMath>
        <m:sSub>
          <m:e>
            <m:r>
              <m:t>F</m:t>
            </m:r>
          </m:e>
          <m:sub>
            <m:r>
              <m:t>S</m:t>
            </m:r>
            <m:r>
              <m:t>T</m:t>
            </m:r>
          </m:sub>
        </m:sSub>
      </m:oMath>
      <w:r>
        <w:t xml:space="preserve"> </w:t>
      </w:r>
      <w:r>
        <w:t xml:space="preserve">and 11 percent the boundary excess.</w:t>
      </w:r>
    </w:p>
    <w:bookmarkStart w:id="145" w:name="the-phase-lines-against-other-lines"/>
    <w:p>
      <w:pPr>
        <w:pStyle w:val="Heading3"/>
      </w:pPr>
      <w:r>
        <w:t xml:space="preserve">The phase lines against other lines</w:t>
      </w:r>
    </w:p>
    <w:p>
      <w:pPr>
        <w:pStyle w:val="FirstParagraph"/>
      </w:pPr>
      <w:r>
        <w:t xml:space="preserve">Neither step in similarity is specific to the lines where it was measured. With each assemblage’s class proportions drawn from Dirichlet(counts + 1/2), 500 times, the excess at the phase lines has a posterior median of +9.4 (95 percent credible interval +4.6 to +13.9), against medians of +6.9 for same-size divisions around random centers and +4.6 for compact ones, and the posterior probability that it is larger at the phase lines is 0.59 and 0.61 (</w:t>
      </w:r>
      <w:r>
        <w:rPr>
          <w:rStyle w:val="VerbatimChar"/>
        </w:rPr>
        <w:t xml:space="preserve">analyses/86_partition_posterior.py</w:t>
      </w:r>
      <w:r>
        <w:t xml:space="preserve">). At the Parkin line it is +13.0 (+7.8 to +17.6), against +10.7 around random centers and +15.1 for compact divisions, with probabilities of 0.53 and 0.05. Draws of the same kind (2,000 of them) give the between-phase</w:t>
      </w:r>
      <w:r>
        <w:t xml:space="preserve"> </w:t>
      </w:r>
      <m:oMath>
        <m:sSub>
          <m:e>
            <m:r>
              <m:t>F</m:t>
            </m:r>
          </m:e>
          <m:sub>
            <m:r>
              <m:t>S</m:t>
            </m:r>
            <m:r>
              <m:t>T</m:t>
            </m:r>
          </m:sub>
        </m:sSub>
      </m:oMath>
      <w:r>
        <w:t xml:space="preserve"> </w:t>
      </w:r>
      <w:r>
        <w:t xml:space="preserve">a posterior median of 0.0109 (0.0091 to 0.0128), against 0.0145 for divisions around random centers and 0.0165 for compact ones, with posterior probabilities of 0.20 and 0.05 that the phase lines separate the assemblages better, and the Parkin-versus-rest</w:t>
      </w:r>
      <w:r>
        <w:t xml:space="preserve"> </w:t>
      </w:r>
      <m:oMath>
        <m:sSub>
          <m:e>
            <m:r>
              <m:t>F</m:t>
            </m:r>
          </m:e>
          <m:sub>
            <m:r>
              <m:t>S</m:t>
            </m:r>
            <m:r>
              <m:t>T</m:t>
            </m:r>
          </m:sub>
        </m:sSub>
      </m:oMath>
      <w:r>
        <w:t xml:space="preserve"> </w:t>
      </w:r>
      <w:r>
        <w:t xml:space="preserve">a median of 0.0061 (0.0051 to 0.0074), against 0.0064 and 0.0076, with probabilities of 0.27 and 0.00025 (10 favorable comparisons among 40,000: 2,000 draws, 20 compact divisions each).</w:t>
      </w:r>
    </w:p>
    <w:bookmarkEnd w:id="145"/>
    <w:bookmarkStart w:id="149" w:name="X5cbbc4b0d69b163fe2184679479e2bffd30111e"/>
    <w:p>
      <w:pPr>
        <w:pStyle w:val="Heading3"/>
      </w:pPr>
      <w:r>
        <w:t xml:space="preserve">Could the comparison detect a copying boundary?</w:t>
      </w:r>
    </w:p>
    <w:p>
      <w:pPr>
        <w:pStyle w:val="FirstParagraph"/>
      </w:pPr>
      <w:r>
        <w:t xml:space="preserve">We rebuilt simulated records of the grid above with the same seeds, 100 per setting, and asked of each the question asked of the real record: what share of 50 same-size alternative divisions of each kind do the tested lines beat (</w:t>
      </w:r>
      <w:r>
        <w:rPr>
          <w:rStyle w:val="VerbatimChar"/>
        </w:rPr>
        <w:t xml:space="preserve">analyses/89_partition_power.py</w:t>
      </w:r>
      <w:r>
        <w:t xml:space="preserve">)? Entries are the median share over simulated 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phases:</w:t>
            </w:r>
            <w:r>
              <w:t xml:space="preserve"> </w:t>
            </w:r>
            <m:oMath>
              <m:sSub>
                <m:e>
                  <m:r>
                    <m:t>F</m:t>
                  </m:r>
                </m:e>
                <m:sub>
                  <m:r>
                    <m:t>S</m:t>
                  </m:r>
                  <m:r>
                    <m:t>T</m:t>
                  </m:r>
                </m:sub>
              </m:sSub>
            </m:oMath>
            <w:r>
              <w:t xml:space="preserve">, vs random-center / compact</w:t>
            </w:r>
          </w:p>
        </w:tc>
        <w:tc>
          <w:tcPr/>
          <w:p>
            <w:pPr>
              <w:pStyle w:val="Compact"/>
            </w:pPr>
            <w:r>
              <w:t xml:space="preserve">phases: boundary excess, vs random-center / compact</w:t>
            </w:r>
          </w:p>
        </w:tc>
        <w:tc>
          <w:tcPr/>
          <w:p>
            <w:pPr>
              <w:pStyle w:val="Compact"/>
            </w:pPr>
            <w:r>
              <w:t xml:space="preserve">Parkin vs rest:</w:t>
            </w:r>
            <w:r>
              <w:t xml:space="preserve"> </w:t>
            </w:r>
            <m:oMath>
              <m:sSub>
                <m:e>
                  <m:r>
                    <m:t>F</m:t>
                  </m:r>
                </m:e>
                <m:sub>
                  <m:r>
                    <m:t>S</m:t>
                  </m:r>
                  <m:r>
                    <m:t>T</m:t>
                  </m:r>
                </m:sub>
              </m:sSub>
            </m:oMath>
            <w:r>
              <w:t xml:space="preserve">, vs random-center / compact</w:t>
            </w:r>
          </w:p>
        </w:tc>
      </w:tr>
      <w:tr>
        <w:tc>
          <w:tcPr/>
          <w:p>
            <w:pPr>
              <w:pStyle w:val="Compact"/>
            </w:pPr>
            <w:r>
              <w:t xml:space="preserve">1</w:t>
            </w:r>
          </w:p>
        </w:tc>
        <w:tc>
          <w:tcPr/>
          <w:p>
            <w:pPr>
              <w:pStyle w:val="Compact"/>
            </w:pPr>
            <w:r>
              <w:t xml:space="preserve">0</w:t>
            </w:r>
          </w:p>
        </w:tc>
        <w:tc>
          <w:tcPr/>
          <w:p>
            <w:pPr>
              <w:pStyle w:val="Compact"/>
            </w:pPr>
            <w:r>
              <w:t xml:space="preserve">0.62 / 0.41</w:t>
            </w:r>
          </w:p>
        </w:tc>
        <w:tc>
          <w:tcPr/>
          <w:p>
            <w:pPr>
              <w:pStyle w:val="Compact"/>
            </w:pPr>
            <w:r>
              <w:t xml:space="preserve">0.56 / 0.27</w:t>
            </w:r>
          </w:p>
        </w:tc>
        <w:tc>
          <w:tcPr/>
          <w:p>
            <w:pPr>
              <w:pStyle w:val="Compact"/>
            </w:pPr>
            <w:r>
              <w:t xml:space="preserve">0.64 / 0.62</w:t>
            </w:r>
          </w:p>
        </w:tc>
      </w:tr>
      <w:tr>
        <w:tc>
          <w:tcPr/>
          <w:p>
            <w:pPr>
              <w:pStyle w:val="Compact"/>
            </w:pPr>
            <w:r>
              <w:t xml:space="preserve">0.1</w:t>
            </w:r>
          </w:p>
        </w:tc>
        <w:tc>
          <w:tcPr/>
          <w:p>
            <w:pPr>
              <w:pStyle w:val="Compact"/>
            </w:pPr>
            <w:r>
              <w:t xml:space="preserve">0</w:t>
            </w:r>
          </w:p>
        </w:tc>
        <w:tc>
          <w:tcPr/>
          <w:p>
            <w:pPr>
              <w:pStyle w:val="Compact"/>
            </w:pPr>
            <w:r>
              <w:t xml:space="preserve">0.80 / 0.58</w:t>
            </w:r>
          </w:p>
        </w:tc>
        <w:tc>
          <w:tcPr/>
          <w:p>
            <w:pPr>
              <w:pStyle w:val="Compact"/>
            </w:pPr>
            <w:r>
              <w:t xml:space="preserve">0.76 / 0.58</w:t>
            </w:r>
          </w:p>
        </w:tc>
        <w:tc>
          <w:tcPr/>
          <w:p>
            <w:pPr>
              <w:pStyle w:val="Compact"/>
            </w:pPr>
            <w:r>
              <w:t xml:space="preserve">0.72 / 0.62</w:t>
            </w:r>
          </w:p>
        </w:tc>
      </w:tr>
      <w:tr>
        <w:tc>
          <w:tcPr/>
          <w:p>
            <w:pPr>
              <w:pStyle w:val="Compact"/>
            </w:pPr>
            <w:r>
              <w:t xml:space="preserve">0.03</w:t>
            </w:r>
          </w:p>
        </w:tc>
        <w:tc>
          <w:tcPr/>
          <w:p>
            <w:pPr>
              <w:pStyle w:val="Compact"/>
            </w:pPr>
            <w:r>
              <w:t xml:space="preserve">0</w:t>
            </w:r>
          </w:p>
        </w:tc>
        <w:tc>
          <w:tcPr/>
          <w:p>
            <w:pPr>
              <w:pStyle w:val="Compact"/>
            </w:pPr>
            <w:r>
              <w:t xml:space="preserve">0.90 / 0.74</w:t>
            </w:r>
          </w:p>
        </w:tc>
        <w:tc>
          <w:tcPr/>
          <w:p>
            <w:pPr>
              <w:pStyle w:val="Compact"/>
            </w:pPr>
            <w:r>
              <w:t xml:space="preserve">0.90 / 0.78</w:t>
            </w:r>
          </w:p>
        </w:tc>
        <w:tc>
          <w:tcPr/>
          <w:p>
            <w:pPr>
              <w:pStyle w:val="Compact"/>
            </w:pPr>
            <w:r>
              <w:t xml:space="preserve">0.72 / 0.62</w:t>
            </w:r>
          </w:p>
        </w:tc>
      </w:tr>
      <w:tr>
        <w:tc>
          <w:tcPr/>
          <w:p>
            <w:pPr>
              <w:pStyle w:val="Compact"/>
            </w:pPr>
            <w:r>
              <w:t xml:space="preserve">1</w:t>
            </w:r>
          </w:p>
        </w:tc>
        <w:tc>
          <w:tcPr/>
          <w:p>
            <w:pPr>
              <w:pStyle w:val="Compact"/>
            </w:pPr>
            <w:r>
              <w:t xml:space="preserve">0.2</w:t>
            </w:r>
          </w:p>
        </w:tc>
        <w:tc>
          <w:tcPr/>
          <w:p>
            <w:pPr>
              <w:pStyle w:val="Compact"/>
            </w:pPr>
            <w:r>
              <w:t xml:space="preserve">0.76 / 0.58</w:t>
            </w:r>
          </w:p>
        </w:tc>
        <w:tc>
          <w:tcPr/>
          <w:p>
            <w:pPr>
              <w:pStyle w:val="Compact"/>
            </w:pPr>
            <w:r>
              <w:t xml:space="preserve">0.72 / 0.64</w:t>
            </w:r>
          </w:p>
        </w:tc>
        <w:tc>
          <w:tcPr/>
          <w:p>
            <w:pPr>
              <w:pStyle w:val="Compact"/>
            </w:pPr>
            <w:r>
              <w:t xml:space="preserve">0.72 / 0.62</w:t>
            </w:r>
          </w:p>
        </w:tc>
      </w:tr>
      <w:tr>
        <w:tc>
          <w:tcPr/>
          <w:p>
            <w:pPr>
              <w:pStyle w:val="Compact"/>
            </w:pPr>
            <w:r>
              <w:t xml:space="preserve">0.03</w:t>
            </w:r>
          </w:p>
        </w:tc>
        <w:tc>
          <w:tcPr/>
          <w:p>
            <w:pPr>
              <w:pStyle w:val="Compact"/>
            </w:pPr>
            <w:r>
              <w:t xml:space="preserve">0.2</w:t>
            </w:r>
          </w:p>
        </w:tc>
        <w:tc>
          <w:tcPr/>
          <w:p>
            <w:pPr>
              <w:pStyle w:val="Compact"/>
            </w:pPr>
            <w:r>
              <w:t xml:space="preserve">0.94 / 0.80</w:t>
            </w:r>
          </w:p>
        </w:tc>
        <w:tc>
          <w:tcPr/>
          <w:p>
            <w:pPr>
              <w:pStyle w:val="Compact"/>
            </w:pPr>
            <w:r>
              <w:t xml:space="preserve">0.94 / 0.83</w:t>
            </w:r>
          </w:p>
        </w:tc>
        <w:tc>
          <w:tcPr/>
          <w:p>
            <w:pPr>
              <w:pStyle w:val="Compact"/>
            </w:pPr>
            <w:r>
              <w:t xml:space="preserve">0.74 / 0.62</w:t>
            </w:r>
          </w:p>
        </w:tc>
      </w:tr>
      <w:tr>
        <w:tc>
          <w:tcPr/>
          <w:p>
            <w:pPr>
              <w:pStyle w:val="Compact"/>
            </w:pPr>
            <w:r>
              <w:t xml:space="preserve">observed record</w:t>
            </w:r>
          </w:p>
        </w:tc>
        <w:tc>
          <w:tcPr/>
          <w:p>
            <w:pPr>
              <w:pStyle w:val="Compact"/>
            </w:pPr>
          </w:p>
        </w:tc>
        <w:tc>
          <w:tcPr/>
          <w:p>
            <w:pPr>
              <w:pStyle w:val="Compact"/>
            </w:pPr>
            <w:r>
              <w:t xml:space="preserve">0.30 / 0.04</w:t>
            </w:r>
          </w:p>
        </w:tc>
        <w:tc>
          <w:tcPr/>
          <w:p>
            <w:pPr>
              <w:pStyle w:val="Compact"/>
            </w:pPr>
            <w:r>
              <w:t xml:space="preserve">0.72 / 0.68</w:t>
            </w:r>
          </w:p>
        </w:tc>
        <w:tc>
          <w:tcPr/>
          <w:p>
            <w:pPr>
              <w:pStyle w:val="Compact"/>
            </w:pPr>
            <w:r>
              <w:t xml:space="preserve">0.28 / 0.00</w:t>
            </w:r>
          </w:p>
        </w:tc>
      </w:tr>
    </w:tbl>
    <w:p>
      <w:pPr>
        <w:pStyle w:val="BodyText"/>
      </w:pPr>
      <w:r>
        <w:t xml:space="preserve">For the three phases the comparison responds: restricted copying at the lines raises the median share of alternatives they beat. Medians alone do not show how strongly the real score weighs against a boundary, so we kept every simulated record (</w:t>
      </w:r>
      <w:r>
        <w:rPr>
          <w:rStyle w:val="VerbatimChar"/>
        </w:rPr>
        <w:t xml:space="preserve">output/findings/partition_power_records.csv</w:t>
      </w:r>
      <w:r>
        <w:t xml:space="preserve">), and Figure S8 shows the full distributions. They overlap widely. Against random-center divisions, a score as low as the real 0.30 occurs in 5 percent of records with no restriction, 2 percent at a copying factor of 0.1, and 1 percent at 0.03; against compact divisions, a score as low as 0.04 occurs in 13, 14, and 4 percent. These are counts out of 100 records, so the implied ratios between settings are rough.</w:t>
      </w:r>
    </w:p>
    <w:p>
      <w:pPr>
        <w:pStyle w:val="BodyText"/>
      </w:pPr>
      <w:r>
        <w:t xml:space="preserve">We reran the full grid at two additional diversity-matched combinations from Table S6 (10,000 learners, innovation 0.0005, mixing 0.002; and 2,000, 0.002, 0.005). There, the strongest restriction raises the median random-center share to 0.82 and 0.67, up from 0.63 and 0.60 without a restriction, and the real score occurs in 3 and 9 percent of restricted records versus 7 and 12 percent of unrestricted ones (</w:t>
      </w:r>
      <w:r>
        <w:rPr>
          <w:rStyle w:val="VerbatimChar"/>
        </w:rPr>
        <w:t xml:space="preserve">output/findings/partition_power.md</w:t>
      </w:r>
      <w:r>
        <w:t xml:space="preserve">).</w:t>
      </w:r>
    </w:p>
    <w:p>
      <w:pPr>
        <w:pStyle w:val="BodyText"/>
      </w:pPr>
      <w:r>
        <w:t xml:space="preserve">The real score lies in the lower tail in every setting, including the unrestricted one. It weighs moderately against a strong restriction at the phase lines, depending on the combination, and not against a weak one; its position below even the unrestricted simulations also leaves open that the copying model misdescribes how the assemblages vary. The real scores are direct values, which is the right comparison here because the simulated records are drawn at the real sherd counts and carry the same sampling noise; the posterior probabilities of analysis 86 (0.20 and 0.05) answer the corresponding question against a larger set of alternatives with the count uncertainty carried through, and give the same ordering.</w:t>
      </w:r>
    </w:p>
    <w:p>
      <w:pPr>
        <w:pStyle w:val="BodyText"/>
      </w:pPr>
      <w:r>
        <w:t xml:space="preserve">On the boundary, the real lines sit above the no-restriction median and within the range of the restricted rows, so that measure is ambiguous. For the single Parkin line, the comparison has little power, because the compact two-group alternatives are few and similar (the shares barely move), and a score as low as the real one occurs in 8 to 16 percent of records at the calibrated combination whether or not copying is restricted, so it cannot exclude restricted copying at the edge of the Parkin phase.</w:t>
      </w:r>
    </w:p>
    <w:p>
      <w:pPr>
        <w:pStyle w:val="CaptionedFigure"/>
      </w:pPr>
      <w:r>
        <w:drawing>
          <wp:inline>
            <wp:extent cx="5334000" cy="3954251"/>
            <wp:effectExtent b="0" l="0" r="0" t="0"/>
            <wp:docPr descr="Figure S8. How strongly the phase-line comparison weighs against a copying boundary. Cumulative distributions, over 100 simulated records per setting at the calibrated combination, of the share of same-size alternative divisions the phase lines beat: on between-group cultural F_{ST} against divisions around random centers (A) and compact divisions (B), and on the boundary excess against the same two kinds (C, D). Curves are settings of the phases-as-groups grid (copying factor at the phase lines, and share of classes reordered in local innovation). The dashed line is the real record’s direct score. A restriction shifts the curves to the right, but they overlap widely, and the real F_{ST} scores fall in the lower tail of every setting (analyses/89_partition_power.py)." title="" id="147" name="Picture"/>
            <a:graphic>
              <a:graphicData uri="http://schemas.openxmlformats.org/drawingml/2006/picture">
                <pic:pic>
                  <pic:nvPicPr>
                    <pic:cNvPr descr="../../figures/figS12_partition_power.png" id="148" name="Picture"/>
                    <pic:cNvPicPr>
                      <a:picLocks noChangeArrowheads="1" noChangeAspect="1"/>
                    </pic:cNvPicPr>
                  </pic:nvPicPr>
                  <pic:blipFill>
                    <a:blip r:embed="rId146"/>
                    <a:stretch>
                      <a:fillRect/>
                    </a:stretch>
                  </pic:blipFill>
                  <pic:spPr bwMode="auto">
                    <a:xfrm>
                      <a:off x="0" y="0"/>
                      <a:ext cx="5334000" cy="39542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How strongly the phase-line comparison weighs against a copying boundary. Cumulative distributions, over 100 simulated records per setting at the calibrated combination, of the share of same-size alternative divisions the phase lines beat: on between-group cultural</w:t>
      </w:r>
      <w:r>
        <w:t xml:space="preserve"> </w:t>
      </w:r>
      <m:oMath>
        <m:sSub>
          <m:e>
            <m:r>
              <m:t>F</m:t>
            </m:r>
          </m:e>
          <m:sub>
            <m:r>
              <m:t>S</m:t>
            </m:r>
            <m:r>
              <m:t>T</m:t>
            </m:r>
          </m:sub>
        </m:sSub>
      </m:oMath>
      <w:r>
        <w:t xml:space="preserve"> </w:t>
      </w:r>
      <w:r>
        <w:t xml:space="preserve">against divisions around random centers (A) and compact divisions (B), and on the boundary excess against the same two kinds (C, D). Curves are settings of the phases-as-groups grid (copying factor at the phase lines, and share of classes reordered in local innovation). The dashed line is the real record’s direct score. A restriction shifts the curves to the right, but they overlap widely, and the real</w:t>
      </w:r>
      <w:r>
        <w:t xml:space="preserve"> </w:t>
      </w:r>
      <m:oMath>
        <m:sSub>
          <m:e>
            <m:r>
              <m:t>F</m:t>
            </m:r>
          </m:e>
          <m:sub>
            <m:r>
              <m:t>S</m:t>
            </m:r>
            <m:r>
              <m:t>T</m:t>
            </m:r>
          </m:sub>
        </m:sSub>
      </m:oMath>
      <w:r>
        <w:t xml:space="preserve"> </w:t>
      </w:r>
      <w:r>
        <w:t xml:space="preserve">scores fall in the lower tail of every setting (</w:t>
      </w:r>
      <w:r>
        <w:rPr>
          <w:rStyle w:val="VerbatimChar"/>
        </w:rPr>
        <w:t xml:space="preserve">analyses/89_partition_power.py</w:t>
      </w:r>
      <w:r>
        <w:t xml:space="preserve">).</w:t>
      </w:r>
    </w:p>
    <w:bookmarkEnd w:id="149"/>
    <w:bookmarkEnd w:id="150"/>
    <w:bookmarkStart w:id="151" w:name="X0f9ff4b1deae87e2db07a2cfaddfa7ea8426cf9"/>
    <w:p>
      <w:pPr>
        <w:pStyle w:val="Heading2"/>
      </w:pPr>
      <w:r>
        <w:t xml:space="preserve">The map of compositional change: smoothing scale and sensitivity</w:t>
      </w:r>
    </w:p>
    <w:p>
      <w:pPr>
        <w:pStyle w:val="FirstParagraph"/>
      </w:pPr>
      <w:r>
        <w:t xml:space="preserve">Figure 4 maps how fast assemblage composition changes from place to place, and the main text asks whether the reconstructed phase boundaries run where it changes fastest. This section describes the map and two checks on that comparison. The rate of change at each point is estimated by regressing the ten class proportions on position, with nearby assemblages weighted more heavily than distant ones (Gaussian weights). We then compare the median rate along the reconstructed phase boundaries with the median along the boundaries of 200 same-size divisions around random centers, each turned into territories the same way, by assigning every point to its nearest assemblage and merging by group (</w:t>
      </w:r>
      <w:r>
        <w:rPr>
          <w:rStyle w:val="VerbatimChar"/>
        </w:rPr>
        <w:t xml:space="preserve">analyses/75_groupness_surface.py</w:t>
      </w:r>
      <w:r>
        <w:t xml:space="preserve">). This study reconstructs the boundaries from Mainfort’s</w:t>
      </w:r>
      <w:r>
        <w:t xml:space="preserve"> </w:t>
      </w:r>
      <w:r>
        <w:t xml:space="preserve">(1996)</w:t>
      </w:r>
      <w:r>
        <w:t xml:space="preserve"> </w:t>
      </w:r>
      <w:r>
        <w:t xml:space="preserve">assignments, not lines drawn by the original authors. Two checks ask how much weight the comparison can bear (</w:t>
      </w:r>
      <w:r>
        <w:rPr>
          <w:rStyle w:val="VerbatimChar"/>
        </w:rPr>
        <w:t xml:space="preserve">analyses/91_turnover_sensitivity.py</w:t>
      </w:r>
      <w:r>
        <w:t xml:space="preserve">,</w:t>
      </w:r>
      <w:r>
        <w:t xml:space="preserve"> </w:t>
      </w:r>
      <w:r>
        <w:rPr>
          <w:rStyle w:val="VerbatimChar"/>
        </w:rPr>
        <w:t xml:space="preserve">output/findings/turnover_sensitivity.md</w:t>
      </w:r>
      <w:r>
        <w:t xml:space="preserve">, 160 by 160 grid, the same 200 alternatives).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bandwidth (km)</w:t>
            </w:r>
          </w:p>
        </w:tc>
        <w:tc>
          <w:tcPr/>
          <w:p>
            <w:pPr>
              <w:pStyle w:val="Compact"/>
              <w:jc w:val="right"/>
            </w:pPr>
            <w:r>
              <w:t xml:space="preserve">median rate along the phase boundaries (per km)</w:t>
            </w:r>
          </w:p>
        </w:tc>
        <w:tc>
          <w:tcPr/>
          <w:p>
            <w:pPr>
              <w:pStyle w:val="Compact"/>
              <w:jc w:val="right"/>
            </w:pPr>
            <w:r>
              <w:t xml:space="preserve">median over alternatives</w:t>
            </w:r>
          </w:p>
        </w:tc>
        <w:tc>
          <w:tcPr/>
          <w:p>
            <w:pPr>
              <w:pStyle w:val="Compact"/>
              <w:jc w:val="right"/>
            </w:pPr>
            <w:r>
              <w:t xml:space="preserve">percentile of the phase boundaries</w:t>
            </w:r>
          </w:p>
        </w:tc>
      </w:tr>
      <w:tr>
        <w:tc>
          <w:tcPr/>
          <w:p>
            <w:pPr>
              <w:pStyle w:val="Compact"/>
              <w:jc w:val="right"/>
            </w:pPr>
            <w:r>
              <w:t xml:space="preserve">10</w:t>
            </w:r>
          </w:p>
        </w:tc>
        <w:tc>
          <w:tcPr/>
          <w:p>
            <w:pPr>
              <w:pStyle w:val="Compact"/>
              <w:jc w:val="right"/>
            </w:pPr>
            <w:r>
              <w:t xml:space="preserve">0.0162</w:t>
            </w:r>
          </w:p>
        </w:tc>
        <w:tc>
          <w:tcPr/>
          <w:p>
            <w:pPr>
              <w:pStyle w:val="Compact"/>
              <w:jc w:val="right"/>
            </w:pPr>
            <w:r>
              <w:t xml:space="preserve">0.0213</w:t>
            </w:r>
          </w:p>
        </w:tc>
        <w:tc>
          <w:tcPr/>
          <w:p>
            <w:pPr>
              <w:pStyle w:val="Compact"/>
              <w:jc w:val="right"/>
            </w:pPr>
            <w:r>
              <w:t xml:space="preserve">3</w:t>
            </w:r>
          </w:p>
        </w:tc>
      </w:tr>
      <w:tr>
        <w:tc>
          <w:tcPr/>
          <w:p>
            <w:pPr>
              <w:pStyle w:val="Compact"/>
              <w:jc w:val="right"/>
            </w:pPr>
            <w:r>
              <w:t xml:space="preserve">12.5</w:t>
            </w:r>
          </w:p>
        </w:tc>
        <w:tc>
          <w:tcPr/>
          <w:p>
            <w:pPr>
              <w:pStyle w:val="Compact"/>
              <w:jc w:val="right"/>
            </w:pPr>
            <w:r>
              <w:t xml:space="preserve">0.0123</w:t>
            </w:r>
          </w:p>
        </w:tc>
        <w:tc>
          <w:tcPr/>
          <w:p>
            <w:pPr>
              <w:pStyle w:val="Compact"/>
              <w:jc w:val="right"/>
            </w:pPr>
            <w:r>
              <w:t xml:space="preserve">0.0164</w:t>
            </w:r>
          </w:p>
        </w:tc>
        <w:tc>
          <w:tcPr/>
          <w:p>
            <w:pPr>
              <w:pStyle w:val="Compact"/>
              <w:jc w:val="right"/>
            </w:pPr>
            <w:r>
              <w:t xml:space="preserve">0</w:t>
            </w:r>
          </w:p>
        </w:tc>
      </w:tr>
      <w:tr>
        <w:tc>
          <w:tcPr/>
          <w:p>
            <w:pPr>
              <w:pStyle w:val="Compact"/>
              <w:jc w:val="right"/>
            </w:pPr>
            <w:r>
              <w:t xml:space="preserve">15</w:t>
            </w:r>
          </w:p>
        </w:tc>
        <w:tc>
          <w:tcPr/>
          <w:p>
            <w:pPr>
              <w:pStyle w:val="Compact"/>
              <w:jc w:val="right"/>
            </w:pPr>
            <w:r>
              <w:t xml:space="preserve">0.0105</w:t>
            </w:r>
          </w:p>
        </w:tc>
        <w:tc>
          <w:tcPr/>
          <w:p>
            <w:pPr>
              <w:pStyle w:val="Compact"/>
              <w:jc w:val="right"/>
            </w:pPr>
            <w:r>
              <w:t xml:space="preserve">0.0124</w:t>
            </w:r>
          </w:p>
        </w:tc>
        <w:tc>
          <w:tcPr/>
          <w:p>
            <w:pPr>
              <w:pStyle w:val="Compact"/>
              <w:jc w:val="right"/>
            </w:pPr>
            <w:r>
              <w:t xml:space="preserve">0</w:t>
            </w:r>
          </w:p>
        </w:tc>
      </w:tr>
      <w:tr>
        <w:tc>
          <w:tcPr/>
          <w:p>
            <w:pPr>
              <w:pStyle w:val="Compact"/>
              <w:jc w:val="right"/>
            </w:pPr>
            <w:r>
              <w:t xml:space="preserve">20</w:t>
            </w:r>
          </w:p>
        </w:tc>
        <w:tc>
          <w:tcPr/>
          <w:p>
            <w:pPr>
              <w:pStyle w:val="Compact"/>
              <w:jc w:val="right"/>
            </w:pPr>
            <w:r>
              <w:t xml:space="preserve">0.0094</w:t>
            </w:r>
          </w:p>
        </w:tc>
        <w:tc>
          <w:tcPr/>
          <w:p>
            <w:pPr>
              <w:pStyle w:val="Compact"/>
              <w:jc w:val="right"/>
            </w:pPr>
            <w:r>
              <w:t xml:space="preserve">0.0099</w:t>
            </w:r>
          </w:p>
        </w:tc>
        <w:tc>
          <w:tcPr/>
          <w:p>
            <w:pPr>
              <w:pStyle w:val="Compact"/>
              <w:jc w:val="right"/>
            </w:pPr>
            <w:r>
              <w:t xml:space="preserve">24</w:t>
            </w:r>
          </w:p>
        </w:tc>
      </w:tr>
      <w:tr>
        <w:tc>
          <w:tcPr/>
          <w:p>
            <w:pPr>
              <w:pStyle w:val="Compact"/>
              <w:jc w:val="right"/>
            </w:pPr>
            <w:r>
              <w:t xml:space="preserve">25</w:t>
            </w:r>
          </w:p>
        </w:tc>
        <w:tc>
          <w:tcPr/>
          <w:p>
            <w:pPr>
              <w:pStyle w:val="Compact"/>
              <w:jc w:val="right"/>
            </w:pPr>
            <w:r>
              <w:t xml:space="preserve">0.0091</w:t>
            </w:r>
          </w:p>
        </w:tc>
        <w:tc>
          <w:tcPr/>
          <w:p>
            <w:pPr>
              <w:pStyle w:val="Compact"/>
              <w:jc w:val="right"/>
            </w:pPr>
            <w:r>
              <w:t xml:space="preserve">0.0092</w:t>
            </w:r>
          </w:p>
        </w:tc>
        <w:tc>
          <w:tcPr/>
          <w:p>
            <w:pPr>
              <w:pStyle w:val="Compact"/>
              <w:jc w:val="right"/>
            </w:pPr>
            <w:r>
              <w:t xml:space="preserve">36</w:t>
            </w:r>
          </w:p>
        </w:tc>
      </w:tr>
      <w:tr>
        <w:tc>
          <w:tcPr/>
          <w:p>
            <w:pPr>
              <w:pStyle w:val="Compact"/>
              <w:jc w:val="right"/>
            </w:pPr>
            <w:r>
              <w:t xml:space="preserve">30</w:t>
            </w:r>
          </w:p>
        </w:tc>
        <w:tc>
          <w:tcPr/>
          <w:p>
            <w:pPr>
              <w:pStyle w:val="Compact"/>
              <w:jc w:val="right"/>
            </w:pPr>
            <w:r>
              <w:t xml:space="preserve">0.0090</w:t>
            </w:r>
          </w:p>
        </w:tc>
        <w:tc>
          <w:tcPr/>
          <w:p>
            <w:pPr>
              <w:pStyle w:val="Compact"/>
              <w:jc w:val="right"/>
            </w:pPr>
            <w:r>
              <w:t xml:space="preserve">0.0090</w:t>
            </w:r>
          </w:p>
        </w:tc>
        <w:tc>
          <w:tcPr/>
          <w:p>
            <w:pPr>
              <w:pStyle w:val="Compact"/>
              <w:jc w:val="right"/>
            </w:pPr>
            <w:r>
              <w:t xml:space="preserve">43</w:t>
            </w:r>
          </w:p>
        </w:tc>
      </w:tr>
    </w:tbl>
    <w:p>
      <w:pPr>
        <w:pStyle w:val="BodyText"/>
      </w:pPr>
      <w:r>
        <w:t xml:space="preserve">The reported bandwidth, 15 km, is among the scales at which the phase boundaries run through the slowest-changing areas; at 20 km and above they are unremarkable. With 28 points, scales finer than the spacing between assemblages cannot be resolved, and broader bandwidths smooth over the contrasts the narrower ones register, so no single scale is privileged.</w:t>
      </w:r>
    </w:p>
    <w:p>
      <w:pPr>
        <w:pStyle w:val="BodyText"/>
      </w:pPr>
      <w:r>
        <w:t xml:space="preserve">The second check simulates records from the phases-as-groups grid above, with analysis 84’s seeds, at the real sherd counts, and puts each through the same comparison at 15 km (100 records per setting).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percentile of the phase boundaries, 5% / 25% / 50% / 75% / 95% over records</w:t>
            </w:r>
          </w:p>
        </w:tc>
        <w:tc>
          <w:tcPr/>
          <w:p>
            <w:pPr>
              <w:pStyle w:val="Compact"/>
              <w:jc w:val="right"/>
            </w:pPr>
            <w:r>
              <w:t xml:space="preserve">records at or below the observed (0th) percentile</w:t>
            </w:r>
          </w:p>
        </w:tc>
      </w:tr>
      <w:tr>
        <w:tc>
          <w:tcPr/>
          <w:p>
            <w:pPr>
              <w:pStyle w:val="Compact"/>
            </w:pPr>
            <w:r>
              <w:t xml:space="preserve">1</w:t>
            </w:r>
          </w:p>
        </w:tc>
        <w:tc>
          <w:tcPr/>
          <w:p>
            <w:pPr>
              <w:pStyle w:val="Compact"/>
            </w:pPr>
            <w:r>
              <w:t xml:space="preserve">0</w:t>
            </w:r>
          </w:p>
        </w:tc>
        <w:tc>
          <w:tcPr/>
          <w:p>
            <w:pPr>
              <w:pStyle w:val="Compact"/>
            </w:pPr>
            <w:r>
              <w:t xml:space="preserve">1 / 8 / 20 / 48 / 88</w:t>
            </w:r>
          </w:p>
        </w:tc>
        <w:tc>
          <w:tcPr/>
          <w:p>
            <w:pPr>
              <w:pStyle w:val="Compact"/>
              <w:jc w:val="right"/>
            </w:pPr>
            <w:r>
              <w:t xml:space="preserve">5%</w:t>
            </w:r>
          </w:p>
        </w:tc>
      </w:tr>
      <w:tr>
        <w:tc>
          <w:tcPr/>
          <w:p>
            <w:pPr>
              <w:pStyle w:val="Compact"/>
            </w:pPr>
            <w:r>
              <w:t xml:space="preserve">0.1</w:t>
            </w:r>
          </w:p>
        </w:tc>
        <w:tc>
          <w:tcPr/>
          <w:p>
            <w:pPr>
              <w:pStyle w:val="Compact"/>
            </w:pPr>
            <w:r>
              <w:t xml:space="preserve">0</w:t>
            </w:r>
          </w:p>
        </w:tc>
        <w:tc>
          <w:tcPr/>
          <w:p>
            <w:pPr>
              <w:pStyle w:val="Compact"/>
            </w:pPr>
            <w:r>
              <w:t xml:space="preserve">3 / 12 / 33 / 59 / 85</w:t>
            </w:r>
          </w:p>
        </w:tc>
        <w:tc>
          <w:tcPr/>
          <w:p>
            <w:pPr>
              <w:pStyle w:val="Compact"/>
              <w:jc w:val="right"/>
            </w:pPr>
            <w:r>
              <w:t xml:space="preserve">2%</w:t>
            </w:r>
          </w:p>
        </w:tc>
      </w:tr>
      <w:tr>
        <w:tc>
          <w:tcPr/>
          <w:p>
            <w:pPr>
              <w:pStyle w:val="Compact"/>
            </w:pPr>
            <w:r>
              <w:t xml:space="preserve">0.03</w:t>
            </w:r>
          </w:p>
        </w:tc>
        <w:tc>
          <w:tcPr/>
          <w:p>
            <w:pPr>
              <w:pStyle w:val="Compact"/>
            </w:pPr>
            <w:r>
              <w:t xml:space="preserve">0</w:t>
            </w:r>
          </w:p>
        </w:tc>
        <w:tc>
          <w:tcPr/>
          <w:p>
            <w:pPr>
              <w:pStyle w:val="Compact"/>
            </w:pPr>
            <w:r>
              <w:t xml:space="preserve">3 / 26 / 54 / 77 / 94</w:t>
            </w:r>
          </w:p>
        </w:tc>
        <w:tc>
          <w:tcPr/>
          <w:p>
            <w:pPr>
              <w:pStyle w:val="Compact"/>
              <w:jc w:val="right"/>
            </w:pPr>
            <w:r>
              <w:t xml:space="preserve">2%</w:t>
            </w:r>
          </w:p>
        </w:tc>
      </w:tr>
      <w:tr>
        <w:tc>
          <w:tcPr/>
          <w:p>
            <w:pPr>
              <w:pStyle w:val="Compact"/>
            </w:pPr>
            <w:r>
              <w:t xml:space="preserve">0.03</w:t>
            </w:r>
          </w:p>
        </w:tc>
        <w:tc>
          <w:tcPr/>
          <w:p>
            <w:pPr>
              <w:pStyle w:val="Compact"/>
            </w:pPr>
            <w:r>
              <w:t xml:space="preserve">0.2</w:t>
            </w:r>
          </w:p>
        </w:tc>
        <w:tc>
          <w:tcPr/>
          <w:p>
            <w:pPr>
              <w:pStyle w:val="Compact"/>
            </w:pPr>
            <w:r>
              <w:t xml:space="preserve">10 / 54 / 73 / 85 / 94</w:t>
            </w:r>
          </w:p>
        </w:tc>
        <w:tc>
          <w:tcPr/>
          <w:p>
            <w:pPr>
              <w:pStyle w:val="Compact"/>
              <w:jc w:val="right"/>
            </w:pPr>
            <w:r>
              <w:t xml:space="preserve">1%</w:t>
            </w:r>
          </w:p>
        </w:tc>
      </w:tr>
    </w:tbl>
    <w:p>
      <w:pPr>
        <w:pStyle w:val="BodyText"/>
      </w:pPr>
      <w:r>
        <w:t xml:space="preserve">A copying boundary moves the phase boundaries up the ranking, but the distributions overlap widely, and even with no boundary they rank low (median 20th percentile). Boundaries built this way fall between assemblages, where many assemblages inform the estimate and the estimated rate of change is lowest. The observed position lies in the lower tail of every setting, reached by 5 percent of records without a boundary and 1 to 2 percent with one, so it favors the no-boundary setting by a factor of only about two to five, and with counts this small (1 to 5 records of 100) that ratio is itself poorly determined. The turnover comparison therefore describes where composition changes and adds little independent weight to the partition comparison.</w:t>
      </w:r>
    </w:p>
    <w:bookmarkEnd w:id="151"/>
    <w:bookmarkStart w:id="152" w:name="the-differences-at-finer-scales"/>
    <w:p>
      <w:pPr>
        <w:pStyle w:val="Heading2"/>
      </w:pPr>
      <w:r>
        <w:t xml:space="preserve">The differences at finer scales</w:t>
      </w:r>
    </w:p>
    <w:p>
      <w:pPr>
        <w:pStyle w:val="FirstParagraph"/>
      </w:pPr>
      <w:r>
        <w:t xml:space="preserve">The main text reports that the record differs more among three or more groups than the copying model produces. This section shows that result at every scale and at six calibrated combinations, and then asks where the excess lies and whether sampling could produce it.</w:t>
      </w:r>
    </w:p>
    <w:p>
      <w:pPr>
        <w:pStyle w:val="BodyText"/>
      </w:pPr>
      <w:r>
        <w:rPr>
          <w:b/>
          <w:bCs/>
        </w:rPr>
        <w:t xml:space="preserve">Table S5.</w:t>
      </w:r>
      <w:r>
        <w:t xml:space="preserve"> </w:t>
      </w:r>
      <w:r>
        <w:t xml:space="preserve">Observed between-cluster cultural</w:t>
      </w:r>
      <w:r>
        <w:t xml:space="preserve"> </w:t>
      </w:r>
      <m:oMath>
        <m:sSub>
          <m:e>
            <m:r>
              <m:t>F</m:t>
            </m:r>
          </m:e>
          <m:sub>
            <m:r>
              <m:t>S</m:t>
            </m:r>
            <m:r>
              <m:t>T</m:t>
            </m:r>
          </m:sub>
        </m:sSub>
      </m:oMath>
      <w:r>
        <w:t xml:space="preserve"> </w:t>
      </w:r>
      <w:r>
        <w:t xml:space="preserve">against the calibrated copying model as the basin is divided into more</w:t>
      </w:r>
      <w:r>
        <w:t xml:space="preserve"> </w:t>
      </w:r>
      <m:oMath>
        <m:r>
          <m:t>k</m:t>
        </m:r>
      </m:oMath>
      <w:r>
        <w:t xml:space="preserve">-means clusters, 300 runs at the selected combination, each run scored at every</w:t>
      </w:r>
      <w:r>
        <w:t xml:space="preserve"> </w:t>
      </w:r>
      <m:oMath>
        <m:r>
          <m:t>k</m:t>
        </m:r>
      </m:oMath>
      <w:r>
        <w:t xml:space="preserve"> </w:t>
      </w:r>
      <w:r>
        <w:t xml:space="preserve">(</w:t>
      </w:r>
      <w:r>
        <w:rPr>
          <w:rStyle w:val="VerbatimChar"/>
        </w:rPr>
        <w:t xml:space="preserve">analyses/71_scale_sweep.py</w:t>
      </w:r>
      <w:r>
        <w:t xml:space="preserve">). The smallest-group column matters: once a cluster holds a single assemblage, it matches its own profile exactly and adds between-group variance for arithmetic, not archaeological, reasons. A share of 0.0% means none of the 300 runs, below about 0.3 percent at this resolution.</w:t>
      </w:r>
    </w:p>
    <w:tbl>
      <w:tblPr>
        <w:tblStyle w:val="Table"/>
        <w:tblW w:type="pct" w:w="5000"/>
        <w:tblLayout w:type="fixed"/>
        <w:tblLook w:firstRow="1" w:lastRow="0" w:firstColumn="0" w:lastColumn="0" w:noHBand="0" w:noVBand="0" w:val="0020"/>
      </w:tblPr>
      <w:tblGrid>
        <w:gridCol w:w="1377"/>
        <w:gridCol w:w="1377"/>
        <w:gridCol w:w="1377"/>
        <w:gridCol w:w="1377"/>
        <w:gridCol w:w="1033"/>
        <w:gridCol w:w="1377"/>
      </w:tblGrid>
      <w:tr>
        <w:trPr>
          <w:tblHeader w:val="on"/>
        </w:trPr>
        <w:tc>
          <w:tcPr/>
          <w:p>
            <w:pPr>
              <w:pStyle w:val="Compact"/>
              <w:jc w:val="right"/>
            </w:pPr>
            <m:oMath>
              <m:r>
                <m:t>k</m:t>
              </m:r>
            </m:oMath>
          </w:p>
        </w:tc>
        <w:tc>
          <w:tcPr/>
          <w:p>
            <w:pPr>
              <w:pStyle w:val="Compact"/>
              <w:jc w:val="right"/>
            </w:pPr>
            <w:r>
              <w:t xml:space="preserve">radius (km)</w:t>
            </w:r>
          </w:p>
        </w:tc>
        <w:tc>
          <w:tcPr/>
          <w:p>
            <w:pPr>
              <w:pStyle w:val="Compact"/>
              <w:jc w:val="right"/>
            </w:pPr>
            <w:r>
              <w:t xml:space="preserve">smallest group</w:t>
            </w:r>
          </w:p>
        </w:tc>
        <w:tc>
          <w:tcPr/>
          <w:p>
            <w:pPr>
              <w:pStyle w:val="Compact"/>
              <w:jc w:val="right"/>
            </w:pPr>
            <w:r>
              <w:t xml:space="preserve">observed</w:t>
            </w:r>
          </w:p>
        </w:tc>
        <w:tc>
          <w:tcPr/>
          <w:p>
            <w:pPr>
              <w:pStyle w:val="Compact"/>
            </w:pPr>
            <w:r>
              <w:t xml:space="preserve">model median [95%]</w:t>
            </w:r>
          </w:p>
        </w:tc>
        <w:tc>
          <w:tcPr/>
          <w:p>
            <w:pPr>
              <w:pStyle w:val="Compact"/>
              <w:jc w:val="right"/>
            </w:pPr>
            <w:r>
              <w:t xml:space="preserve">runs reaching</w:t>
            </w:r>
          </w:p>
        </w:tc>
      </w:tr>
      <w:tr>
        <w:tc>
          <w:tcPr/>
          <w:p>
            <w:pPr>
              <w:pStyle w:val="Compact"/>
              <w:jc w:val="right"/>
            </w:pPr>
            <w:r>
              <w:t xml:space="preserve">2</w:t>
            </w:r>
          </w:p>
        </w:tc>
        <w:tc>
          <w:tcPr/>
          <w:p>
            <w:pPr>
              <w:pStyle w:val="Compact"/>
              <w:jc w:val="right"/>
            </w:pPr>
            <w:r>
              <w:t xml:space="preserve">17.6</w:t>
            </w:r>
          </w:p>
        </w:tc>
        <w:tc>
          <w:tcPr/>
          <w:p>
            <w:pPr>
              <w:pStyle w:val="Compact"/>
              <w:jc w:val="right"/>
            </w:pPr>
            <w:r>
              <w:t xml:space="preserve">11</w:t>
            </w:r>
          </w:p>
        </w:tc>
        <w:tc>
          <w:tcPr/>
          <w:p>
            <w:pPr>
              <w:pStyle w:val="Compact"/>
              <w:jc w:val="right"/>
            </w:pPr>
            <w:r>
              <w:t xml:space="preserve">0.0062</w:t>
            </w:r>
          </w:p>
        </w:tc>
        <w:tc>
          <w:tcPr/>
          <w:p>
            <w:pPr>
              <w:pStyle w:val="Compact"/>
            </w:pPr>
            <w:r>
              <w:t xml:space="preserve">0.0019 [0.0002, 0.0124]</w:t>
            </w:r>
          </w:p>
        </w:tc>
        <w:tc>
          <w:tcPr/>
          <w:p>
            <w:pPr>
              <w:pStyle w:val="Compact"/>
              <w:jc w:val="right"/>
            </w:pPr>
            <w:r>
              <w:t xml:space="preserve">13.3%</w:t>
            </w:r>
          </w:p>
        </w:tc>
      </w:tr>
      <w:tr>
        <w:tc>
          <w:tcPr/>
          <w:p>
            <w:pPr>
              <w:pStyle w:val="Compact"/>
              <w:jc w:val="right"/>
            </w:pPr>
            <w:r>
              <w:t xml:space="preserve">3</w:t>
            </w:r>
          </w:p>
        </w:tc>
        <w:tc>
          <w:tcPr/>
          <w:p>
            <w:pPr>
              <w:pStyle w:val="Compact"/>
              <w:jc w:val="right"/>
            </w:pPr>
            <w:r>
              <w:t xml:space="preserve">13.6</w:t>
            </w:r>
          </w:p>
        </w:tc>
        <w:tc>
          <w:tcPr/>
          <w:p>
            <w:pPr>
              <w:pStyle w:val="Compact"/>
              <w:jc w:val="right"/>
            </w:pPr>
            <w:r>
              <w:t xml:space="preserve">9</w:t>
            </w:r>
          </w:p>
        </w:tc>
        <w:tc>
          <w:tcPr/>
          <w:p>
            <w:pPr>
              <w:pStyle w:val="Compact"/>
              <w:jc w:val="right"/>
            </w:pPr>
            <w:r>
              <w:t xml:space="preserve">0.0156</w:t>
            </w:r>
          </w:p>
        </w:tc>
        <w:tc>
          <w:tcPr/>
          <w:p>
            <w:pPr>
              <w:pStyle w:val="Compact"/>
            </w:pPr>
            <w:r>
              <w:t xml:space="preserve">0.0035 [0.0007, 0.0135]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5</w:t>
            </w:r>
          </w:p>
        </w:tc>
        <w:tc>
          <w:tcPr/>
          <w:p>
            <w:pPr>
              <w:pStyle w:val="Compact"/>
              <w:jc w:val="right"/>
            </w:pPr>
            <w:r>
              <w:t xml:space="preserve">0.0186</w:t>
            </w:r>
          </w:p>
        </w:tc>
        <w:tc>
          <w:tcPr/>
          <w:p>
            <w:pPr>
              <w:pStyle w:val="Compact"/>
            </w:pPr>
            <w:r>
              <w:t xml:space="preserve">0.0041 [0.0010, 0.0146]</w:t>
            </w:r>
          </w:p>
        </w:tc>
        <w:tc>
          <w:tcPr/>
          <w:p>
            <w:pPr>
              <w:pStyle w:val="Compact"/>
              <w:jc w:val="right"/>
            </w:pPr>
            <w:r>
              <w:t xml:space="preserve">1.0%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0.0206</w:t>
            </w:r>
          </w:p>
        </w:tc>
        <w:tc>
          <w:tcPr/>
          <w:p>
            <w:pPr>
              <w:pStyle w:val="Compact"/>
            </w:pPr>
            <w:r>
              <w:t xml:space="preserve">0.0043 [0.0013, 0.0148]</w:t>
            </w:r>
          </w:p>
        </w:tc>
        <w:tc>
          <w:tcPr/>
          <w:p>
            <w:pPr>
              <w:pStyle w:val="Compact"/>
              <w:jc w:val="right"/>
            </w:pPr>
            <w:r>
              <w:t xml:space="preserve">0.3%</w:t>
            </w:r>
          </w:p>
        </w:tc>
      </w:tr>
      <w:tr>
        <w:tc>
          <w:tcPr/>
          <w:p>
            <w:pPr>
              <w:pStyle w:val="Compact"/>
              <w:jc w:val="right"/>
            </w:pPr>
            <w:r>
              <w:t xml:space="preserve">6</w:t>
            </w:r>
          </w:p>
        </w:tc>
        <w:tc>
          <w:tcPr/>
          <w:p>
            <w:pPr>
              <w:pStyle w:val="Compact"/>
              <w:jc w:val="right"/>
            </w:pPr>
            <w:r>
              <w:t xml:space="preserve">8.7</w:t>
            </w:r>
          </w:p>
        </w:tc>
        <w:tc>
          <w:tcPr/>
          <w:p>
            <w:pPr>
              <w:pStyle w:val="Compact"/>
              <w:jc w:val="right"/>
            </w:pPr>
            <w:r>
              <w:t xml:space="preserve">1</w:t>
            </w:r>
          </w:p>
        </w:tc>
        <w:tc>
          <w:tcPr/>
          <w:p>
            <w:pPr>
              <w:pStyle w:val="Compact"/>
              <w:jc w:val="right"/>
            </w:pPr>
            <w:r>
              <w:t xml:space="preserve">0.0327</w:t>
            </w:r>
          </w:p>
        </w:tc>
        <w:tc>
          <w:tcPr/>
          <w:p>
            <w:pPr>
              <w:pStyle w:val="Compact"/>
            </w:pPr>
            <w:r>
              <w:t xml:space="preserve">0.0050 [0.0017, 0.0152]</w:t>
            </w:r>
          </w:p>
        </w:tc>
        <w:tc>
          <w:tcPr/>
          <w:p>
            <w:pPr>
              <w:pStyle w:val="Compact"/>
              <w:jc w:val="right"/>
            </w:pPr>
            <w:r>
              <w:t xml:space="preserve">0.0%</w:t>
            </w:r>
          </w:p>
        </w:tc>
      </w:tr>
      <w:tr>
        <w:tc>
          <w:tcPr/>
          <w:p>
            <w:pPr>
              <w:pStyle w:val="Compact"/>
              <w:jc w:val="right"/>
            </w:pPr>
            <w:r>
              <w:t xml:space="preserve">8</w:t>
            </w:r>
          </w:p>
        </w:tc>
        <w:tc>
          <w:tcPr/>
          <w:p>
            <w:pPr>
              <w:pStyle w:val="Compact"/>
              <w:jc w:val="right"/>
            </w:pPr>
            <w:r>
              <w:t xml:space="preserve">7.1</w:t>
            </w:r>
          </w:p>
        </w:tc>
        <w:tc>
          <w:tcPr/>
          <w:p>
            <w:pPr>
              <w:pStyle w:val="Compact"/>
              <w:jc w:val="right"/>
            </w:pPr>
            <w:r>
              <w:t xml:space="preserve">1</w:t>
            </w:r>
          </w:p>
        </w:tc>
        <w:tc>
          <w:tcPr/>
          <w:p>
            <w:pPr>
              <w:pStyle w:val="Compact"/>
              <w:jc w:val="right"/>
            </w:pPr>
            <w:r>
              <w:t xml:space="preserve">0.0346</w:t>
            </w:r>
          </w:p>
        </w:tc>
        <w:tc>
          <w:tcPr/>
          <w:p>
            <w:pPr>
              <w:pStyle w:val="Compact"/>
            </w:pPr>
            <w:r>
              <w:t xml:space="preserve">0.0058 [0.0024, 0.0165]</w:t>
            </w:r>
          </w:p>
        </w:tc>
        <w:tc>
          <w:tcPr/>
          <w:p>
            <w:pPr>
              <w:pStyle w:val="Compact"/>
              <w:jc w:val="right"/>
            </w:pPr>
            <w:r>
              <w:t xml:space="preserve">0.0%</w:t>
            </w:r>
          </w:p>
        </w:tc>
      </w:tr>
      <w:tr>
        <w:tc>
          <w:tcPr/>
          <w:p>
            <w:pPr>
              <w:pStyle w:val="Compact"/>
              <w:jc w:val="right"/>
            </w:pPr>
            <w:r>
              <w:t xml:space="preserve">10</w:t>
            </w:r>
          </w:p>
        </w:tc>
        <w:tc>
          <w:tcPr/>
          <w:p>
            <w:pPr>
              <w:pStyle w:val="Compact"/>
              <w:jc w:val="right"/>
            </w:pPr>
            <w:r>
              <w:t xml:space="preserve">5.8</w:t>
            </w:r>
          </w:p>
        </w:tc>
        <w:tc>
          <w:tcPr/>
          <w:p>
            <w:pPr>
              <w:pStyle w:val="Compact"/>
              <w:jc w:val="right"/>
            </w:pPr>
            <w:r>
              <w:t xml:space="preserve">1</w:t>
            </w:r>
          </w:p>
        </w:tc>
        <w:tc>
          <w:tcPr/>
          <w:p>
            <w:pPr>
              <w:pStyle w:val="Compact"/>
              <w:jc w:val="right"/>
            </w:pPr>
            <w:r>
              <w:t xml:space="preserve">0.0441</w:t>
            </w:r>
          </w:p>
        </w:tc>
        <w:tc>
          <w:tcPr/>
          <w:p>
            <w:pPr>
              <w:pStyle w:val="Compact"/>
            </w:pPr>
            <w:r>
              <w:t xml:space="preserve">0.0067 [0.0028, 0.0185]</w:t>
            </w:r>
          </w:p>
        </w:tc>
        <w:tc>
          <w:tcPr/>
          <w:p>
            <w:pPr>
              <w:pStyle w:val="Compact"/>
              <w:jc w:val="right"/>
            </w:pPr>
            <w:r>
              <w:t xml:space="preserve">0.0%</w:t>
            </w:r>
          </w:p>
        </w:tc>
      </w:tr>
      <w:tr>
        <w:tc>
          <w:tcPr/>
          <w:p>
            <w:pPr>
              <w:pStyle w:val="Compact"/>
              <w:jc w:val="right"/>
            </w:pPr>
            <w:r>
              <w:t xml:space="preserve">12</w:t>
            </w:r>
          </w:p>
        </w:tc>
        <w:tc>
          <w:tcPr/>
          <w:p>
            <w:pPr>
              <w:pStyle w:val="Compact"/>
              <w:jc w:val="right"/>
            </w:pPr>
            <w:r>
              <w:t xml:space="preserve">4.5</w:t>
            </w:r>
          </w:p>
        </w:tc>
        <w:tc>
          <w:tcPr/>
          <w:p>
            <w:pPr>
              <w:pStyle w:val="Compact"/>
              <w:jc w:val="right"/>
            </w:pPr>
            <w:r>
              <w:t xml:space="preserve">1</w:t>
            </w:r>
          </w:p>
        </w:tc>
        <w:tc>
          <w:tcPr/>
          <w:p>
            <w:pPr>
              <w:pStyle w:val="Compact"/>
              <w:jc w:val="right"/>
            </w:pPr>
            <w:r>
              <w:t xml:space="preserve">0.0529</w:t>
            </w:r>
          </w:p>
        </w:tc>
        <w:tc>
          <w:tcPr/>
          <w:p>
            <w:pPr>
              <w:pStyle w:val="Compact"/>
            </w:pPr>
            <w:r>
              <w:t xml:space="preserve">0.0078 [0.0031, 0.0193]</w:t>
            </w:r>
          </w:p>
        </w:tc>
        <w:tc>
          <w:tcPr/>
          <w:p>
            <w:pPr>
              <w:pStyle w:val="Compact"/>
              <w:jc w:val="right"/>
            </w:pPr>
            <w:r>
              <w:t xml:space="preserve">0.0%</w:t>
            </w:r>
          </w:p>
        </w:tc>
      </w:tr>
    </w:tbl>
    <w:p>
      <w:pPr>
        <w:pStyle w:val="BodyText"/>
      </w:pPr>
      <w:r>
        <w:rPr>
          <w:b/>
          <w:bCs/>
        </w:rPr>
        <w:t xml:space="preserve">Table S6.</w:t>
      </w:r>
      <w:r>
        <w:t xml:space="preserve"> </w:t>
      </w:r>
      <w:r>
        <w:t xml:space="preserve">The comparison of the six most favorable combinations that passed the fifty-run confirmation (learners, innovation, mixing), 300 runs each (</w:t>
      </w:r>
      <w:r>
        <w:rPr>
          <w:rStyle w:val="VerbatimChar"/>
        </w:rPr>
        <w:t xml:space="preserve">analyses/88_cell_sensitivity.py</w:t>
      </w:r>
      <w:r>
        <w:t xml:space="preserve">,</w:t>
      </w:r>
      <w:r>
        <w:t xml:space="preserve"> </w:t>
      </w:r>
      <w:r>
        <w:rPr>
          <w:rStyle w:val="VerbatimChar"/>
        </w:rPr>
        <w:t xml:space="preserve">output/findings/cell_sensitivity.md</w:t>
      </w:r>
      <w:r>
        <w:t xml:space="preserve">). Entries are the model median, its 95 percent range, and the share of runs reaching the observed value. The last row combines the six-run screen match with the confirmation failure, shown because it gives the highest share of runs reaching the observed value.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combination</w:t>
            </w:r>
          </w:p>
        </w:tc>
        <w:tc>
          <w:tcPr/>
          <w:p>
            <w:pPr>
              <w:pStyle w:val="Compact"/>
            </w:pPr>
            <w:r>
              <w:t xml:space="preserve">two clusters, Parkin phase against the rest (0.0062)</w:t>
            </w:r>
          </w:p>
        </w:tc>
        <w:tc>
          <w:tcPr/>
          <w:p>
            <w:pPr>
              <w:pStyle w:val="Compact"/>
            </w:pPr>
            <w:r>
              <w:t xml:space="preserve">the phases (0.0110)</w:t>
            </w:r>
          </w:p>
        </w:tc>
        <w:tc>
          <w:tcPr/>
          <w:p>
            <w:pPr>
              <w:pStyle w:val="Compact"/>
            </w:pPr>
            <w:r>
              <w:t xml:space="preserve">three clusters (0.0156)</w:t>
            </w:r>
          </w:p>
        </w:tc>
        <w:tc>
          <w:tcPr/>
          <w:p>
            <w:pPr>
              <w:pStyle w:val="Compact"/>
            </w:pPr>
            <w:r>
              <w:t xml:space="preserve">four clusters (0.0186)</w:t>
            </w:r>
          </w:p>
        </w:tc>
      </w:tr>
      <w:tr>
        <w:tc>
          <w:tcPr/>
          <w:p>
            <w:pPr>
              <w:pStyle w:val="Compact"/>
            </w:pPr>
            <w:r>
              <w:t xml:space="preserve">2,000, 0.001, 0.02 (selected)</w:t>
            </w:r>
          </w:p>
        </w:tc>
        <w:tc>
          <w:tcPr/>
          <w:p>
            <w:pPr>
              <w:pStyle w:val="Compact"/>
            </w:pPr>
            <w:r>
              <w:t xml:space="preserve">0.0019 [0.0002, 0.0124]; 13%</w:t>
            </w:r>
          </w:p>
        </w:tc>
        <w:tc>
          <w:tcPr/>
          <w:p>
            <w:pPr>
              <w:pStyle w:val="Compact"/>
            </w:pPr>
            <w:r>
              <w:t xml:space="preserve">0.0034 [0.0008, 0.0138]; 5%</w:t>
            </w:r>
          </w:p>
        </w:tc>
        <w:tc>
          <w:tcPr/>
          <w:p>
            <w:pPr>
              <w:pStyle w:val="Compact"/>
            </w:pPr>
            <w:r>
              <w:t xml:space="preserve">0.0035 [0.0007, 0.0135]; 1%</w:t>
            </w:r>
          </w:p>
        </w:tc>
        <w:tc>
          <w:tcPr/>
          <w:p>
            <w:pPr>
              <w:pStyle w:val="Compact"/>
            </w:pPr>
            <w:r>
              <w:t xml:space="preserve">0.0041 [0.0010, 0.0146]; 1%</w:t>
            </w:r>
          </w:p>
        </w:tc>
      </w:tr>
      <w:tr>
        <w:tc>
          <w:tcPr/>
          <w:p>
            <w:pPr>
              <w:pStyle w:val="Compact"/>
            </w:pPr>
            <w:r>
              <w:t xml:space="preserve">10,000, 0.0005, 0.002</w:t>
            </w:r>
          </w:p>
        </w:tc>
        <w:tc>
          <w:tcPr/>
          <w:p>
            <w:pPr>
              <w:pStyle w:val="Compact"/>
            </w:pPr>
            <w:r>
              <w:t xml:space="preserve">0.0021 [0.0002, 0.0119]; 14%</w:t>
            </w:r>
          </w:p>
        </w:tc>
        <w:tc>
          <w:tcPr/>
          <w:p>
            <w:pPr>
              <w:pStyle w:val="Compact"/>
            </w:pPr>
            <w:r>
              <w:t xml:space="preserve">0.0038 [0.0006, 0.0150]; 7%</w:t>
            </w:r>
          </w:p>
        </w:tc>
        <w:tc>
          <w:tcPr/>
          <w:p>
            <w:pPr>
              <w:pStyle w:val="Compact"/>
            </w:pPr>
            <w:r>
              <w:t xml:space="preserve">0.0039 [0.0007, 0.0159]; 3%</w:t>
            </w:r>
          </w:p>
        </w:tc>
        <w:tc>
          <w:tcPr/>
          <w:p>
            <w:pPr>
              <w:pStyle w:val="Compact"/>
            </w:pPr>
            <w:r>
              <w:t xml:space="preserve">0.0047 [0.0012, 0.0169]; 1%</w:t>
            </w:r>
          </w:p>
        </w:tc>
      </w:tr>
      <w:tr>
        <w:tc>
          <w:tcPr/>
          <w:p>
            <w:pPr>
              <w:pStyle w:val="Compact"/>
            </w:pPr>
            <w:r>
              <w:t xml:space="preserve">120, 0.008, 0.1</w:t>
            </w:r>
          </w:p>
        </w:tc>
        <w:tc>
          <w:tcPr/>
          <w:p>
            <w:pPr>
              <w:pStyle w:val="Compact"/>
            </w:pPr>
            <w:r>
              <w:t xml:space="preserve">0.0021 [0.0002, 0.0097]; 11%</w:t>
            </w:r>
          </w:p>
        </w:tc>
        <w:tc>
          <w:tcPr/>
          <w:p>
            <w:pPr>
              <w:pStyle w:val="Compact"/>
            </w:pPr>
            <w:r>
              <w:t xml:space="preserve">0.0042 [0.0007, 0.0133]; 6%</w:t>
            </w:r>
          </w:p>
        </w:tc>
        <w:tc>
          <w:tcPr/>
          <w:p>
            <w:pPr>
              <w:pStyle w:val="Compact"/>
            </w:pPr>
            <w:r>
              <w:t xml:space="preserve">0.0042 [0.0007, 0.0134]; 2%</w:t>
            </w:r>
          </w:p>
        </w:tc>
        <w:tc>
          <w:tcPr/>
          <w:p>
            <w:pPr>
              <w:pStyle w:val="Compact"/>
            </w:pPr>
            <w:r>
              <w:t xml:space="preserve">0.0050 [0.0009, 0.0137]; 0%</w:t>
            </w:r>
          </w:p>
        </w:tc>
      </w:tr>
      <w:tr>
        <w:tc>
          <w:tcPr/>
          <w:p>
            <w:pPr>
              <w:pStyle w:val="Compact"/>
            </w:pPr>
            <w:r>
              <w:t xml:space="preserve">10,000, 0.0002, 0.005</w:t>
            </w:r>
          </w:p>
        </w:tc>
        <w:tc>
          <w:tcPr/>
          <w:p>
            <w:pPr>
              <w:pStyle w:val="Compact"/>
            </w:pPr>
            <w:r>
              <w:t xml:space="preserve">0.0023 [0.0004, 0.0129]; 16%</w:t>
            </w:r>
          </w:p>
        </w:tc>
        <w:tc>
          <w:tcPr/>
          <w:p>
            <w:pPr>
              <w:pStyle w:val="Compact"/>
            </w:pPr>
            <w:r>
              <w:t xml:space="preserve">0.0034 [0.0007, 0.0149]; 7%</w:t>
            </w:r>
          </w:p>
        </w:tc>
        <w:tc>
          <w:tcPr/>
          <w:p>
            <w:pPr>
              <w:pStyle w:val="Compact"/>
            </w:pPr>
            <w:r>
              <w:t xml:space="preserve">0.0035 [0.0007, 0.0154]; 3%</w:t>
            </w:r>
          </w:p>
        </w:tc>
        <w:tc>
          <w:tcPr/>
          <w:p>
            <w:pPr>
              <w:pStyle w:val="Compact"/>
            </w:pPr>
            <w:r>
              <w:t xml:space="preserve">0.0039 [0.0011, 0.0155]; 1%</w:t>
            </w:r>
          </w:p>
        </w:tc>
      </w:tr>
      <w:tr>
        <w:tc>
          <w:tcPr/>
          <w:p>
            <w:pPr>
              <w:pStyle w:val="Compact"/>
            </w:pPr>
            <w:r>
              <w:t xml:space="preserve">2,000, 0.002, 0.005</w:t>
            </w:r>
          </w:p>
        </w:tc>
        <w:tc>
          <w:tcPr/>
          <w:p>
            <w:pPr>
              <w:pStyle w:val="Compact"/>
            </w:pPr>
            <w:r>
              <w:t xml:space="preserve">0.0026 [0.0003, 0.0150]; 16%</w:t>
            </w:r>
          </w:p>
        </w:tc>
        <w:tc>
          <w:tcPr/>
          <w:p>
            <w:pPr>
              <w:pStyle w:val="Compact"/>
            </w:pPr>
            <w:r>
              <w:t xml:space="preserve">0.0049 [0.0011, 0.0214]; 12%</w:t>
            </w:r>
          </w:p>
        </w:tc>
        <w:tc>
          <w:tcPr/>
          <w:p>
            <w:pPr>
              <w:pStyle w:val="Compact"/>
            </w:pPr>
            <w:r>
              <w:t xml:space="preserve">0.0050 [0.0011, 0.0213]; 6%</w:t>
            </w:r>
          </w:p>
        </w:tc>
        <w:tc>
          <w:tcPr/>
          <w:p>
            <w:pPr>
              <w:pStyle w:val="Compact"/>
            </w:pPr>
            <w:r>
              <w:t xml:space="preserve">0.0062 [0.0016, 0.0203]; 4%</w:t>
            </w:r>
          </w:p>
        </w:tc>
      </w:tr>
      <w:tr>
        <w:tc>
          <w:tcPr/>
          <w:p>
            <w:pPr>
              <w:pStyle w:val="Compact"/>
            </w:pPr>
            <w:r>
              <w:t xml:space="preserve">2,000, 0.0005, 0.05</w:t>
            </w:r>
          </w:p>
        </w:tc>
        <w:tc>
          <w:tcPr/>
          <w:p>
            <w:pPr>
              <w:pStyle w:val="Compact"/>
            </w:pPr>
            <w:r>
              <w:t xml:space="preserve">0.0014 [0.0001, 0.0071]; 4%</w:t>
            </w:r>
          </w:p>
        </w:tc>
        <w:tc>
          <w:tcPr/>
          <w:p>
            <w:pPr>
              <w:pStyle w:val="Compact"/>
            </w:pPr>
            <w:r>
              <w:t xml:space="preserve">0.0024 [0.0005, 0.0093]; 1%</w:t>
            </w:r>
          </w:p>
        </w:tc>
        <w:tc>
          <w:tcPr/>
          <w:p>
            <w:pPr>
              <w:pStyle w:val="Compact"/>
            </w:pPr>
            <w:r>
              <w:t xml:space="preserve">0.0026 [0.0005, 0.0100]; 1%</w:t>
            </w:r>
          </w:p>
        </w:tc>
        <w:tc>
          <w:tcPr/>
          <w:p>
            <w:pPr>
              <w:pStyle w:val="Compact"/>
            </w:pPr>
            <w:r>
              <w:t xml:space="preserve">0.0029 [0.0005, 0.0098]; 0%</w:t>
            </w:r>
          </w:p>
        </w:tc>
      </w:tr>
      <w:tr>
        <w:tc>
          <w:tcPr/>
          <w:p>
            <w:pPr>
              <w:pStyle w:val="Compact"/>
            </w:pPr>
            <w:r>
              <w:t xml:space="preserve">2,000, 0.001, 0.01 (failed confirmation)</w:t>
            </w:r>
          </w:p>
        </w:tc>
        <w:tc>
          <w:tcPr/>
          <w:p>
            <w:pPr>
              <w:pStyle w:val="Compact"/>
            </w:pPr>
            <w:r>
              <w:t xml:space="preserve">0.0031 [0.0003, 0.0174]; 24%</w:t>
            </w:r>
          </w:p>
        </w:tc>
        <w:tc>
          <w:tcPr/>
          <w:p>
            <w:pPr>
              <w:pStyle w:val="Compact"/>
            </w:pPr>
            <w:r>
              <w:t xml:space="preserve">0.0050 [0.0012, 0.0200]; 17%</w:t>
            </w:r>
          </w:p>
        </w:tc>
        <w:tc>
          <w:tcPr/>
          <w:p>
            <w:pPr>
              <w:pStyle w:val="Compact"/>
            </w:pPr>
            <w:r>
              <w:t xml:space="preserve">0.0051 [0.0012, 0.0205]; 8%</w:t>
            </w:r>
          </w:p>
        </w:tc>
        <w:tc>
          <w:tcPr/>
          <w:p>
            <w:pPr>
              <w:pStyle w:val="Compact"/>
            </w:pPr>
            <w:r>
              <w:t xml:space="preserve">0.0061 [0.0017, 0.0210]; 5%</w:t>
            </w:r>
          </w:p>
        </w:tc>
      </w:tr>
    </w:tbl>
    <w:p>
      <w:pPr>
        <w:pStyle w:val="BodyText"/>
      </w:pPr>
      <w:r>
        <w:t xml:space="preserve">From three clusters on, 0 to 6 percent of runs reach the observed value at every confirmed combination; the observed value lies above the model’s 95 percent range at four of the six at three clusters and at five of the six at four clusters. The shortfall is not concentrated in one place. At five clusters, each cluster’s contribution to the between-cluster</w:t>
      </w:r>
      <w:r>
        <w:t xml:space="preserve"> </w:t>
      </w:r>
      <m:oMath>
        <m:sSub>
          <m:e>
            <m:r>
              <m:t>F</m:t>
            </m:r>
          </m:e>
          <m:sub>
            <m:r>
              <m:t>S</m:t>
            </m:r>
            <m:r>
              <m:t>T</m:t>
            </m:r>
          </m:sub>
        </m:sSub>
      </m:oMath>
      <w:r>
        <w:t xml:space="preserve"> </w:t>
      </w:r>
      <w:r>
        <w:t xml:space="preserve">exceeds the model’s median contribution 4- to 14-fold (</w:t>
      </w:r>
      <w:r>
        <w:rPr>
          <w:rStyle w:val="VerbatimChar"/>
        </w:rPr>
        <w:t xml:space="preserve">analyses/72_excess_locality.py</w:t>
      </w:r>
      <w:r>
        <w:t xml:space="preserve">): 14-fold for a cluster holding Cummins alone, 8.5-fold around Walls (Irby, Lake Cormorant, Mound Place, Walls, Woodlyn), 6.5-fold for the Kent-area cluster (Beck, Belle Meade, Commerce, Davis, Grant, Hollywood, Kent Place, Starkley), 4.3-fold for the cluster holding Parkin and eight neighbors, and 4.1-fold along the Mississippi (Big Eddy, Castile Landing, Clay Hill, Cramor Place, Nickel). Dropping any one cluster leaves the overall shortfall between 4.4- and 6.3-fold.</w:t>
      </w:r>
    </w:p>
    <w:p>
      <w:pPr>
        <w:pStyle w:val="BodyText"/>
      </w:pPr>
      <w:r>
        <w:t xml:space="preserve">Three checks ask whether this is an accident of sampling (</w:t>
      </w:r>
      <w:r>
        <w:rPr>
          <w:rStyle w:val="VerbatimChar"/>
        </w:rPr>
        <w:t xml:space="preserve">analyses/85_excess_robustness.py</w:t>
      </w:r>
      <w:r>
        <w:t xml:space="preserve">, 300 model runs, 2,000 draws). Redrawing each assemblage from the basin’s pooled profile at its own sherd count gives each cluster a contribution near zero, at most 0.0003 at the 97.5th percentile, compared with observed contributions of 0.0026 to 0.0055. Drawing each assemblage’s class proportions from Dirichlet(counts + 1/2) and dividing each cluster’s contribution by the model’s median gives posterior excesses whose 95 percent credible intervals all lie above 3 (the lowest lower bound is 3.1). Dropping each assemblage in turn from the data and from every model run leaves every multi-assemblage cluster between 3.2 and 11.6 times above the model. The shortfall is therefore not a sampling effect, and no single collection causes it. It is also not a matter of which source the counts came from: rows carrying the survey’s counts alone and rows carrying Lipo’s compilation each fall short of the model when taken separately, by 15- and 3.5-fold, although source and sample size cannot be separated (</w:t>
      </w:r>
      <w:r>
        <w:rPr>
          <w:rStyle w:val="VerbatimChar"/>
        </w:rPr>
        <w:t xml:space="preserve">analyses/78_source_effect.py</w:t>
      </w:r>
      <w:r>
        <w:t xml:space="preserve">).</w:t>
      </w:r>
    </w:p>
    <w:bookmarkEnd w:id="152"/>
    <w:bookmarkStart w:id="157" w:name="tests-of-change-along-the-sequence"/>
    <w:p>
      <w:pPr>
        <w:pStyle w:val="Heading2"/>
      </w:pPr>
      <w:r>
        <w:t xml:space="preserve">Tests of change along the sequence</w:t>
      </w:r>
    </w:p>
    <w:p>
      <w:pPr>
        <w:pStyle w:val="FirstParagraph"/>
      </w:pPr>
      <w:r>
        <w:t xml:space="preserve">The four measures describe the record at points along the sequence, not the changes between them. Two further tests model change directly while allowing for the record’s time-averaging, and three shorter checks follow. All of them depend on the seriation order, which follows geography at least as closely as time, so the main text draws on them only to say that the record shows no resolved change along the sequence.</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a mean of +0.003 and a 95 percent credible interval of -0.035 to +0.039 that includes zero, and means of +0.001 to +0.004 across five independent runs (Figure S9A). Its standard deviation is 0.017 against a prior of 0.289, so the data strongly constrain it.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S9B), a check of the software rather than of the record</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tests also report coverage of the nominal 95 percent interval at nine fixed values of</w:t>
      </w:r>
      <w:r>
        <w:t xml:space="preserve"> </w:t>
      </w:r>
      <m:oMath>
        <m:r>
          <m:t>b</m:t>
        </m:r>
      </m:oMath>
      <w:r>
        <w:t xml:space="preserve"> </w:t>
      </w:r>
      <w:r>
        <w:t xml:space="preserve">(Table S7), and coverage falls to 0.65 at</w:t>
      </w:r>
      <w:r>
        <w:t xml:space="preserve"> </w:t>
      </w:r>
      <m:oMath>
        <m:r>
          <m:t>b</m:t>
        </m:r>
        <m:r>
          <m:rPr>
            <m:sty m:val="p"/>
          </m:rPr>
          <m:t>=</m:t>
        </m:r>
        <m:r>
          <m:rPr>
            <m:sty m:val="p"/>
          </m:rPr>
          <m:t>+</m:t>
        </m:r>
        <m:r>
          <m:t>0.10</m:t>
        </m:r>
      </m:oMath>
      <w:r>
        <w:t xml:space="preserve"> </w:t>
      </w:r>
      <w:r>
        <w:t xml:space="preserve">and 0.75 at</w:t>
      </w:r>
      <w:r>
        <w:t xml:space="preserve"> </w:t>
      </w:r>
      <m:oMath>
        <m:r>
          <m:t>b</m:t>
        </m:r>
        <m:r>
          <m:rPr>
            <m:sty m:val="p"/>
          </m:rPr>
          <m:t>=</m:t>
        </m:r>
        <m:r>
          <m:rPr>
            <m:sty m:val="p"/>
          </m:rPr>
          <m:t>−</m:t>
        </m:r>
        <m:r>
          <m:t>0.20</m:t>
        </m:r>
      </m:oMath>
      <w:r>
        <w:t xml:space="preserve"> </w:t>
      </w:r>
      <w:r>
        <w:t xml:space="preserve">(</w:t>
      </w:r>
      <w:r>
        <w:rPr>
          <w:rStyle w:val="VerbatimChar"/>
        </w:rPr>
        <w:t xml:space="preserve">output/abc_smc_validation.md</w:t>
      </w:r>
      <w:r>
        <w:t xml:space="preserve">). They used 300 particles and five rounds rather than the empirical fit’s 800 and six, and their synthetic data come from the same pooled-population simulator they fit, whereas the real observations are spatially distributed assemblages pooled into six periods. They therefore check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S7.</w:t>
      </w:r>
      <w:r>
        <w:t xml:space="preserve"> </w:t>
      </w:r>
      <w:r>
        <w:t xml:space="preserve">Coverage of the nominal 95 percent posterior interval for the copying bias, from the simulation-based calibration tests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0.95</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0.75</w:t>
            </w:r>
          </w:p>
        </w:tc>
        <w:tc>
          <w:tcPr/>
          <w:p>
            <w:pPr>
              <w:pStyle w:val="Compact"/>
              <w:jc w:val="right"/>
            </w:pPr>
            <w:r>
              <w:t xml:space="preserve">0.33</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0.35</w:t>
            </w:r>
          </w:p>
        </w:tc>
      </w:tr>
      <w:tr>
        <w:tc>
          <w:tcPr/>
          <w:p>
            <w:pPr>
              <w:pStyle w:val="Compact"/>
              <w:jc w:val="right"/>
            </w:pPr>
            <w:r>
              <w:t xml:space="preserve">0.00</w:t>
            </w:r>
          </w:p>
        </w:tc>
        <w:tc>
          <w:tcPr/>
          <w:p>
            <w:pPr>
              <w:pStyle w:val="Compact"/>
              <w:jc w:val="right"/>
            </w:pPr>
            <w:r>
              <w:t xml:space="preserve">0.90</w:t>
            </w:r>
          </w:p>
        </w:tc>
        <w:tc>
          <w:tcPr/>
          <w:p>
            <w:pPr>
              <w:pStyle w:val="Compact"/>
              <w:jc w:val="right"/>
            </w:pPr>
            <w:r>
              <w:t xml:space="preserve">0.22</w:t>
            </w:r>
          </w:p>
        </w:tc>
      </w:tr>
      <w:tr>
        <w:tc>
          <w:tcPr/>
          <w:p>
            <w:pPr>
              <w:pStyle w:val="Compact"/>
              <w:jc w:val="right"/>
            </w:pPr>
            <w:r>
              <w:t xml:space="preserve">+0.10</w:t>
            </w:r>
          </w:p>
        </w:tc>
        <w:tc>
          <w:tcPr/>
          <w:p>
            <w:pPr>
              <w:pStyle w:val="Compact"/>
              <w:jc w:val="right"/>
            </w:pPr>
            <w:r>
              <w:t xml:space="preserve">0.65</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1.00</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0.36</w:t>
            </w:r>
          </w:p>
        </w:tc>
      </w:tr>
    </w:tbl>
    <w:p>
      <w:pPr>
        <w:pStyle w:val="BodyText"/>
      </w:pPr>
      <w:r>
        <w:rPr>
          <w:b/>
          <w:bCs/>
        </w:rPr>
        <w:t xml:space="preserve">Direction and stability of change.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occupy a single region of parameter space. Along the computed seriation order, decorated-class diversity runs from 0.666 at one end through 0.734 to 0.460 at the other, falling over the second half. Because the dates do not establish which end is later, the sign of any directional change is also unclear.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S9C). Diagnostics for the fit: R-hat 1.008, minimum effective sample size 980, 18 divergent transitions of 8,000 (0.23 percent), E-BFMI 0.61. The companion fit meant to show that the design recovers a directional series did not converge (R-hat 1.18, minimum effective sample size 16, 1,079 divergent transitions of 8,000), so the design’s ability to resolve directional change is not established, and we give the drift estimate no weight (</w:t>
      </w:r>
      <w:r>
        <w:rPr>
          <w:rStyle w:val="VerbatimChar"/>
        </w:rPr>
        <w:t xml:space="preserve">output/findings/tempo_mode_posterior.md</w:t>
      </w:r>
      <w:r>
        <w:t xml:space="preserve">).</w:t>
      </w:r>
    </w:p>
    <w:p>
      <w:pPr>
        <w:pStyle w:val="CaptionedFigure"/>
      </w:pPr>
      <w:r>
        <w:drawing>
          <wp:inline>
            <wp:extent cx="5334000" cy="2897627"/>
            <wp:effectExtent b="0" l="0" r="0" t="0"/>
            <wp:docPr descr="Figure S9. Tests of change along the sequence.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7 for calibration caveats). (B) Simulation-based calibration of that inference: over datasets drawn from the prior, the rank of the true bias within its posterior is consistent with uniform (dashed line), which is consistent with calibration averaged over the prior. It does not establish calibration at every value of b: coverage of the nominal 95 percent interval at fixed values falls to 0.65 at b = +0.10 and 0.75 at b = -0.20 (Table S7), and the check assumes the fitted pooled simulator. (C) Direction and stability of change,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he companion recovery fit for a directional series did not converge, so the design’s ability to resolve directional change is not established, and this panel is given no weight." title="" id="154" name="Picture"/>
            <a:graphic>
              <a:graphicData uri="http://schemas.openxmlformats.org/drawingml/2006/picture">
                <pic:pic>
                  <pic:nvPicPr>
                    <pic:cNvPr descr="../../figures/figS5_dynamic.png" id="155" name="Picture"/>
                    <pic:cNvPicPr>
                      <a:picLocks noChangeArrowheads="1" noChangeAspect="1"/>
                    </pic:cNvPicPr>
                  </pic:nvPicPr>
                  <pic:blipFill>
                    <a:blip r:embed="rId153"/>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Tests of change along the sequence.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S7 for calibration caveats). (B) Simulation-based calibration of that inference: over datasets drawn from the prior, the rank of the true bias within its posterior is consistent with uniform (dashed line), which is consistent with calibration averaged over the prior. It does not establish calibration at every value of b: coverage of the nominal 95 percent interval at fixed values falls to 0.65 at b = +0.10 and 0.75 at b = -0.20 (Table S7), and the check assumes the fitted pooled simulator. (C) Direction and stability of change,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The companion recovery fit for a directional series did not converge, so the design’s ability to resolve directional change is not established, and this panel is given no weight.</w:t>
      </w:r>
    </w:p>
    <w:p>
      <w:pPr>
        <w:pStyle w:val="BodyText"/>
      </w:pPr>
      <w:r>
        <w:t xml:space="preserve">A third test looks for the early-warning signs of a critical transition, a rise in variance and in the similarity of successive values before an abrupt change. It cannot be resolved with six ordered periods. The rolling variance along the sequence shows no clear trend (Kendall tau = +0.09) and the lag-1 autocorrelation falls rather than rises (tau = -0.75), so neither behaves as a critical transition would (</w:t>
      </w:r>
      <w:r>
        <w:rPr>
          <w:rStyle w:val="VerbatimChar"/>
        </w:rPr>
        <w:t xml:space="preserve">output/tempo_mode_ews.md</w:t>
      </w:r>
      <w:r>
        <w:t xml:space="preserve">). Because the ordering places similar assemblages next to one another, we do not rely on this test</w:t>
      </w:r>
      <w:r>
        <w:t xml:space="preserve"> </w:t>
      </w:r>
      <w:r>
        <w:t xml:space="preserve">(Dakos et al. 2012; Scheffer et al. 2009)</w:t>
      </w:r>
      <w:r>
        <w:t xml:space="preserve">.</w:t>
      </w:r>
    </w:p>
    <w:bookmarkStart w:id="156"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undirected fluctuation from unbiased copying or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posterior predictive probability is 0.885, ranging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S4)</w:t>
      </w:r>
      <w:r>
        <w:t xml:space="preserve"> </w:t>
      </w:r>
      <w:r>
        <w:t xml:space="preserve">(Neiman 1995)</w:t>
      </w:r>
      <w:r>
        <w:t xml:space="preserve">.</w:t>
      </w:r>
    </w:p>
    <w:bookmarkEnd w:id="156"/>
    <w:bookmarkEnd w:id="157"/>
    <w:bookmarkStart w:id="158" w:name="X769f390eb50a36706af606caba03c609118fe3e"/>
    <w:p>
      <w:pPr>
        <w:pStyle w:val="Heading2"/>
      </w:pPr>
      <w:r>
        <w:t xml:space="preserve">What recovers the phases, and the problem of zeros</w:t>
      </w:r>
    </w:p>
    <w:p>
      <w:pPr>
        <w:pStyle w:val="FirstParagraph"/>
      </w:pPr>
      <w:r>
        <w:t xml:space="preserve">The main text asks whether the site map or the assemblages recover the phase assignments. This section describes how assemblages were clustered on location and composition together, and one choice, the treatment of zero counts, that changes the answer.</w:t>
      </w:r>
    </w:p>
    <w:p>
      <w:pPr>
        <w:pStyle w:val="BodyText"/>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the representation is the site map alone; as</w:t>
      </w:r>
      <w:r>
        <w:t xml:space="preserve"> </w:t>
      </w:r>
      <m:oMath>
        <m:r>
          <m:t>w</m:t>
        </m:r>
      </m:oMath>
      <w:r>
        <w:t xml:space="preserve"> </w:t>
      </w:r>
      <w:r>
        <w:t xml:space="preserve">grows, it becomes assemblage composition alone. We compare each clustering with Mainfort’s published assignments using the adjusted Rand index. We ran three composition transforms, three clustering methods (</w:t>
      </w:r>
      <m:oMath>
        <m:r>
          <m:t>k</m:t>
        </m:r>
      </m:oMath>
      <w:r>
        <w:t xml:space="preserve">-means over 40 starting configurations, Ward linkage, and average linkage), and nine weights; the full grid is in</w:t>
      </w:r>
      <w:r>
        <w:t xml:space="preserve"> </w:t>
      </w:r>
      <w:r>
        <w:rPr>
          <w:rStyle w:val="VerbatimChar"/>
        </w:rPr>
        <w:t xml:space="preserve">output/findings/phase_recovery.csv</w:t>
      </w:r>
      <w:r>
        <w:t xml:space="preserve">. Three of the 28 assemblages carry a phase this study assigned by territory, a geographic rule, so every value quoted in the main text is computed on the 25 assemblages Mainfort assigned.</w:t>
      </w:r>
    </w:p>
    <w:p>
      <w:pPr>
        <w:pStyle w:val="BodyText"/>
      </w:pPr>
      <w:r>
        <w:t xml:space="preserve">Class proportions are compositional data, and the centered log-ratio transform is the usual choice. It cannot be applied here without a choice that determines the result. Of the 280 cells in the basin matrix, 105 are zero, and log (0)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 quarter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58"/>
    <w:bookmarkStart w:id="159" w:name="X70ee4ba346d7e68c10f29dd2da964dd69b2456a"/>
    <w:p>
      <w:pPr>
        <w:pStyle w:val="Heading2"/>
      </w:pPr>
      <w:r>
        <w:t xml:space="preserve">The contrast case: the tests on Mainfort’s (2003) table</w:t>
      </w:r>
    </w:p>
    <w:p>
      <w:pPr>
        <w:pStyle w:val="FirstParagraph"/>
      </w:pPr>
      <w:r>
        <w:t xml:space="preserve">The main text analyzes Mainfort’s</w:t>
      </w:r>
      <w:r>
        <w:t xml:space="preserve"> </w:t>
      </w:r>
      <w:r>
        <w:t xml:space="preserve">(2003)</w:t>
      </w:r>
      <w:r>
        <w:t xml:space="preserve"> </w:t>
      </w:r>
      <w:r>
        <w:t xml:space="preserve">table and phases separately from the primary dataset, as a contrast case. He redrew his phases after an ordination of largely the same decorated counts, so comparing his lines with others depends in part on how he drew them, and his table is not a larger sample once restricted to decorated classes. This section details that analysis.</w:t>
      </w:r>
    </w:p>
    <w:p>
      <w:pPr>
        <w:pStyle w:val="BodyText"/>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(30 sites), from this project’s assemblage file for eight (four of them with a project correction),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the contrast case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transcribed correctly, and no analysis uses the printed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r>
      <w:tr>
        <w:tc>
          <w:tcPr/>
          <w:p>
            <w:pPr>
              <w:pStyle w:val="Compact"/>
            </w:pPr>
            <w:r>
              <w:t xml:space="preserve">map alone</w:t>
            </w:r>
          </w:p>
        </w:tc>
        <w:tc>
          <w:tcPr/>
          <w:p>
            <w:pPr>
              <w:pStyle w:val="Compact"/>
            </w:pPr>
            <w:r>
              <w:t xml:space="preserve">0.536</w:t>
            </w:r>
          </w:p>
        </w:tc>
      </w:tr>
      <w:tr>
        <w:tc>
          <w:tcPr/>
          <w:p>
            <w:pPr>
              <w:pStyle w:val="Compact"/>
            </w:pPr>
            <w:r>
              <w:t xml:space="preserve">0.1</w:t>
            </w:r>
          </w:p>
        </w:tc>
        <w:tc>
          <w:tcPr/>
          <w:p>
            <w:pPr>
              <w:pStyle w:val="Compact"/>
            </w:pPr>
            <w:r>
              <w:t xml:space="preserve">0.536</w:t>
            </w:r>
          </w:p>
        </w:tc>
      </w:tr>
      <w:tr>
        <w:tc>
          <w:tcPr/>
          <w:p>
            <w:pPr>
              <w:pStyle w:val="Compact"/>
            </w:pPr>
            <w:r>
              <w:t xml:space="preserve">0.25</w:t>
            </w:r>
          </w:p>
        </w:tc>
        <w:tc>
          <w:tcPr/>
          <w:p>
            <w:pPr>
              <w:pStyle w:val="Compact"/>
            </w:pPr>
            <w:r>
              <w:t xml:space="preserve">0.509</w:t>
            </w:r>
          </w:p>
        </w:tc>
      </w:tr>
      <w:tr>
        <w:tc>
          <w:tcPr/>
          <w:p>
            <w:pPr>
              <w:pStyle w:val="Compact"/>
            </w:pPr>
            <w:r>
              <w:t xml:space="preserve">0.5</w:t>
            </w:r>
          </w:p>
        </w:tc>
        <w:tc>
          <w:tcPr/>
          <w:p>
            <w:pPr>
              <w:pStyle w:val="Compact"/>
            </w:pPr>
            <w:r>
              <w:t xml:space="preserve">0.664</w:t>
            </w:r>
          </w:p>
        </w:tc>
      </w:tr>
      <w:tr>
        <w:tc>
          <w:tcPr/>
          <w:p>
            <w:pPr>
              <w:pStyle w:val="Compact"/>
            </w:pPr>
            <w:r>
              <w:t xml:space="preserve">1</w:t>
            </w:r>
          </w:p>
        </w:tc>
        <w:tc>
          <w:tcPr/>
          <w:p>
            <w:pPr>
              <w:pStyle w:val="Compact"/>
            </w:pPr>
            <w:r>
              <w:t xml:space="preserve">0.483</w:t>
            </w:r>
          </w:p>
        </w:tc>
      </w:tr>
      <w:tr>
        <w:tc>
          <w:tcPr/>
          <w:p>
            <w:pPr>
              <w:pStyle w:val="Compact"/>
            </w:pPr>
            <w:r>
              <w:t xml:space="preserve">2</w:t>
            </w:r>
          </w:p>
        </w:tc>
        <w:tc>
          <w:tcPr/>
          <w:p>
            <w:pPr>
              <w:pStyle w:val="Compact"/>
            </w:pPr>
            <w:r>
              <w:t xml:space="preserve">0.483</w:t>
            </w:r>
          </w:p>
        </w:tc>
      </w:tr>
      <w:tr>
        <w:tc>
          <w:tcPr/>
          <w:p>
            <w:pPr>
              <w:pStyle w:val="Compact"/>
            </w:pPr>
            <w:r>
              <w:t xml:space="preserve">composition alone</w:t>
            </w:r>
          </w:p>
        </w:tc>
        <w:tc>
          <w:tcPr/>
          <w:p>
            <w:pPr>
              <w:pStyle w:val="Compact"/>
            </w:pPr>
            <w:r>
              <w:t xml:space="preserve">0.248</w:t>
            </w:r>
          </w:p>
        </w:tc>
      </w:tr>
      <w:tr>
        <w:tc>
          <w:tcPr/>
          <w:p>
            <w:pPr>
              <w:pStyle w:val="Compact"/>
            </w:pPr>
            <w:r>
              <w:t xml:space="preserve">same sizes, boundaries at random (400 draws)</w:t>
            </w:r>
          </w:p>
        </w:tc>
        <w:tc>
          <w:tcPr/>
          <w:p>
            <w:pPr>
              <w:pStyle w:val="Compact"/>
            </w:pPr>
            <w:r>
              <w:t xml:space="preserve">0.306</w:t>
            </w:r>
          </w:p>
        </w:tc>
      </w:tr>
    </w:tbl>
    <w:p>
      <w:pPr>
        <w:pStyle w:val="BodyText"/>
      </w:pPr>
      <w:r>
        <w:t xml:space="preserve">All 40 starting configurations return the same value at every weight.</w:t>
      </w:r>
    </w:p>
    <w:p>
      <w:pPr>
        <w:pStyle w:val="BodyText"/>
      </w:pPr>
      <w:r>
        <w:t xml:space="preserve">Under his phases, the cultural</w:t>
      </w:r>
      <w:r>
        <w:t xml:space="preserve"> </w:t>
      </w:r>
      <m:oMath>
        <m:sSub>
          <m:e>
            <m:r>
              <m:t>F</m:t>
            </m:r>
          </m:e>
          <m:sub>
            <m:r>
              <m:t>S</m:t>
            </m:r>
            <m:r>
              <m:t>T</m:t>
            </m:r>
          </m:sub>
        </m:sSub>
      </m:oMath>
      <w:r>
        <w:t xml:space="preserve"> </w:t>
      </w:r>
      <w:r>
        <w:t xml:space="preserve">is 0.0470 (direct), with a posterior median of 0.0459 (95 percent credible interval 0.0413 to 0.0505) when each site’s class proportions are drawn from Dirichlet(counts + 1/2). Same-size divisions around random centers give a posterior median of 0.0297 and compact divisions 0.0315, and the posterior probability that his lines separate the assemblages better is 0.96 and 0.94 (</w:t>
      </w:r>
      <w:r>
        <w:rPr>
          <w:rStyle w:val="VerbatimChar"/>
        </w:rPr>
        <w:t xml:space="preserve">analyses/86_partition_posterior.py</w:t>
      </w:r>
      <w:r>
        <w:t xml:space="preserv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15</w:t>
            </w:r>
          </w:p>
        </w:tc>
        <w:tc>
          <w:tcPr/>
          <w:p>
            <w:pPr>
              <w:pStyle w:val="Compact"/>
            </w:pPr>
            <w:r>
              <w:t xml:space="preserve">0.713</w:t>
            </w:r>
          </w:p>
        </w:tc>
        <w:tc>
          <w:tcPr/>
          <w:p>
            <w:pPr>
              <w:pStyle w:val="Compact"/>
            </w:pPr>
            <w:r>
              <w:t xml:space="preserve">28</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13</w:t>
            </w:r>
          </w:p>
        </w:tc>
        <w:tc>
          <w:tcPr/>
          <w:p>
            <w:pPr>
              <w:pStyle w:val="Compact"/>
            </w:pPr>
            <w:r>
              <w:t xml:space="preserve">0.677</w:t>
            </w:r>
          </w:p>
        </w:tc>
        <w:tc>
          <w:tcPr/>
          <w:p>
            <w:pPr>
              <w:pStyle w:val="Compact"/>
            </w:pPr>
            <w:r>
              <w:t xml:space="preserve">27</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17</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20</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17</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Parkin Punctated counts equal the survey’s at 11 of the 21 shared sites and exceed them at ten (</w:t>
      </w:r>
      <w:r>
        <w:rPr>
          <w:rStyle w:val="VerbatimChar"/>
        </w:rPr>
        <w:t xml:space="preserve">output/findings/matrix_integrity.md</w:t>
      </w:r>
      <w:r>
        <w:t xml:space="preserve">), so for those sites this is a second sampling of the same collections; only the western Tennessee sites, from Tennessee Division of Archaeology collections, are material the survey never had. The copying model is not rerun on this table because it is calibrated to the main matrix, and recalibrating it would be a separate study.</w:t>
      </w:r>
    </w:p>
    <w:bookmarkEnd w:id="159"/>
    <w:bookmarkStart w:id="160"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and Davis (13-N-5) to the survey’s own coordinates, which fall inside their recorded sections (for Davis, SE1/4 SE1/4 of Section 14, T3N R5E, confirmed against the Bureau of Land Management’s cadastral survey layer). The survey’s coordinates were recorded in the 1927 North American Datum. Reading them in the 1983 datum instead places each point about 209 m south of where the survey placed it, so we convert them. We convert only coordinates that can be derived from the survey: an assemblage coordinate is converted when it lies within 10 m of the survey coordinate for that site read in the 1983 datum. That applies to 20 assemblages, 16 of them in the basin set, each moved 209 m. Eleven further coordinates lie within 100 m of that reading but outside the tolerance (14 to 54 m for the eight in the basin set), which means they were derived another way; eight of them are Mainfort’s own points, and all eleven are left as recorded. Settlement-table rows whose source is the survey (367 rows) are converted the same way. The conversion leaves the</w:t>
      </w:r>
      <w:r>
        <w:t xml:space="preserve"> </w:t>
      </w:r>
      <m:oMath>
        <m:r>
          <m:t>k</m:t>
        </m:r>
      </m:oMath>
      <w:r>
        <w:t xml:space="preserve">-means divisions at two, three, and six clusters and their direct</w:t>
      </w:r>
      <w:r>
        <w:t xml:space="preserve"> </w:t>
      </w:r>
      <m:oMath>
        <m:sSub>
          <m:e>
            <m:r>
              <m:t>F</m:t>
            </m:r>
          </m:e>
          <m:sub>
            <m:r>
              <m:t>S</m:t>
            </m:r>
            <m:r>
              <m:t>T</m:t>
            </m:r>
          </m:sub>
        </m:sSub>
      </m:oMath>
      <w:r>
        <w:t xml:space="preserve"> </w:t>
      </w:r>
      <w:r>
        <w:t xml:space="preserve">unchanged, and changes the divisions at four and five clusters (the four-cluster value moves from 0.0194 to 0.0186); every result reported uses the converted coordinates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60"/>
    <w:bookmarkStart w:id="164" w:name="radiocarbon-chronology"/>
    <w:p>
      <w:pPr>
        <w:pStyle w:val="Heading2"/>
      </w:pPr>
      <w:r>
        <w:t xml:space="preserve">Radiocarbon chronology</w:t>
      </w:r>
    </w:p>
    <w:p>
      <w:pPr>
        <w:pStyle w:val="FirstParagraph"/>
      </w:pPr>
      <w:r>
        <w:t xml:space="preserve">This section gives the radiocarbon evidence for when the basin was occupied and shows why the seriation order cannot be read as a chronology. 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sites in and near the St. Francis basin, nineteen of them from Parkin. The summed probability of the basin dates concentrates the occupation in the fourteenth to sixteenth centuries, with a median of AD 1428 (Parkin alone, AD 1483), and declines across the contact interval: 29 percent of the basin probability postdates AD 1541 and 18 percent postdates AD 1600 (Figure S10). This is consistent with occupation continuing through the De Soto entrada and declining afterward, although the shape of the calibration curve affects the shape of any summed distribution</w:t>
      </w:r>
      <w:r>
        <w:t xml:space="preserve"> </w:t>
      </w:r>
      <w:r>
        <w:t xml:space="preserve">(Surovell and Brantingham 2007)</w:t>
      </w:r>
      <w:r>
        <w:t xml:space="preserve">, and the latest tail is partly a product of determinations near the post-1650 plateau.</w:t>
      </w:r>
    </w:p>
    <w:p>
      <w:pPr>
        <w:pStyle w:val="BodyText"/>
      </w:pPr>
      <w:r>
        <w:t xml:space="preserve">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favors orienting the axis the way the analyses do; with one-sigma calibrated midpoints, it is zero. Four points under two reasonable conventions that disagree cannot establish which end of the axis is later.</w:t>
      </w:r>
    </w:p>
    <w:p>
      <w:pPr>
        <w:pStyle w:val="BodyText"/>
      </w:pPr>
      <w:r>
        <w:t xml:space="preserve">House</w:t>
      </w:r>
      <w:r>
        <w:t xml:space="preserve"> </w:t>
      </w:r>
      <w:r>
        <w:t xml:space="preserve">(1993:23)</w:t>
      </w:r>
      <w:r>
        <w:t xml:space="preserve"> </w:t>
      </w:r>
      <w:r>
        <w:t xml:space="preserve">reports the Kent and Clay Hill determinations with their contexts. At Kent, one date comes from a house floor (Feature 6, SMU-2102, 600 ± 115 BP) and the other from a post intrusive into it (SMU-2103, 310 ± 90 BP), and an archaeomagnetic date on another feature (Feature 1) falls at AD 1345 to 1380. Pooling the intrusive post with the floor makes the Kent Place median (AD 1466) later than the floor itself. Correcting it would not orient the axis either, because Kent Place, then among the earliest dated sites, and Clay Hill, the latest, sit at the same end of the axis. Hollywood, one of the analyzed assemblages but not in the radiocarbon file, has two calibrated dates reported by Haley</w:t>
      </w:r>
      <w:r>
        <w:t xml:space="preserve"> </w:t>
      </w:r>
      <w:r>
        <w:t xml:space="preserve">(2014)</w:t>
      </w:r>
      <w:r>
        <w:t xml:space="preserve"> </w:t>
      </w:r>
      <w:r>
        <w:t xml:space="preserve">from Johnson and colleagues’ excavations (Johnson et al. 2000:48-49, as cited there): central intercepts of AD 1310, 1355, and 1385 (one-sigma AD 1285 to 1420) for the earliest features, and AD 1405 (1300 to 1435) for the top of Mound A. The uncalibrated ages are not reported, so we have not recalibrated them against IntCal20 or pooled them with the other anchors. Hollywood too lies at the same end of the axis as Kent Place and Clay Hill (ranks 6, 4, and 7 of 28, with Parkin at 21).</w:t>
      </w:r>
    </w:p>
    <w:p>
      <w:pPr>
        <w:pStyle w:val="BodyText"/>
      </w:pPr>
      <w:r>
        <w:t xml:space="preserve">The axis follows latitude, with a rank correlation of +0.77 as oriented, and latitude and longitude together account for 62 percent of its variance (</w:t>
      </w:r>
      <w:r>
        <w:rPr>
          <w:rStyle w:val="VerbatimChar"/>
        </w:rPr>
        <w:t xml:space="preserve">analyses/87_axis_geography.py</w:t>
      </w:r>
      <w:r>
        <w:t xml:space="preserve">). It is largely a south-to-north gradient in composition, which is what the main text’s argument would lead one to expect, and it is not a reliable proxy for time. The analyses therefore orient the axis in the direction the medians weakly favor, and report every direction-dependent result both ways.</w:t>
      </w:r>
    </w:p>
    <w:p>
      <w:pPr>
        <w:pStyle w:val="BodyText"/>
      </w:pPr>
      <w:r>
        <w:t xml:space="preserve">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et al.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10. 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 title="" id="162" name="Picture"/>
            <a:graphic>
              <a:graphicData uri="http://schemas.openxmlformats.org/drawingml/2006/picture">
                <pic:pic>
                  <pic:nvPicPr>
                    <pic:cNvPr descr="../../figures/figS6_chronology.png" id="163" name="Picture"/>
                    <pic:cNvPicPr>
                      <a:picLocks noChangeArrowheads="1" noChangeAspect="1"/>
                    </pic:cNvPicPr>
                  </pic:nvPicPr>
                  <pic:blipFill>
                    <a:blip r:embed="rId161"/>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w:t>
      </w:r>
    </w:p>
    <w:bookmarkEnd w:id="164"/>
    <w:bookmarkStart w:id="231" w:name="references"/>
    <w:p>
      <w:pPr>
        <w:pStyle w:val="Heading2"/>
      </w:pPr>
      <w:r>
        <w:t xml:space="preserve">References</w:t>
      </w:r>
    </w:p>
    <w:bookmarkStart w:id="230" w:name="refs"/>
    <w:bookmarkStart w:id="165"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65"/>
    <w:bookmarkStart w:id="167"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6">
        <w:r>
          <w:rPr>
            <w:rStyle w:val="Hyperlink"/>
          </w:rPr>
          <w:t xml:space="preserve">https://doi.org/10.1073/pnas.0903232106</w:t>
        </w:r>
      </w:hyperlink>
      <w:r>
        <w:t xml:space="preserve">.</w:t>
      </w:r>
    </w:p>
    <w:bookmarkEnd w:id="167"/>
    <w:bookmarkStart w:id="169"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8">
        <w:r>
          <w:rPr>
            <w:rStyle w:val="Hyperlink"/>
          </w:rPr>
          <w:t xml:space="preserve">https://doi.org/10.1098/rspb.2004.2746</w:t>
        </w:r>
      </w:hyperlink>
      <w:r>
        <w:t xml:space="preserve">.</w:t>
      </w:r>
    </w:p>
    <w:bookmarkEnd w:id="169"/>
    <w:bookmarkStart w:id="171"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70">
        <w:r>
          <w:rPr>
            <w:rStyle w:val="Hyperlink"/>
          </w:rPr>
          <w:t xml:space="preserve">https://doi.org/10.1057/s41599-019-0295-9</w:t>
        </w:r>
      </w:hyperlink>
      <w:r>
        <w:t xml:space="preserve">.</w:t>
      </w:r>
    </w:p>
    <w:bookmarkEnd w:id="171"/>
    <w:bookmarkStart w:id="172"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72"/>
    <w:bookmarkStart w:id="174"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73">
        <w:r>
          <w:rPr>
            <w:rStyle w:val="Hyperlink"/>
          </w:rPr>
          <w:t xml:space="preserve">https://doi.org/10.1016/j.jas.2014.07.014</w:t>
        </w:r>
      </w:hyperlink>
      <w:r>
        <w:t xml:space="preserve">.</w:t>
      </w:r>
    </w:p>
    <w:bookmarkEnd w:id="174"/>
    <w:bookmarkStart w:id="176"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75">
        <w:r>
          <w:rPr>
            <w:rStyle w:val="Hyperlink"/>
          </w:rPr>
          <w:t xml:space="preserve">https://doi.org/10.1038/srep39122</w:t>
        </w:r>
      </w:hyperlink>
      <w:r>
        <w:t xml:space="preserve">.</w:t>
      </w:r>
    </w:p>
    <w:bookmarkEnd w:id="176"/>
    <w:bookmarkStart w:id="178"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77">
        <w:r>
          <w:rPr>
            <w:rStyle w:val="Hyperlink"/>
          </w:rPr>
          <w:t xml:space="preserve">https://doi.org/10.1371/journal.pone.0041010</w:t>
        </w:r>
      </w:hyperlink>
      <w:r>
        <w:t xml:space="preserve">.</w:t>
      </w:r>
    </w:p>
    <w:bookmarkEnd w:id="178"/>
    <w:bookmarkStart w:id="18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9">
        <w:r>
          <w:rPr>
            <w:rStyle w:val="Hyperlink"/>
          </w:rPr>
          <w:t xml:space="preserve">https://doi.org/10.2307/278341</w:t>
        </w:r>
      </w:hyperlink>
      <w:r>
        <w:t xml:space="preserve">.</w:t>
      </w:r>
    </w:p>
    <w:bookmarkEnd w:id="180"/>
    <w:bookmarkStart w:id="181"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81"/>
    <w:bookmarkStart w:id="183"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82">
        <w:r>
          <w:rPr>
            <w:rStyle w:val="Hyperlink"/>
          </w:rPr>
          <w:t xml:space="preserve">https://doi.org/10.1534/genetics.113.158220</w:t>
        </w:r>
      </w:hyperlink>
      <w:r>
        <w:t xml:space="preserve">.</w:t>
      </w:r>
    </w:p>
    <w:bookmarkEnd w:id="183"/>
    <w:bookmarkStart w:id="184"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84"/>
    <w:bookmarkStart w:id="186"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85">
        <w:r>
          <w:rPr>
            <w:rStyle w:val="Hyperlink"/>
          </w:rPr>
          <w:t xml:space="preserve">https://doi.org/10.1002/arp.1477</w:t>
        </w:r>
      </w:hyperlink>
      <w:r>
        <w:t xml:space="preserve">.</w:t>
      </w:r>
    </w:p>
    <w:bookmarkEnd w:id="186"/>
    <w:bookmarkStart w:id="18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87">
        <w:r>
          <w:rPr>
            <w:rStyle w:val="Hyperlink"/>
          </w:rPr>
          <w:t xml:space="preserve">https://doi.org/10.1525/aa.2001.103.4.992</w:t>
        </w:r>
      </w:hyperlink>
      <w:r>
        <w:t xml:space="preserve">.</w:t>
      </w:r>
    </w:p>
    <w:bookmarkEnd w:id="188"/>
    <w:bookmarkStart w:id="18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89"/>
    <w:bookmarkStart w:id="190"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90"/>
    <w:bookmarkStart w:id="191"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91"/>
    <w:bookmarkStart w:id="19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92">
        <w:r>
          <w:rPr>
            <w:rStyle w:val="Hyperlink"/>
          </w:rPr>
          <w:t xml:space="preserve">https://doi.org/10.1666/05070.1</w:t>
        </w:r>
      </w:hyperlink>
      <w:r>
        <w:t xml:space="preserve">.</w:t>
      </w:r>
    </w:p>
    <w:bookmarkEnd w:id="193"/>
    <w:bookmarkStart w:id="19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94">
        <w:r>
          <w:rPr>
            <w:rStyle w:val="Hyperlink"/>
          </w:rPr>
          <w:t xml:space="preserve">https://doi.org/10.1111/j.1558-5646.2007.00310.x</w:t>
        </w:r>
      </w:hyperlink>
      <w:r>
        <w:t xml:space="preserve">.</w:t>
      </w:r>
    </w:p>
    <w:bookmarkEnd w:id="195"/>
    <w:bookmarkStart w:id="197"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96">
        <w:r>
          <w:rPr>
            <w:rStyle w:val="Hyperlink"/>
          </w:rPr>
          <w:t xml:space="preserve">https://doi.org/10.1016/j.jtbi.2013.03.006</w:t>
        </w:r>
      </w:hyperlink>
      <w:r>
        <w:t xml:space="preserve">.</w:t>
      </w:r>
    </w:p>
    <w:bookmarkEnd w:id="197"/>
    <w:bookmarkStart w:id="199"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98">
        <w:r>
          <w:rPr>
            <w:rStyle w:val="Hyperlink"/>
          </w:rPr>
          <w:t xml:space="preserve">https://doi.org/10.1098/rsif.2015.0905</w:t>
        </w:r>
      </w:hyperlink>
      <w:r>
        <w:t xml:space="preserve">.</w:t>
      </w:r>
    </w:p>
    <w:bookmarkEnd w:id="199"/>
    <w:bookmarkStart w:id="20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00">
        <w:r>
          <w:rPr>
            <w:rStyle w:val="Hyperlink"/>
          </w:rPr>
          <w:t xml:space="preserve">https://doi.org/10.1371/journal.pone.0250690</w:t>
        </w:r>
      </w:hyperlink>
      <w:r>
        <w:t xml:space="preserve">.</w:t>
      </w:r>
    </w:p>
    <w:bookmarkEnd w:id="201"/>
    <w:bookmarkStart w:id="20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02">
        <w:r>
          <w:rPr>
            <w:rStyle w:val="Hyperlink"/>
          </w:rPr>
          <w:t xml:space="preserve">https://doi.org/10.1371/journal.pone.0124942</w:t>
        </w:r>
      </w:hyperlink>
      <w:r>
        <w:t xml:space="preserve">.</w:t>
      </w:r>
    </w:p>
    <w:bookmarkEnd w:id="203"/>
    <w:bookmarkStart w:id="20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04">
        <w:r>
          <w:rPr>
            <w:rStyle w:val="Hyperlink"/>
          </w:rPr>
          <w:t xml:space="preserve">https://doi.org/10.1006/jaar.1997.0314</w:t>
        </w:r>
      </w:hyperlink>
      <w:r>
        <w:t xml:space="preserve">.</w:t>
      </w:r>
    </w:p>
    <w:bookmarkEnd w:id="205"/>
    <w:bookmarkStart w:id="206"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206"/>
    <w:bookmarkStart w:id="207"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07"/>
    <w:bookmarkStart w:id="20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08"/>
    <w:bookmarkStart w:id="20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09"/>
    <w:bookmarkStart w:id="210"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210"/>
    <w:bookmarkStart w:id="211"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11"/>
    <w:bookmarkStart w:id="213"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12">
        <w:r>
          <w:rPr>
            <w:rStyle w:val="Hyperlink"/>
          </w:rPr>
          <w:t xml:space="preserve">https://doi.org/10.1073/pnas.70.12.3321</w:t>
        </w:r>
      </w:hyperlink>
      <w:r>
        <w:t xml:space="preserve">.</w:t>
      </w:r>
    </w:p>
    <w:bookmarkEnd w:id="213"/>
    <w:bookmarkStart w:id="21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14"/>
    <w:bookmarkStart w:id="215"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215"/>
    <w:bookmarkStart w:id="21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16"/>
    <w:bookmarkStart w:id="217" w:name="ref-rasmussen_williams_2006"/>
    <w:p>
      <w:pPr>
        <w:pStyle w:val="Bibliography"/>
      </w:pPr>
      <w:r>
        <w:t xml:space="preserve">Rasmussen, Carl Edward, and Christopher K. I. Williams. 2006.</w:t>
      </w:r>
      <w:r>
        <w:t xml:space="preserve"> </w:t>
      </w:r>
      <w:r>
        <w:rPr>
          <w:i/>
          <w:iCs/>
        </w:rPr>
        <w:t xml:space="preserve">Gaussian Processes for Machine Learning</w:t>
      </w:r>
      <w:r>
        <w:t xml:space="preserve">. MIT Press, Cambridge, Massachusetts.</w:t>
      </w:r>
    </w:p>
    <w:bookmarkEnd w:id="217"/>
    <w:bookmarkStart w:id="21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18">
        <w:r>
          <w:rPr>
            <w:rStyle w:val="Hyperlink"/>
          </w:rPr>
          <w:t xml:space="preserve">https://doi.org/10.1017/RDC.2020.41</w:t>
        </w:r>
      </w:hyperlink>
      <w:r>
        <w:t xml:space="preserve">.</w:t>
      </w:r>
    </w:p>
    <w:bookmarkEnd w:id="219"/>
    <w:bookmarkStart w:id="22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20"/>
    <w:bookmarkStart w:id="22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21">
        <w:r>
          <w:rPr>
            <w:rStyle w:val="Hyperlink"/>
          </w:rPr>
          <w:t xml:space="preserve">https://doi.org/10.1038/nature08227</w:t>
        </w:r>
      </w:hyperlink>
      <w:r>
        <w:t xml:space="preserve">.</w:t>
      </w:r>
    </w:p>
    <w:bookmarkEnd w:id="222"/>
    <w:bookmarkStart w:id="22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23">
        <w:r>
          <w:rPr>
            <w:rStyle w:val="Hyperlink"/>
          </w:rPr>
          <w:t xml:space="preserve">https://doi.org/10.1016/j.jas.2007.01.003</w:t>
        </w:r>
      </w:hyperlink>
      <w:r>
        <w:t xml:space="preserve">.</w:t>
      </w:r>
    </w:p>
    <w:bookmarkEnd w:id="224"/>
    <w:bookmarkStart w:id="226" w:name="ref-talts_etal_2018"/>
    <w:p>
      <w:pPr>
        <w:pStyle w:val="Bibliography"/>
      </w:pPr>
      <w:r>
        <w:t xml:space="preserve">Talts, Sean, Michael Betancourt, Daniel Simpson, Aki Vehtari, and Andrew Gelman. 2018.</w:t>
      </w:r>
      <w:r>
        <w:t xml:space="preserve"> </w:t>
      </w:r>
      <w:hyperlink r:id="rId225">
        <w:r>
          <w:rPr>
            <w:rStyle w:val="Hyperlink"/>
          </w:rPr>
          <w:t xml:space="preserve">Validating</w:t>
        </w:r>
        <w:r>
          <w:rPr>
            <w:rStyle w:val="Hyperlink"/>
          </w:rPr>
          <w:t xml:space="preserve"> </w:t>
        </w:r>
        <w:r>
          <w:rPr>
            <w:rStyle w:val="Hyperlink"/>
          </w:rPr>
          <w:t xml:space="preserve">Bayesian</w:t>
        </w:r>
        <w:r>
          <w:rPr>
            <w:rStyle w:val="Hyperlink"/>
          </w:rPr>
          <w:t xml:space="preserve"> </w:t>
        </w:r>
        <w:r>
          <w:rPr>
            <w:rStyle w:val="Hyperlink"/>
          </w:rPr>
          <w:t xml:space="preserve">Inference Algorithms with Simulation-Based Calibration</w:t>
        </w:r>
      </w:hyperlink>
      <w:r>
        <w:t xml:space="preserve">. arXiv preprint arXiv:1804.06788.</w:t>
      </w:r>
    </w:p>
    <w:bookmarkEnd w:id="226"/>
    <w:bookmarkStart w:id="227"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27"/>
    <w:bookmarkStart w:id="229"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28">
        <w:r>
          <w:rPr>
            <w:rStyle w:val="Hyperlink"/>
          </w:rPr>
          <w:t xml:space="preserve">https://doi.org/10.1098/rsif.2008.0172</w:t>
        </w:r>
      </w:hyperlink>
      <w:r>
        <w:t xml:space="preserve">.</w:t>
      </w:r>
    </w:p>
    <w:bookmarkEnd w:id="229"/>
    <w:bookmarkEnd w:id="230"/>
    <w:bookmarkEnd w:id="231"/>
    <w:bookmarkEnd w:id="232"/>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hyperlink" Id="rId185" Target="https://doi.org/10.1002/arp.1477" TargetMode="External" /><Relationship Type="http://schemas.openxmlformats.org/officeDocument/2006/relationships/hyperlink" Id="rId204" Target="https://doi.org/10.1006/jaar.1997.0314" TargetMode="External" /><Relationship Type="http://schemas.openxmlformats.org/officeDocument/2006/relationships/hyperlink" Id="rId223" Target="https://doi.org/10.1016/j.jas.2007.01.003" TargetMode="External" /><Relationship Type="http://schemas.openxmlformats.org/officeDocument/2006/relationships/hyperlink" Id="rId173" Target="https://doi.org/10.1016/j.jas.2014.07.014" TargetMode="External" /><Relationship Type="http://schemas.openxmlformats.org/officeDocument/2006/relationships/hyperlink" Id="rId196" Target="https://doi.org/10.1016/j.jtbi.2013.03.006" TargetMode="External" /><Relationship Type="http://schemas.openxmlformats.org/officeDocument/2006/relationships/hyperlink" Id="rId218" Target="https://doi.org/10.1017/RDC.2020.41" TargetMode="External" /><Relationship Type="http://schemas.openxmlformats.org/officeDocument/2006/relationships/hyperlink" Id="rId221" Target="https://doi.org/10.1038/nature08227" TargetMode="External" /><Relationship Type="http://schemas.openxmlformats.org/officeDocument/2006/relationships/hyperlink" Id="rId175" Target="https://doi.org/10.1038/srep39122" TargetMode="External" /><Relationship Type="http://schemas.openxmlformats.org/officeDocument/2006/relationships/hyperlink" Id="rId170" Target="https://doi.org/10.1057/s41599-019-0295-9" TargetMode="External" /><Relationship Type="http://schemas.openxmlformats.org/officeDocument/2006/relationships/hyperlink" Id="rId166" Target="https://doi.org/10.1073/pnas.0903232106" TargetMode="External" /><Relationship Type="http://schemas.openxmlformats.org/officeDocument/2006/relationships/hyperlink" Id="rId212" Target="https://doi.org/10.1073/pnas.70.12.3321" TargetMode="External" /><Relationship Type="http://schemas.openxmlformats.org/officeDocument/2006/relationships/hyperlink" Id="rId228" Target="https://doi.org/10.1098/rsif.2008.0172" TargetMode="External" /><Relationship Type="http://schemas.openxmlformats.org/officeDocument/2006/relationships/hyperlink" Id="rId198" Target="https://doi.org/10.1098/rsif.2015.0905" TargetMode="External" /><Relationship Type="http://schemas.openxmlformats.org/officeDocument/2006/relationships/hyperlink" Id="rId168" Target="https://doi.org/10.1098/rspb.2004.2746" TargetMode="External" /><Relationship Type="http://schemas.openxmlformats.org/officeDocument/2006/relationships/hyperlink" Id="rId194" Target="https://doi.org/10.1111/j.1558-5646.2007.00310.x" TargetMode="External" /><Relationship Type="http://schemas.openxmlformats.org/officeDocument/2006/relationships/hyperlink" Id="rId177" Target="https://doi.org/10.1371/journal.pone.0041010" TargetMode="External" /><Relationship Type="http://schemas.openxmlformats.org/officeDocument/2006/relationships/hyperlink" Id="rId202" Target="https://doi.org/10.1371/journal.pone.0124942" TargetMode="External" /><Relationship Type="http://schemas.openxmlformats.org/officeDocument/2006/relationships/hyperlink" Id="rId200" Target="https://doi.org/10.1371/journal.pone.0250690" TargetMode="External" /><Relationship Type="http://schemas.openxmlformats.org/officeDocument/2006/relationships/hyperlink" Id="rId187" Target="https://doi.org/10.1525/aa.2001.103.4.992" TargetMode="External" /><Relationship Type="http://schemas.openxmlformats.org/officeDocument/2006/relationships/hyperlink" Id="rId182" Target="https://doi.org/10.1534/genetics.113.158220" TargetMode="External" /><Relationship Type="http://schemas.openxmlformats.org/officeDocument/2006/relationships/hyperlink" Id="rId192" Target="https://doi.org/10.1666/05070.1" TargetMode="External" /><Relationship Type="http://schemas.openxmlformats.org/officeDocument/2006/relationships/hyperlink" Id="rId179" Target="https://doi.org/10.2307/278341" TargetMode="External" /><Relationship Type="http://schemas.openxmlformats.org/officeDocument/2006/relationships/hyperlink" Id="rId225" Target="https://doi.org/10.48550/arXiv.1804.06788" TargetMode="External" /></Relationships>
</file>

<file path=word/_rels/footnotes.xml.rels><?xml version="1.0" encoding="UTF-8"?><Relationships xmlns="http://schemas.openxmlformats.org/package/2006/relationships"><Relationship Type="http://schemas.openxmlformats.org/officeDocument/2006/relationships/hyperlink" Id="rId185" Target="https://doi.org/10.1002/arp.1477" TargetMode="External" /><Relationship Type="http://schemas.openxmlformats.org/officeDocument/2006/relationships/hyperlink" Id="rId204" Target="https://doi.org/10.1006/jaar.1997.0314" TargetMode="External" /><Relationship Type="http://schemas.openxmlformats.org/officeDocument/2006/relationships/hyperlink" Id="rId223" Target="https://doi.org/10.1016/j.jas.2007.01.003" TargetMode="External" /><Relationship Type="http://schemas.openxmlformats.org/officeDocument/2006/relationships/hyperlink" Id="rId173" Target="https://doi.org/10.1016/j.jas.2014.07.014" TargetMode="External" /><Relationship Type="http://schemas.openxmlformats.org/officeDocument/2006/relationships/hyperlink" Id="rId196" Target="https://doi.org/10.1016/j.jtbi.2013.03.006" TargetMode="External" /><Relationship Type="http://schemas.openxmlformats.org/officeDocument/2006/relationships/hyperlink" Id="rId218" Target="https://doi.org/10.1017/RDC.2020.41" TargetMode="External" /><Relationship Type="http://schemas.openxmlformats.org/officeDocument/2006/relationships/hyperlink" Id="rId221" Target="https://doi.org/10.1038/nature08227" TargetMode="External" /><Relationship Type="http://schemas.openxmlformats.org/officeDocument/2006/relationships/hyperlink" Id="rId175" Target="https://doi.org/10.1038/srep39122" TargetMode="External" /><Relationship Type="http://schemas.openxmlformats.org/officeDocument/2006/relationships/hyperlink" Id="rId170" Target="https://doi.org/10.1057/s41599-019-0295-9" TargetMode="External" /><Relationship Type="http://schemas.openxmlformats.org/officeDocument/2006/relationships/hyperlink" Id="rId166" Target="https://doi.org/10.1073/pnas.0903232106" TargetMode="External" /><Relationship Type="http://schemas.openxmlformats.org/officeDocument/2006/relationships/hyperlink" Id="rId212" Target="https://doi.org/10.1073/pnas.70.12.3321" TargetMode="External" /><Relationship Type="http://schemas.openxmlformats.org/officeDocument/2006/relationships/hyperlink" Id="rId228" Target="https://doi.org/10.1098/rsif.2008.0172" TargetMode="External" /><Relationship Type="http://schemas.openxmlformats.org/officeDocument/2006/relationships/hyperlink" Id="rId198" Target="https://doi.org/10.1098/rsif.2015.0905" TargetMode="External" /><Relationship Type="http://schemas.openxmlformats.org/officeDocument/2006/relationships/hyperlink" Id="rId168" Target="https://doi.org/10.1098/rspb.2004.2746" TargetMode="External" /><Relationship Type="http://schemas.openxmlformats.org/officeDocument/2006/relationships/hyperlink" Id="rId194" Target="https://doi.org/10.1111/j.1558-5646.2007.00310.x" TargetMode="External" /><Relationship Type="http://schemas.openxmlformats.org/officeDocument/2006/relationships/hyperlink" Id="rId177" Target="https://doi.org/10.1371/journal.pone.0041010" TargetMode="External" /><Relationship Type="http://schemas.openxmlformats.org/officeDocument/2006/relationships/hyperlink" Id="rId202" Target="https://doi.org/10.1371/journal.pone.0124942" TargetMode="External" /><Relationship Type="http://schemas.openxmlformats.org/officeDocument/2006/relationships/hyperlink" Id="rId200" Target="https://doi.org/10.1371/journal.pone.0250690" TargetMode="External" /><Relationship Type="http://schemas.openxmlformats.org/officeDocument/2006/relationships/hyperlink" Id="rId187" Target="https://doi.org/10.1525/aa.2001.103.4.992" TargetMode="External" /><Relationship Type="http://schemas.openxmlformats.org/officeDocument/2006/relationships/hyperlink" Id="rId182" Target="https://doi.org/10.1534/genetics.113.158220" TargetMode="External" /><Relationship Type="http://schemas.openxmlformats.org/officeDocument/2006/relationships/hyperlink" Id="rId192" Target="https://doi.org/10.1666/05070.1" TargetMode="External" /><Relationship Type="http://schemas.openxmlformats.org/officeDocument/2006/relationships/hyperlink" Id="rId179" Target="https://doi.org/10.2307/278341" TargetMode="External" /><Relationship Type="http://schemas.openxmlformats.org/officeDocument/2006/relationships/hyperlink" Id="rId225" Target="https://doi.org/10.48550/arXiv.1804.06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2026-09-30T10:52:30Z</dcterms:created>
  <dcterms:modified xsi:type="dcterms:W3CDTF">2026-09-30T10:52:30Z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