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757ac3863136f413ebdeb6ccdb42db7e9103cf9"/>
    <w:p>
      <w:pPr>
        <w:pStyle w:val="Heading1"/>
      </w:pPr>
      <w:r>
        <w:t xml:space="preserve">Are the phases real? Distinguishing bounded interaction groups from spatially structured drift in lower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lower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Williams’s southeast-Missouri phases,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inferior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las fases del sureste de Misuri de Williams,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the HydroRIVERS river network (Lehner and Grill 2013),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lower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the HydroRIVERS river network</w:t>
      </w:r>
      <w:r>
        <w:t xml:space="preserve"> </w:t>
      </w:r>
      <w:r>
        <w:t xml:space="preserve">(Lehner and Grill 2013)</w:t>
      </w:r>
      <w:r>
        <w:t xml:space="preserve">, with line width scaled by flow order so the Mississippi main stem reads as the heaviest line.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lower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apply the same test to a second, independently constructed phase scheme, the southeast-Missouri phases Williams defined, and find that it too dissolves into drift. At the scale where the phases are drawn, in either region, they are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Mississippi Valley record is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afef94c1adb5abcfff10cf27fc9ec5e470348e2"/>
    <w:p>
      <w:pPr>
        <w:pStyle w:val="Heading3"/>
      </w:pPr>
      <w:r>
        <w:t xml:space="preserve">The lower Mississippi Valley case and two competing hypotheses</w:t>
      </w:r>
    </w:p>
    <w:p>
      <w:pPr>
        <w:pStyle w:val="FirstParagraph"/>
      </w:pPr>
      <w:r>
        <w:t xml:space="preserve">The late pre-contact lower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lower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calendrical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The first signature, departure from neutral transmission, follows Neiman’s</w:t>
      </w:r>
      <w:r>
        <w:t xml:space="preserve"> </w:t>
      </w:r>
      <w:r>
        <w:t xml:space="preserve">(1995)</w:t>
      </w:r>
      <w:r>
        <w:t xml:space="preserve"> </w:t>
      </w:r>
      <w:r>
        <w:t xml:space="preserve">application of the infinite-alleles model to ceramic assemblages. The transmission parameter is estimated from an assemblage’s unbiased homozygosity and, via the Ewens sampling formula</w:t>
      </w:r>
      <w:r>
        <w:t xml:space="preserve"> </w:t>
      </w:r>
      <w:r>
        <w:t xml:space="preserve">(1972)</w:t>
      </w:r>
      <w:r>
        <w:t xml:space="preserve">, from its number of classes, and the ratio of the two is the signature</w:t>
      </w:r>
      <w:r>
        <w:t xml:space="preserve"> </w:t>
      </w:r>
      <w:r>
        <w:t xml:space="preserve">(Shennan and Wilkinson 2001)</w:t>
      </w:r>
      <w:r>
        <w:t xml:space="preserve">. Because pooling assemblages from divergent groups cancels the signal, we computed it within spatial clusters and averaged across them.</w:t>
      </w:r>
    </w:p>
    <w:p>
      <w:pPr>
        <w:pStyle w:val="BodyText"/>
      </w:pPr>
      <w:r>
        <w:t xml:space="preserve">The second signature, seriation coherence, follows the iterative deterministic frequency-seriation method of Lipo, Madsen, and Dunnell</w:t>
      </w:r>
      <w:r>
        <w:t xml:space="preserve"> </w:t>
      </w:r>
      <w:r>
        <w:t xml:space="preserve">(2015)</w:t>
      </w:r>
      <w:r>
        <w:t xml:space="preserve">, which returns the complete set of maximal co-seriable groups. Because checking every possible ordering becomes computationally intractable beyond about fourteen assemblages, IDSS builds solutions agglomeratively, starting from the valid three-assemblage seriations and extending each by adding assemblages that keep every class unimodal and continuous, until none can be added. Each class’s departure from a single peak, or a break in its continuity, is assessed against bootstrap confidence intervals for the class frequencies, so it counts as a real break only when it exceeds the sampling error. Small, sparsely sampled assemblages have wider intervals and admit more orderings. We report the number and size of these groups and, for each assemblage, the number of distinct groups it joins.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is computed from the Brainerd-Robinson similarity for each assemblage pair</w:t>
      </w:r>
      <w:r>
        <w:t xml:space="preserve"> </w:t>
      </w:r>
      <w:r>
        <w:t xml:space="preserve">(Brainerd 1951; Robinson 1951)</w:t>
      </w:r>
      <w:r>
        <w:t xml:space="preserve">, a standard index ranging from 0 to 200 based on class proportions. We test its association with inter-site distance with a Mantel</w:t>
      </w:r>
      <w:r>
        <w:t xml:space="preserve"> </w:t>
      </w:r>
      <w:r>
        <w:t xml:space="preserve">(1967)</w:t>
      </w:r>
      <w:r>
        <w:t xml:space="preserve"> </w:t>
      </w:r>
      <w:r>
        <w:t xml:space="preserve">permutation test and, because a Mantel correlation cannot separate a sharp boundary from smooth distance decay, also compute the distance-controlled boundary excess.</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The idealized validation rests on a generative model of decorated-variant transmission under neutral copying, in which learners reproduce variants in proportion to their current frequency</w:t>
      </w:r>
      <w:r>
        <w:t xml:space="preserve"> </w:t>
      </w:r>
      <w:r>
        <w:t xml:space="preserve">(Bentley et al. 2004; Neiman 1995)</w:t>
      </w:r>
      <w:r>
        <w:t xml:space="preserve">. The model has three tunable controls: the between-group divergence of class profiles, the strength of within-group conformity, and a spatial rule placing group profiles on the landscape. Four generators instantiate the four idealized processes of Table 1: a bounded interaction group and its three mimics, environmental patchiness, aggregated signaling, and smooth distance-limited drift</w:t>
      </w:r>
      <w:r>
        <w:t xml:space="preserve"> </w:t>
      </w:r>
      <w:r>
        <w:t xml:space="preserve">(Mesoudi 2021)</w:t>
      </w:r>
      <w:r>
        <w:t xml:space="preserve">. We ran the simulation blind through the four-signature procedure across 500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The idealized validation uses large, clean assemblages and shows what the test can do in principle, not what it can do on a record like ours.</w:t>
      </w:r>
    </w:p>
    <w:p>
      <w:pPr>
        <w:pStyle w:val="BodyText"/>
      </w:pPr>
      <w:r>
        <w:t xml:space="preserve">The record-matched recovery builds synthetic pottery records in which we control whether group structure is emerging, varied from none to strong, and ask whether our four measures can detect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first is that assemblage size trends with seriation position, as noted above, so that a size-dependent estimator can move along the axis through sampling alone. We subsample every assemblage, synthetic and real, to a common count before scoring. The second is time-averaging, which we reproduce by blending adjacent-bin production within a window. Our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Within a run, innovation enters at a constant per-generation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(6 to 24 km), between-node mixing rate (0.02 to 0.20), and innovation rate (0.005 to 0.02 per learner per generation), and report the full sweep (see the Supplemental Text) rather than a single setting. To extend the test to a second, independently constructed phase scheme,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placing the two regions in a single coordinate frame. We then applied the same within-region structure test to Williams’s assemblages, restricting the analysis to Mississippian classes and scoring the between-cluster cultural F_ST against the drift and bounded-groups nulls on the southeast-Missouri coordinates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should also leave non-ceramic traces. We assembled two further lines, one genuinely independent of the ceramic data (the lithic exchange economy) and one that shares its collection substrate (settlement organization).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different combinations and configurations.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signature.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lower Mississippi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all but one of the runs,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weak: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been detected.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dated proveniences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same conclusion holds beyond the St. Francis basin, in southeast Missouri (Figure 10). Williams</w:t>
      </w:r>
      <w:r>
        <w:t xml:space="preserve"> </w:t>
      </w:r>
      <w:r>
        <w:t xml:space="preserve">(1954)</w:t>
      </w:r>
      <w:r>
        <w:t xml:space="preserve"> </w:t>
      </w:r>
      <w:r>
        <w:t xml:space="preserve">divided the southeast-Missouri lowlands into four Mississippian phases, and Fox</w:t>
      </w:r>
      <w:r>
        <w:t xml:space="preserve"> </w:t>
      </w:r>
      <w:r>
        <w:t xml:space="preserve">(1998)</w:t>
      </w:r>
      <w:r>
        <w:t xml:space="preserve"> </w:t>
      </w:r>
      <w:r>
        <w:t xml:space="preserve">showed, by Brainerd-Robinson similarity and cluster analysis, that those phases hold up as neither groups nor classes. Applied to the same assemblages, the transmission test reaches that verdict by a different route. The within-region structure is drift-consistent; the between-cluster cultural F_ST is at the neutral-drift level and far below the bounded-groups expectation; and the assemblages intermix rather than separating into clusters (Figure 11). Williams’s phases, like the named phases of the lower valley, are arbitrary divisions of a continuous field structured by geography and time, not bounded interaction groups. The conclusion is not peculiar to one phase scheme. A culture-history phase is not, by itself, a real social unit.</w:t>
      </w:r>
    </w:p>
    <w:p>
      <w:pPr>
        <w:pStyle w:val="CaptionedFigure"/>
      </w:pPr>
      <w:r>
        <w:drawing>
          <wp:inline>
            <wp:extent cx="4572000" cy="5251704"/>
            <wp:effectExtent b="0" l="0" r="0" t="0"/>
            <wp:docPr descr="Figure 10. Regional setting of the two-phase schemes.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e Mississippi main stem reads as the heaviest line. State boundaries and the North America locator inset are from Natural Earth."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two-phase schemes.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the Mississippi main stem reads as the heaviest line. State boundaries and the North America locator inset are from Natural Earth.</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lower Mississippi 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The same test, applied to Williams’s southeast-Missouri phases, a second and independently built phase scheme, returns the same verdict. They too dissolve into spatially structured drift.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1"/>
    <w:bookmarkStart w:id="112"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2"/>
    <w:bookmarkStart w:id="113"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3"/>
    <w:bookmarkStart w:id="115"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4">
        <w:r>
          <w:rPr>
            <w:rStyle w:val="Hyperlink"/>
          </w:rPr>
          <w:t xml:space="preserve">https://doi.org/10.1525/aa.2001.103.4.992</w:t>
        </w:r>
      </w:hyperlink>
      <w:r>
        <w:t xml:space="preserve">.</w:t>
      </w:r>
    </w:p>
    <w:bookmarkEnd w:id="115"/>
    <w:bookmarkStart w:id="117"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6">
        <w:r>
          <w:rPr>
            <w:rStyle w:val="Hyperlink"/>
          </w:rPr>
          <w:t xml:space="preserve">https://doi.org/10.2307/4128416</w:t>
        </w:r>
      </w:hyperlink>
      <w:r>
        <w:t xml:space="preserve">.</w:t>
      </w:r>
    </w:p>
    <w:bookmarkEnd w:id="117"/>
    <w:bookmarkStart w:id="119"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8">
        <w:r>
          <w:rPr>
            <w:rStyle w:val="Hyperlink"/>
          </w:rPr>
          <w:t xml:space="preserve">https://doi.org/10.1016/S1090-5138(98)00018-X</w:t>
        </w:r>
      </w:hyperlink>
      <w:r>
        <w:t xml:space="preserve">.</w:t>
      </w:r>
    </w:p>
    <w:bookmarkEnd w:id="119"/>
    <w:bookmarkStart w:id="120"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0"/>
    <w:bookmarkStart w:id="122"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1">
        <w:r>
          <w:rPr>
            <w:rStyle w:val="Hyperlink"/>
          </w:rPr>
          <w:t xml:space="preserve">https://doi.org/10.1017/aap.2021.10</w:t>
        </w:r>
      </w:hyperlink>
      <w:r>
        <w:t xml:space="preserve">.</w:t>
      </w:r>
    </w:p>
    <w:bookmarkEnd w:id="122"/>
    <w:bookmarkStart w:id="123"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3"/>
    <w:bookmarkStart w:id="124"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4"/>
    <w:bookmarkStart w:id="125"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5"/>
    <w:bookmarkStart w:id="127"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6">
        <w:r>
          <w:rPr>
            <w:rStyle w:val="Hyperlink"/>
          </w:rPr>
          <w:t xml:space="preserve">https://doi.org/10.1666/05070.1</w:t>
        </w:r>
      </w:hyperlink>
      <w:r>
        <w:t xml:space="preserve">.</w:t>
      </w:r>
    </w:p>
    <w:bookmarkEnd w:id="127"/>
    <w:bookmarkStart w:id="129"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8">
        <w:r>
          <w:rPr>
            <w:rStyle w:val="Hyperlink"/>
          </w:rPr>
          <w:t xml:space="preserve">https://doi.org/10.1111/j.1558-5646.2007.00310.x</w:t>
        </w:r>
      </w:hyperlink>
      <w:r>
        <w:t xml:space="preserve">.</w:t>
      </w:r>
    </w:p>
    <w:bookmarkEnd w:id="129"/>
    <w:bookmarkStart w:id="130"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0"/>
    <w:bookmarkStart w:id="132"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1">
        <w:r>
          <w:rPr>
            <w:rStyle w:val="Hyperlink"/>
          </w:rPr>
          <w:t xml:space="preserve">https://doi.org/10.1016/j.jtbi.2013.03.006</w:t>
        </w:r>
      </w:hyperlink>
      <w:r>
        <w:t xml:space="preserve">.</w:t>
      </w:r>
    </w:p>
    <w:bookmarkEnd w:id="132"/>
    <w:bookmarkStart w:id="134"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3">
        <w:r>
          <w:rPr>
            <w:rStyle w:val="Hyperlink"/>
          </w:rPr>
          <w:t xml:space="preserve">https://doi.org/10.1098/rsif.2015.0905</w:t>
        </w:r>
      </w:hyperlink>
      <w:r>
        <w:t xml:space="preserve">.</w:t>
      </w:r>
    </w:p>
    <w:bookmarkEnd w:id="134"/>
    <w:bookmarkStart w:id="136"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5">
        <w:r>
          <w:rPr>
            <w:rStyle w:val="Hyperlink"/>
          </w:rPr>
          <w:t xml:space="preserve">https://doi.org/10.1098/rsos.170949</w:t>
        </w:r>
      </w:hyperlink>
      <w:r>
        <w:t xml:space="preserve">.</w:t>
      </w:r>
    </w:p>
    <w:bookmarkEnd w:id="136"/>
    <w:bookmarkStart w:id="138"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7">
        <w:r>
          <w:rPr>
            <w:rStyle w:val="Hyperlink"/>
          </w:rPr>
          <w:t xml:space="preserve">https://doi.org/10.1146/annurev-ecolsys-110512-135838</w:t>
        </w:r>
      </w:hyperlink>
      <w:r>
        <w:t xml:space="preserve">.</w:t>
      </w:r>
    </w:p>
    <w:bookmarkEnd w:id="138"/>
    <w:bookmarkStart w:id="139"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39"/>
    <w:bookmarkStart w:id="141"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0">
        <w:r>
          <w:rPr>
            <w:rStyle w:val="Hyperlink"/>
          </w:rPr>
          <w:t xml:space="preserve">https://doi.org/10.2307/2694529</w:t>
        </w:r>
      </w:hyperlink>
      <w:r>
        <w:t xml:space="preserve">.</w:t>
      </w:r>
    </w:p>
    <w:bookmarkEnd w:id="141"/>
    <w:bookmarkStart w:id="142"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8"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1"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1"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3" Target="https://doi.org/10.1098/rsif.2015.0905" TargetMode="External" /><Relationship Type="http://schemas.openxmlformats.org/officeDocument/2006/relationships/hyperlink" Id="rId135"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8"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7"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4"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6"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0"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6"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2026-06-19T19:20:16Z</dcterms:created>
  <dcterms:modified xsi:type="dcterms:W3CDTF">2026-06-19T19:20:16Z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docs/manuscript/references.bib</vt:lpwstr>
  </property>
  <property fmtid="{D5CDD505-2E9C-101B-9397-08002B2CF9AE}" pid="3" name="csl">
    <vt:lpwstr>docs/manuscript/american-antiquity.csl</vt:lpwstr>
  </property>
</Properties>
</file>