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50.png" ContentType="image/png"/>
  <Override PartName="/word/media/rId18.png" ContentType="image/png"/>
  <Override PartName="/word/media/rId22.png" ContentType="image/png"/>
  <Override PartName="/word/media/rId31.png" ContentType="image/png"/>
  <Override PartName="/word/media/rId34.png" ContentType="image/png"/>
  <Override PartName="/word/media/rId37.png" ContentType="image/png"/>
  <Override PartName="/word/media/rId40.png" ContentType="image/png"/>
  <Override PartName="/word/media/rId53.png" ContentType="image/png"/>
  <Override PartName="/word/media/rId47.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8"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Mississippian archaeology’s foundational unit, rests on a silent premise: that assemblages more similar to nearby than to distant neighbors record a bounded society. This is rarely tested, yet neutral transmission produces the same clustering with no bounded groups: drift concentrates similar styles nearby.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and across the wider valley it generates far fewer coherent groups than the named phase scheme draws. Parkin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read as social, a record must be shown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unidad fundamental de la arqueología misisipiana, descansa sobre una premisa tácita: que los conjuntos más similares a sus vecinos cercanos que a los distantes registran una sociedad delimitada. Esto rara vez se pone a prueba, aunque la transmisión cultural neutral produce el mismo agrupamiento sin grupos delimitados: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cuenca del St. Francis como en los conjuntos del sureste de Misuri, la estructura se reproduce mediante deriva y no requiere grupos delimitados, y en el conjunto del valle la deriva genera muchos menos grupos coherentes de los que distingue el esquema de fases nombradas. Parkin es un puente de transmisión más que una capital. Evaluada directamente frente a las demás fases nombradas, la fase Parkin muestra a lo sumo una señal débil en el límite de lo que predice la deriva. Una frontera más marcada aparece solo entre el valle central y el valle inferior, confundida con el recambio cronológico y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Parkin is the largest of the moated, palisaded towns of the St. Francis basin in northeastern Arkansas. The chronicles of the Hernando de Soto expedition place it as Casqui, the seat of a paramount chief, which the expedition encountered in 1541</w:t>
      </w:r>
      <w:r>
        <w:t xml:space="preserve"> </w:t>
      </w:r>
      <w:r>
        <w:t xml:space="preserve">(Hudson et al. 1990; Mitchem 2001; Morse 1990)</w:t>
      </w:r>
      <w:r>
        <w:t xml:space="preserve">. On the strength of its size, fortification, platform mound, and ethnohistoric identification, Parkin is routinely read as the center of a Mississippian polity, on the long-standing assumption that a dominant mound center marks the apex of a ranked society</w:t>
      </w:r>
      <w:r>
        <w:t xml:space="preserve"> </w:t>
      </w:r>
      <w:r>
        <w:t xml:space="preserve">(Peebles and Kus 1977)</w:t>
      </w:r>
      <w:r>
        <w:t xml:space="preserve">. This chiefdom is inferred to have drawn tribute from the smaller villages around it, an argument based on its position on agriculturally poor soil, which required surrounding communities to provide it with provisions</w:t>
      </w:r>
      <w:r>
        <w:t xml:space="preserve"> </w:t>
      </w:r>
      <w:r>
        <w:t xml:space="preserve">(Morse 1990)</w:t>
      </w:r>
      <w:r>
        <w:t xml:space="preserve">. That reading is a specific claim about social structure: that the Parkin phase was a bounded, hierarchically organized society with Parkin at its apex.</w:t>
      </w:r>
    </w:p>
    <w:p>
      <w:pPr>
        <w:pStyle w:val="BodyText"/>
      </w:pPr>
      <w:r>
        <w:t xml:space="preserve">Whether such an entity existed at Parkin is an empirical question, and settlement morphology alone cannot answer it. A primary center of interaction, a palisade, and a monumental mound are each as compatible with a landscape of competing peer communities as with a consolidated hierarchy</w:t>
      </w:r>
      <w:r>
        <w:t xml:space="preserve"> </w:t>
      </w:r>
      <w:r>
        <w:t xml:space="preserve">(King and Freer 1995; Rees 2001)</w:t>
      </w:r>
      <w:r>
        <w:t xml:space="preserve">. The chronicles describe Casqui and its neighbor Pacaha in open conflict, a relationship read both as rivalry between competing peers and as a ranked order in which Casqui stood below Pacaha, so the chronicles do not by themselves establish a single consolidated hierarchy over the Parkin phase</w:t>
      </w:r>
      <w:r>
        <w:t xml:space="preserve"> </w:t>
      </w:r>
      <w:r>
        <w:t xml:space="preserve">(Hudson et al. 1990; Morse 1990)</w:t>
      </w:r>
      <w:r>
        <w:t xml:space="preserve">. We therefore ask what the material record shows when it is measured rather than read through the polity model. The comparable evidence shows no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carries no signature of interaction closing in on bounded groups.</w:t>
      </w:r>
    </w:p>
    <w:p>
      <w:pPr>
        <w:pStyle w:val="BodyText"/>
      </w:pPr>
      <w:r>
        <w:t xml:space="preserve">The more revealing question is why Parkin was taken for a polity in the first place. The answer is in the unit through which the record is read, a matter the renewed debate over archaeological systematics has brought back into focus</w:t>
      </w:r>
      <w:r>
        <w:t xml:space="preserve"> </w:t>
      </w:r>
      <w:r>
        <w:t xml:space="preserve">(Lyman 2021)</w:t>
      </w:r>
      <w:r>
        <w:t xml:space="preserve"> </w:t>
      </w:r>
      <w:r>
        <w:t xml:space="preserve">[CITE-CHECK: lyman_2021].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was attached to it all the same.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they judged, the chances are against archaeological phases having much social reality, and the most one can do is act as if they did. Williams</w:t>
      </w:r>
      <w:r>
        <w:t xml:space="preserve"> </w:t>
      </w:r>
      <w:r>
        <w:t xml:space="preserve">(1954)</w:t>
      </w:r>
      <w:r>
        <w:t xml:space="preserve">, defining the southeast-Missouri phases on which the regional scheme rests, adopted the social equation anyway, writing that a phase probably equals a society. That equation, disavowed at the source and reinstated in regional practice, is the silent premise. It holds that assemblages more similar to one another than to their neighbors record a bounded, mutually interacting social group. Endow such a group with a primate center, and it becomes a polity. The polity reading is, therefore, built into the unit before any independent evidence of hierarchy is weighed, and the construct has been questioned on exactly this ground. Fox</w:t>
      </w:r>
      <w:r>
        <w:t xml:space="preserve"> </w:t>
      </w:r>
      <w:r>
        <w:t xml:space="preserve">(1998)</w:t>
      </w:r>
      <w:r>
        <w:t xml:space="preserve"> </w:t>
      </w:r>
      <w:r>
        <w:t xml:space="preserve">showed, by cluster analysis and ordination, that the southeast-Missouri phases fail as both groups and classes, with their member assemblages assigned to statistical clusters at random rather than segregating by phase</w:t>
      </w:r>
      <w:r>
        <w:t xml:space="preserve"> </w:t>
      </w:r>
      <w:r>
        <w:t xml:space="preserve">(Mainfort 2003)</w:t>
      </w:r>
      <w:r>
        <w:t xml:space="preserve">.</w:t>
      </w:r>
    </w:p>
    <w:p>
      <w:pPr>
        <w:pStyle w:val="BodyText"/>
      </w:pPr>
      <w:r>
        <w:t xml:space="preserve">The premise is rarely tested, and it ignores a strong alternative.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decorated style behaves as a selectively neutral trait whose frequency drifts in a finite population of interacting learners</w:t>
      </w:r>
      <w:r>
        <w:t xml:space="preserve"> </w:t>
      </w:r>
      <w:r>
        <w:t xml:space="preserve">(Bentley et al. 2004;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2021)</w:t>
      </w:r>
      <w:r>
        <w:t xml:space="preserve">. On this account, a phase can be the ordinary residue of continuous, distance-structured interaction, and the very pattern the culture-history tradition reads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are the instrument for the test. Because stylistic variants are copied between potters along social-learning networks, the spatial and temporal structure of decorated-class frequencies records the structure of past interaction, and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focus first on the St. Francis basin, the setting of Parkin (Figure 1), and then widen the test to the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and the drift-versus-groups test we develop reads that structure directly rather than an imagined moment behind it.</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non-overlapping territories, a Voronoi partition of the assemblages Mainfort (1996b) assigns to each phase, over a local hydrology base (the St. Francis, Tyronza, and Mississippi rivers) with state and county boundaries. Each assemblage is plotted with a marker shape for its phase, and Parkin is starred. The 29 assemblages of the St. Francis basin transmission set, those within 20 km of the St. Francis, Tyronza, and L’Anguille drainage, are ringed in black. The hydrological basin is a geographic unit that crosses the Parkin, Nodena, Kent, Walls, and Parchman phases. The bounded territories illustrate the premise the paper tests, that such areas record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non-overlapping territories, a Voronoi partition of the assemblages Mainfort</w:t>
      </w:r>
      <w:r>
        <w:t xml:space="preserve"> </w:t>
      </w:r>
      <w:r>
        <w:t xml:space="preserve">(1996b)</w:t>
      </w:r>
      <w:r>
        <w:t xml:space="preserve"> </w:t>
      </w:r>
      <w:r>
        <w:t xml:space="preserve">assigns to each phase, over a local hydrology base (the St. Francis, Tyronza, and Mississippi rivers) with state and county boundaries. Each assemblage is plotted with a marker shape for its phase, and Parkin is starred. The 29 assemblages of the St. Francis basin transmission set, those within 20 km of the St. Francis, Tyronza, and L’Anguille drainage, are ringed in black. The hydrological basin is a geographic unit that crosses the Parkin, Nodena, Kent, Walls, and Parchman phases. The bounded territories illustrate the premise the paper tests, that such areas record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an equifinality, the same pattern reached by different processes, that defeats one-signature inference</w:t>
      </w:r>
      <w:r>
        <w:t xml:space="preserve"> </w:t>
      </w:r>
      <w:r>
        <w:t xml:space="preserve">(Barrett 2019; Crema et al. 2016; Kandler and Shennan 2015; Mesoudi 2021)</w:t>
      </w:r>
      <w:r>
        <w:t xml:space="preserve">. We therefore compare the two processes in a generative manner. We simulate neutral spatial drift and bounded groups on the real coordinate layout of the assemblages and ask which reproduces the observed structure, using four transmission signatures, departure from neutral copying, breakdown of frequency-seriation coherence, between-group variance, and spatial assortativity, as diagnostics of whether interaction has closed rather than as a stand-alone test. Because an archaeological assemblage is time-averaged and sampled to varying depth, a signature can register a difference that is an artifact of sampling rather than of transmission, so we calibrate the comparison to the record by a signal-recovery experiment: into synthetic assemblages matched to the real number, sample sizes, and time-averaging we inject a known signal of tunable strength and read off how strong a real boundary would have to be to register. Only a calibrated comparison can license the conclusion that an absence of group structure is real rather than a failure of resolution. This calibration is the transferable contribution, because before any similarity structure is read as social, a record must be shown to be able to distinguish drift from groups at all.</w:t>
      </w:r>
    </w:p>
    <w:p>
      <w:pPr>
        <w:pStyle w:val="BodyText"/>
      </w:pPr>
      <w:r>
        <w:t xml:space="preserve">The argument proceeds in three steps. First, we evaluate Parkin as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carry. Hence, the phase is a continuous interaction structured by where sites sit rather than a closed group with a boundary, and Parkin is a transmission bridge across orderings rather than the core of one. Third, we widen the test to the other late-period phases of the valley and ask whether any decorated-ceramic boundary exists. A boundary that exceeds neutral drift appears only between the central-valley and lower-valley blocks, and even there, it is confounded with the early-to-late turnover of the class repertoire. It cannot yet be read as a synchronic social division. At the scale where the phase is drawn, it is largely indistinguishable from spatially structured drift, and Parkin is best read as a prominent node in a continuous interaction field rather than the capital of a polity.</w:t>
      </w:r>
    </w:p>
    <w:bookmarkEnd w:id="14"/>
    <w:bookmarkStart w:id="17"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We take a materialist approach to cultural transmission, which frames the question differently from how the central-valley record is usually read. Archaeologists are trained to think with bounded units, the phase, the polity, the society, discrete entities with members and edges, and to read a cluster of similar assemblages as one of them. We treat transmission instead as a continuous and variable field of copying events among potters, a field with no intrinsic edges, in which interaction falls off with distance and learning can be more local in some places and times than in others. On this view, a group is not a thing with a boundary but a region where transmission has thickened, and similarity is a matter of degree set by how copying is distributed across space. That field can also close off by degree, interaction narrowing until potters copy mostly within a subset and rarely outside it, producing something that looks like the bounded groups archaeologists think with. The difficulty with the phase is that ordinary interaction already makes nearby assemblages more alike than distant ones, even without distance, so clusters by themselves prove nothing. What would mark a real bounded group is closure beyond what distance predicts, and that excess is the signal we test for.</w:t>
      </w:r>
    </w:p>
    <w:p>
      <w:pPr>
        <w:pStyle w:val="BodyText"/>
      </w:pPr>
      <w:r>
        <w:t xml:space="preserve">The phase concept gives the central-valley record its social structure. A phase is formed operationally as a set of assemblages that seriate together and cluster in space. It is interpreted, however, as a social entity equivalent to a bounded, interacting community, on the premise that assemblages are more alike within a phase than across its edges, thereby recording who interacted with whom</w:t>
      </w:r>
      <w:r>
        <w:t xml:space="preserve"> </w:t>
      </w:r>
      <w:r>
        <w:t xml:space="preserve">(McNutt 1996; Morse and Morse 1983; Phillips et al. 1951; Williams 1954)</w:t>
      </w:r>
      <w:r>
        <w:t xml:space="preserve">. The premise is not arbitrary. Under the neutral transmission model, it would hold if learning were confined within social boundaries, so that decoration drifted in separate pools and diverged between them. The difficulty is that the same pattern arises with no boundary at all when interaction declines with distance, because spatially structured drift concentrates similarity among near neighbors, the isolation-by-distance expectation for cultural similarity</w:t>
      </w:r>
      <w:r>
        <w:t xml:space="preserve"> </w:t>
      </w:r>
      <w:r>
        <w:t xml:space="preserve">(Lipo et al. 2021; Neiman 1995; Shennan et al. 2015)</w:t>
      </w:r>
      <w:r>
        <w:t xml:space="preserve">. The question the ceramic record must answer is the operational one: does the similarity structure record bounded interaction, or spatially structured drift? Throughout, we call decoration that is transmitted preferentially within a group and diverges between groups a marker, rather than a neutral style drifting in a single shared pool. A marker is the ceramic expression, the empirical proxy, of interaction closing into a bounded group, so the drift-versus-groups question is equivalently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Decorated ceramics record the structure of social interaction because stylistic variants are copied between potters along social-learning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Eerkens and Lipo 2005; Neiman 1995)</w:t>
      </w:r>
      <w:r>
        <w:t xml:space="preserve">. Neutral style is the null condition: assemblages drawn from a single interacting community share one drifting pool, and their decorated-class frequencies admit a single battleship-curve seriation</w:t>
      </w:r>
      <w:r>
        <w:t xml:space="preserve"> </w:t>
      </w:r>
      <w:r>
        <w:t xml:space="preserve">(Lipo et al. 2015)</w:t>
      </w:r>
      <w:r>
        <w:t xml:space="preserve">. Assortment, the tendency for like to learn from like, so that interaction sorts into distinct groups, changes this.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sharpened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and the discriminating signal, where it survives, lies in the rare-variant tail of the frequency distribution rather than in its common classes</w:t>
      </w:r>
      <w:r>
        <w:t xml:space="preserve"> </w:t>
      </w:r>
      <w:r>
        <w:t xml:space="preserve">(Carrignon et al. 2019; Kandler et al. 2017; Mesoudi 2021; O’Dwyer and Kandler 2017)</w:t>
      </w:r>
      <w:r>
        <w:t xml:space="preserve">.</w:t>
      </w:r>
      <w:r>
        <w:t xml:space="preserve"> </w:t>
      </w:r>
      <w:r>
        <w:t xml:space="preserve">### The central Mississippi Valley case and two competing hypotheses</w:t>
      </w:r>
    </w:p>
    <w:p>
      <w:pPr>
        <w:pStyle w:val="BodyText"/>
      </w:pPr>
      <w:r>
        <w:t xml:space="preserve">The late pre-contact central Mississippi Valley supports two readings of the same record, and they make opposite predictions for the transmission signature. The first holds that the region was moving toward greater complexity. In northeastern Arkansas the Parkin phase (ca. A.D. 1400 to 1600, with a thin protohistoric tail, consistent with the basin radiocarbon reported below) is a dense cluster of fortified, moated St-Francis-type towns along the St. Francis and Tyronza rivers, dominated by the Parkin site, a roughly 17-acre palisaded center with a platform mound rising more than 6 m that the De Soto chronicles place as the seat of the paramount of Casqui</w:t>
      </w:r>
      <w:r>
        <w:t xml:space="preserve"> </w:t>
      </w:r>
      <w:r>
        <w:t xml:space="preserve">(Dye and Cox 1990; Mitchem 2001; Morse 1990)</w:t>
      </w:r>
      <w:r>
        <w:t xml:space="preserve">. Based on this information, Parkin’s location on agriculturally poor soil suggests that it drew tribute from smaller villages, a hallmark of an emerging chiefly hierarchy</w:t>
      </w:r>
      <w:r>
        <w:t xml:space="preserve"> </w:t>
      </w:r>
      <w:r>
        <w:t xml:space="preserve">(Morse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et al. 2024; Cobb and Butler 2002)</w:t>
      </w:r>
      <w:r>
        <w:t xml:space="preserve">. The second reading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a landscape of competing peers, though the same sources have also been read as ranking Casqui below Pacaha, and the chronicle ethnography is thin and filtered</w:t>
      </w:r>
      <w:r>
        <w:t xml:space="preserve"> </w:t>
      </w:r>
      <w:r>
        <w:t xml:space="preserve">(Hudson et al. 1990; Mitchem 2001; Morse 1990)</w:t>
      </w:r>
      <w:r>
        <w:t xml:space="preserve">. The two cannot be separated by settlement morphology alone. They can be separated by determining whether the transmission record shows interaction closing into bounded groups, which is the test we now construct.</w:t>
      </w:r>
    </w:p>
    <w:bookmarkEnd w:id="16"/>
    <w:bookmarkEnd w:id="17"/>
    <w:bookmarkStart w:id="21" w:name="Xe1cc53abb112c2b395e3beee2af5ceb0aad4bed"/>
    <w:p>
      <w:pPr>
        <w:pStyle w:val="Heading2"/>
      </w:pPr>
      <w:r>
        <w:t xml:space="preserve">Distinguishing true group structure from spatially structured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a potter can learn a design from anyone she encounters, near or far, so styles circulate through one connected population. Interaction closes when that circulation narrows: potters come to copy mostly from others inside their own group and rarely from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the test sets out to measure, and in the synthetic experiments below, we tune it as a parameter,</w:t>
      </w:r>
      <w:r>
        <w:t xml:space="preserve"> </w:t>
      </w:r>
      <w:r>
        <w:rPr>
          <w:i/>
          <w:iCs/>
        </w:rPr>
        <w:t xml:space="preserve">s</w:t>
      </w:r>
      <w:r>
        <w:t xml:space="preserve">, from 0 (pure drift, no closure) to 1 (strong, sharply bounded groups). The four signatures are each a different consequence of closure, and we state each first in plain terms before naming its formal measure.</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an assemblage’s diversity agree.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Each yields an estimate of the same underlying transmission parameter, and under random copying, the two estimates coincide. Conformity, in which potters disproportionately copy whatever is already common, is a process that will concentrate frequency to a few ceramic classes.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 While sampling error certainly does need to be accounted for, classical practice ignores the fact that</w:t>
      </w:r>
      <w:r>
        <w:t xml:space="preserve"> </w:t>
      </w:r>
      <w:r>
        <w:rPr>
          <w:i/>
          <w:iCs/>
        </w:rPr>
        <w:t xml:space="preserve">failure to seriate together</w:t>
      </w:r>
      <w:r>
        <w:t xml:space="preserve"> </w:t>
      </w:r>
      <w:r>
        <w:t xml:space="preserve">is perhaps the most valuable aspect of the seriation method, because it tells us when locales are far enough</w:t>
      </w:r>
      <w:r>
        <w:t xml:space="preserve"> </w:t>
      </w:r>
      <w:r>
        <w:t xml:space="preserve">“out of step”</w:t>
      </w:r>
      <w:r>
        <w:t xml:space="preserve"> </w:t>
      </w:r>
      <w:r>
        <w:t xml:space="preserve">with the continuous flow of interaction and social learning around them that there is interesting structure to their interaction history</w:t>
      </w:r>
      <w:r>
        <w:t xml:space="preserve"> </w:t>
      </w:r>
      <w:r>
        <w:t xml:space="preserve">(2015)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applied to cultural transmission where between-group variation in socially learned traits routinely exceeds its genetic counterpart</w:t>
      </w:r>
      <w:r>
        <w:t xml:space="preserve"> </w:t>
      </w:r>
      <w:r>
        <w:t xml:space="preserve">(Bell et al. 2009)</w:t>
      </w:r>
      <w:r>
        <w:t xml:space="preserve">, computed here on Gini-Simpson diversity, the chance that two sherds drawn at random from a assemblage are of different classes. F_ST is the share of the total diversity that is due to differences between groups rather than to variation within them. When every assemblage draws on one shared, drifting pool of styles, between-group differences are small, and F_ST sits near zero, and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generates between-group variance on its own, because subpopulations retain different amounts of diversity depending on their size and connectivity: small or sparsely connected areas drift to depleted, idiosyncratic repertoires while larger, well-connected ones stay richer, so the resulting differences read as distinct interacting groups when they are produced by spatial position alone</w:t>
      </w:r>
      <w:r>
        <w:t xml:space="preserve"> </w:t>
      </w:r>
      <w:r>
        <w:t xml:space="preserve">(Lipo et al. 2021)</w:t>
      </w:r>
      <w:r>
        <w:t xml:space="preserve">. The measure must therefore be calibrated against that spatial-drift null rather than read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pairs of assemblages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it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the gradual fade of similarity with distance that follows when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Their joint movement, therefore, cannot by itself separate a real interaction group from drift. We therefore do not rest on the signatures alone. Instead, we compare the two processes generatively: we simulate each one forward, neutral spatial drift and bounded groups alike, on the real geography of the assemblages and ask which reproduces the observed structure, reading the signatures as diagnostics of where each process leaves its mark.</w:t>
      </w:r>
    </w:p>
    <w:p>
      <w:pPr>
        <w:pStyle w:val="BodyText"/>
      </w:pPr>
      <w:r>
        <w:rPr>
          <w:b/>
          <w:bCs/>
        </w:rPr>
        <w:t xml:space="preserve">Table 1.</w:t>
      </w:r>
      <w:r>
        <w:t xml:space="preserve"> </w:t>
      </w:r>
      <w:r>
        <w:t xml:space="preserve">The transmission signatures each process is expected to leave a mark on, where ● marks a signature the process drives and ○ marks one it leaves flat. Only a bounded interaction group drives all four. Each alternative produces a characteristic subset, a pattern our simulation confirms on idealized data (Figure S4). This is an idealized expectation under smooth, deterministic processes, not a claim about what is detectable in a real record. Two qualifications make this an aspirational goal rather than necessarily operative. First, the generator diagnostic (Supplemental Text) shows that the non-F_ST rows are not realizable at this record’s resolution, because the neutral and seriation signatures fail to register a signal even when one is injected through its own pathway. The detectable discrimination, therefore, reduces to cultural F_ST (Figure 4). Second, under realistic stochastic spatial drift, the F_ST and spatial-assortativity rows are themselves driven in the absence of a bounded group (Results, Figure S5). The table frames the possible combinations of factors that may contribute to a signal of bounded group structure. The generative drift-versus-groups comparison provides a practical assessment.</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Signature</w:t>
            </w:r>
          </w:p>
        </w:tc>
        <w:tc>
          <w:tcPr/>
          <w:p>
            <w:pPr>
              <w:pStyle w:val="Compact"/>
              <w:jc w:val="center"/>
            </w:pPr>
            <w:r>
              <w:t xml:space="preserve">Bounded interaction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with limited interaction</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Convergence of all four</w:t>
            </w:r>
          </w:p>
        </w:tc>
        <w:tc>
          <w:tcPr/>
          <w:p>
            <w:pPr>
              <w:pStyle w:val="Compact"/>
              <w:jc w:val="center"/>
            </w:pPr>
            <w:r>
              <w:rPr>
                <w:b/>
                <w:bCs/>
              </w:rPr>
              <w:t xml:space="preserve">yes</w:t>
            </w:r>
          </w:p>
        </w:tc>
        <w:tc>
          <w:tcPr/>
          <w:p>
            <w:pPr>
              <w:pStyle w:val="Compact"/>
              <w:jc w:val="center"/>
            </w:pPr>
            <w:r>
              <w:rPr>
                <w:b/>
                <w:bCs/>
              </w:rPr>
              <w:t xml:space="preserve">no</w:t>
            </w:r>
          </w:p>
        </w:tc>
        <w:tc>
          <w:tcPr/>
          <w:p>
            <w:pPr>
              <w:pStyle w:val="Compact"/>
              <w:jc w:val="center"/>
            </w:pPr>
            <w:r>
              <w:rPr>
                <w:b/>
                <w:bCs/>
              </w:rPr>
              <w:t xml:space="preserve">no</w:t>
            </w:r>
          </w:p>
        </w:tc>
        <w:tc>
          <w:tcPr/>
          <w:p>
            <w:pPr>
              <w:pStyle w:val="Compact"/>
              <w:jc w:val="center"/>
            </w:pPr>
            <w:r>
              <w:rPr>
                <w:b/>
                <w:bCs/>
              </w:rPr>
              <w:t xml:space="preserve">no</w:t>
            </w:r>
          </w:p>
        </w:tc>
      </w:tr>
    </w:tbl>
    <w:p>
      <w:pPr>
        <w:pStyle w:val="BodyText"/>
      </w:pPr>
      <w:r>
        <w:t xml:space="preserve">Drift with distance-limited interaction produces a raw decay of similarity with distance. The distance-controlled boundary-excess statistic, however, is near zero under smooth isolation-by-distance, so it drives none of the four. This holds for smooth, deterministic isolation-by-distance. Stochastic neutral drift on a finite network is less forgiving, generating patchy divergence that registers as a positive boundary excess even in the absence of a social boundary, a mimicry that the record-matched controls expose directly (Results). Aggregated signaling raises the neutrality departure in a single undivided pool without forming the between-group boundaries that the other signatures require.</w:t>
      </w:r>
    </w:p>
    <w:p>
      <w:pPr>
        <w:pStyle w:val="BodyText"/>
      </w:pPr>
      <w:r>
        <w:t xml:space="preserve">Because closure, if it occurred, would build up across the sequence, we read convergence as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would converge trivially. We therefore validate the test on simulated assemblages before applying it, confirming both that convergence arises only when interaction closes into a bounded group and not under any mimic, and that the four signatures are tightly correlated under such closure yet nearly independent under the mimics, so their joint movement is informative rather than automatic. The convergence logic has an archaeological precedent. Neiman</w:t>
      </w:r>
      <w:r>
        <w:t xml:space="preserve"> </w:t>
      </w:r>
      <w:r>
        <w:t xml:space="preserve">(1995)</w:t>
      </w:r>
      <w:r>
        <w:t xml:space="preserve"> </w:t>
      </w:r>
      <w:r>
        <w:t xml:space="preserve">showed that two independently derived, theory-grounded measures of the same ceramic data, within-assemblage diversity and between-assemblage distance, converge on the same inference about past interaction, and we generalize that two-measure agreement to four. This validates the concept. Whether all four signatures, or only some, can actually do so on a record like ours is a separate question that we settle by calibrating the test directly to synthetic data matched to the Parkin assemblages. Both procedures are presented with their methods and outcomes. Figure 2 previews what the test distinguishes, the sharp structure a bounded group would leave against the blur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19" name="Picture"/>
            <a:graphic>
              <a:graphicData uri="http://schemas.openxmlformats.org/drawingml/2006/picture">
                <pic:pic>
                  <pic:nvPicPr>
                    <pic:cNvPr descr="../../figures/fig2_concept.png" id="20" name="Picture"/>
                    <pic:cNvPicPr>
                      <a:picLocks noChangeArrowheads="1" noChangeAspect="1"/>
                    </pic:cNvPicPr>
                  </pic:nvPicPr>
                  <pic:blipFill>
                    <a:blip r:embed="rId18"/>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theoretically sufficient. The transmission model entails its assumptions, so the result is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so that no single time-point statistic can be. And it should be empirically sufficient, matched to the quality of the archaeological record and defined at the time-averaged resolution the deposit preserves rather than at a generational resolution it does not</w:t>
      </w:r>
      <w:r>
        <w:t xml:space="preserve"> </w:t>
      </w:r>
      <w:r>
        <w:t xml:space="preserve">(Holdaway and Wandsnider 2008; Perreault 2019)</w:t>
      </w:r>
      <w:r>
        <w:t xml:space="preserve">. Our four signatures are theoretically grounded by construction, each of which is entailed by the transmission model. Empirical sufficiency, whether a signature can actually register a signal at the resolution the deposit preserves, is not guaranteed by that grounding, so we test it rather than assume it.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1"/>
    <w:bookmarkStart w:id="30" w:name="materials-and-methods"/>
    <w:p>
      <w:pPr>
        <w:pStyle w:val="Heading2"/>
      </w:pPr>
      <w:r>
        <w:t xml:space="preserve">Materials and methods</w:t>
      </w:r>
    </w:p>
    <w:bookmarkStart w:id="25" w:name="data"/>
    <w:p>
      <w:pPr>
        <w:pStyle w:val="Heading3"/>
      </w:pPr>
      <w:r>
        <w:t xml:space="preserve">Data</w:t>
      </w:r>
    </w:p>
    <w:p>
      <w:pPr>
        <w:pStyle w:val="FirstParagraph"/>
      </w:pPr>
      <w:r>
        <w:t xml:space="preserve">The ceramic data are the decorated-class counts compiled by Phillips, Ford, and Griffin</w:t>
      </w:r>
      <w:r>
        <w:t xml:space="preserve"> </w:t>
      </w:r>
      <w:r>
        <w:t xml:space="preserve">(1951)</w:t>
      </w:r>
      <w:r>
        <w:t xml:space="preserve"> </w:t>
      </w:r>
      <w:r>
        <w:t xml:space="preserve">for the Lower Mississippi Survey, an assemblage-by-class matrix of 266 surface assemblages from the central valley</w:t>
      </w:r>
      <w:r>
        <w:t xml:space="preserve"> </w:t>
      </w:r>
      <w:r>
        <w:t xml:space="preserve">(Lipo 2001)</w:t>
      </w:r>
      <w:r>
        <w:t xml:space="preserve">. Each decorated class is a unit of measurement that the analyst defines to capture stylistic variation, not a native category assumed in advance. We restrict the analysis to the St. Francis basin of northeastern Arkansas, the setting of Parkin, defined hydrologically as the assemblages within 20 km of the St. Francis, Tyronza, and L’Anguille drainage (Figure 1). This yields 29 decorated assemblages for the transmission analysis and 92 sites for the settlement comparison.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therefore asks whether interaction closed into bounded groups anywhere in the basin, across the phase divisions that culture history draws within it as well as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assemblages, so each aggregate pottery over the use-life of its deposit, and such aggregation distorts diversity and neutrality statistics in proportion to the mean lifetime of the variants</w:t>
      </w:r>
      <w:r>
        <w:t xml:space="preserve"> </w:t>
      </w:r>
      <w:r>
        <w:t xml:space="preserve">(Madsen 2012; Miller-Atkins and Premo 2018)</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w:t>
      </w:r>
      <w:r>
        <w:t xml:space="preserve"> </w:t>
      </w:r>
      <w:r>
        <w:t xml:space="preserve">(2001)</w:t>
      </w:r>
      <w:r>
        <w:t xml:space="preserve"> </w:t>
      </w:r>
      <w:r>
        <w:t xml:space="preserve">compilation yields 109 determinations for the central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pooled median calibrated ages correlate with seriation position at Spearman +0.70 (n = 5, 27 dates pooled), an improvement on the +0.50 of the single-date anchors, with four of the five sites in calendar order and one late-dated site departing from it. The axis, therefore, tracks calendar time, but imperfectly. The trajectory we test is an ordinal measure,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3" name="Picture"/>
            <a:graphic>
              <a:graphicData uri="http://schemas.openxmlformats.org/drawingml/2006/picture">
                <pic:pic>
                  <pic:nvPicPr>
                    <pic:cNvPr descr="../../figures/fig3_ca_ordination.png" id="24" name="Picture"/>
                    <pic:cNvPicPr>
                      <a:picLocks noChangeArrowheads="1" noChangeAspect="1"/>
                    </pic:cNvPicPr>
                  </pic:nvPicPr>
                  <pic:blipFill>
                    <a:blip r:embed="rId22"/>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5"/>
    <w:bookmarkStart w:id="26"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classes, using the Ewens sampling formula</w:t>
      </w:r>
      <w:r>
        <w:t xml:space="preserve"> </w:t>
      </w:r>
      <w:r>
        <w:t xml:space="preserve">(1972)</w:t>
      </w:r>
      <w:r>
        <w:t xml:space="preserve"> </w:t>
      </w:r>
      <w:r>
        <w:t xml:space="preserve">to estimate the number of classes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(Dunnell 1970; Graves and Cachola-Abad 1996; Lipo et al. 1997, 2015)</w:t>
      </w:r>
      <w:r>
        <w:t xml:space="preserve">. A set of assemblages is co-seriable if some ordering renders every decorated class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classes: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w:t>
      </w:r>
      <w:r>
        <w:t xml:space="preserve"> </w:t>
      </w:r>
      <w:r>
        <w:t xml:space="preserve">(Brainerd 1951; Robinson 1951)</w:t>
      </w:r>
      <w:r>
        <w:t xml:space="preserve">, a standard index ranging from 0 to 200 that indicates how alike two assemblages are in their class proportions, for every pair of assemblages. We tested its association with inter-site distance by a Mantel</w:t>
      </w:r>
      <w:r>
        <w:t xml:space="preserve"> </w:t>
      </w:r>
      <w:r>
        <w:t xml:space="preserve">(1967)</w:t>
      </w:r>
      <w:r>
        <w:t xml:space="preserve"> </w:t>
      </w:r>
      <w:r>
        <w:t xml:space="preserve">permutation test, which asks whether two distance matrices, here ceramic dissimilarity and geographic distance, are related.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read. Assemblage sample size trends with seriation position, and several of the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6"/>
    <w:bookmarkStart w:id="27" w:name="criterion-validation-by-simulation"/>
    <w:p>
      <w:pPr>
        <w:pStyle w:val="Heading3"/>
      </w:pPr>
      <w:r>
        <w:t xml:space="preserve">Criterion validation by simulation</w:t>
      </w:r>
    </w:p>
    <w:p>
      <w:pPr>
        <w:pStyle w:val="FirstParagraph"/>
      </w:pPr>
      <w:r>
        <w:t xml:space="preserve">We validated the test in two stages. The first establishes the principle. A generative model copies decorated variants under neutral transmission, the random-copying process in which learners reproduce variants in proportion to their current frequency</w:t>
      </w:r>
      <w:r>
        <w:t xml:space="preserve"> </w:t>
      </w:r>
      <w:r>
        <w:t xml:space="preserve">(Bentley et al. 2004; Neiman 1995)</w:t>
      </w:r>
      <w:r>
        <w:t xml:space="preserve">, with three tunable controls: the between-group divergence of class profiles, the strength of within-group conformity, and a spatial rule placing group profiles on the landscape. Four generators, one per row of Table 1, instantiate the four competing processes</w:t>
      </w:r>
      <w:r>
        <w:t xml:space="preserve"> </w:t>
      </w:r>
      <w:r>
        <w:t xml:space="preserve">(Mesoudi 2021)</w:t>
      </w:r>
      <w:r>
        <w:t xml:space="preserve">. Run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The recovery test is generative: we built synthetic pottery records in which we controlled whether group structure was emerging, dialed from none to strong, and then asked whether our four measures could see it. The synthetic records were matched to the real ones: the same number of assemblages, the same range of sample sizes, the same blurring of time that surface assemblages impose</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injected a known group-closure signal of tunable strength s (between-group divergence and within-group conformity rising together along the sequence to a maximum of s), and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Assemblage sample size trends with seriation position (Spearman rho = +0.59), and several signatures are size-sensitive so that a size-dependent estimator can rise or fall along the axis through sampling alone. We therefore subsample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read against the same null.</w:t>
      </w:r>
    </w:p>
    <w:bookmarkEnd w:id="27"/>
    <w:bookmarkStart w:id="28"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under a fixed innovation rate, with deposition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(1954)</w:t>
      </w:r>
      <w:r>
        <w:t xml:space="preserve">, digitized from the survey tables. We georeferenced both the Phillips-Ford-Griffin and the Williams assemblages using their Lower Mississippi Survey grid designations against the digitized survey point files, so that the two regions share a single coordinate frame. Decorated classes were harmonized between the two typologies, both rooted in the Phillips-Ford-Griffin framework, into a common vocabulary, and the between-region comparison was run both on all decorated classes and on the classes shared by the two typologies (Supplemental Text).</w:t>
      </w:r>
    </w:p>
    <w:bookmarkEnd w:id="28"/>
    <w:bookmarkStart w:id="29"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And we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29"/>
    <w:bookmarkEnd w:id="30"/>
    <w:bookmarkStart w:id="43"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the drift and other mimics each light only a characteristic subset, and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where the injected strength s is a dial from 0, pure drift, to 1, strong and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2" name="Picture"/>
            <a:graphic>
              <a:graphicData uri="http://schemas.openxmlformats.org/drawingml/2006/picture">
                <pic:pic>
                  <pic:nvPicPr>
                    <pic:cNvPr descr="../../figures/fig4_recovery.png" id="33" name="Picture"/>
                    <pic:cNvPicPr>
                      <a:picLocks noChangeArrowheads="1" noChangeAspect="1"/>
                    </pic:cNvPicPr>
                  </pic:nvPicPr>
                  <pic:blipFill>
                    <a:blip r:embed="rId31"/>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St. Francis basin, that one reliable signature shows no closure into bounded groups, and the apparent signals in the others are confounded by sample size (Figure 5). The raw trajectory along the seriation axis seems to dissociate, but two of its trends are sampling artifacts: because assemblage size trends with seriation position, the size-sensitive estimators move with it. Two of the apparent trends are artifacts of sample size. Once every assemblage is trimmed to a common sherd count by subsampling, cultural F_ST falls from a raw +0.60 to +0.01, and its uncertainty range runs from no closure to a moderate signal, so it is uninformative rather than a resolved positive. The neutrality departure is likewise size-sensitive (its raw -0.94 only weakens to -0.83 under size control), and the recovery shows that it does not track closure in either direction here, so it, too, cannot be read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so the result is not only that no bounded group is detectable, but also that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5" name="Picture"/>
            <a:graphic>
              <a:graphicData uri="http://schemas.openxmlformats.org/drawingml/2006/picture">
                <pic:pic>
                  <pic:nvPicPr>
                    <pic:cNvPr descr="../../figures/fig5_empirical_trajectory.png" id="36" name="Picture"/>
                    <pic:cNvPicPr>
                      <a:picLocks noChangeArrowheads="1" noChangeAspect="1"/>
                    </pic:cNvPicPr>
                  </pic:nvPicPr>
                  <pic:blipFill>
                    <a:blip r:embed="rId34"/>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aimless wobble of unbiased copying or the directed change a deliberate marker would exhibit. Seven of the nine testable classes appear to be simple wobble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and the more diverse assemblages are the more central ones, the pattern drift produces in a single shared community (Figure S1)</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read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 decaying over distance and the record’s time-averaging imposed, and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predicting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w:t>
      </w:r>
      <w:r>
        <w:t xml:space="preserve"> </w:t>
      </w:r>
      <w:r>
        <w:t xml:space="preserve">(1998)</w:t>
      </w:r>
      <w:r>
        <w:t xml:space="preserve"> </w:t>
      </w:r>
      <w:r>
        <w:t xml:space="preserve">cluster analysis and ordination of the southeast-Missouri assemblages that define the regional phases found them failing as both groups and classes, with assemblages assigned to statistical clusters at random rather than segregating by phase.</w:t>
      </w:r>
    </w:p>
    <w:p>
      <w:pPr>
        <w:pStyle w:val="BodyText"/>
      </w:pPr>
      <w:r>
        <w:t xml:space="preserve">What it means for assemblages to be co-seriable carries the weight of this signature, and the deterministic method is stricter than the seriations most archaeologists have in mind. In conventional practice, an analyst can almost always arrange a set of assemblages into an order in which class frequencies more or less rise and fall, treating the places where a class breaks that pattern as noise to be tolerated by eye. Deterministic frequency seriation removes that tolerance. It accepts an ordering only when every decorated class is at once unimodal, rising to a single peak and then falling away, and continuous, changing without an abrupt jump. It treats any break in a class’s rise and fall as disqualifying that ordering unless the break is small enough to be explained by sampling error in the counts</w:t>
      </w:r>
      <w:r>
        <w:t xml:space="preserve"> </w:t>
      </w:r>
      <w:r>
        <w:t xml:space="preserve">(Dunnell 1970; Lipo et al. 2015)</w:t>
      </w:r>
      <w:r>
        <w:t xml:space="preserve">. Where a conventional seriation would accept one rough ordering and move on, the deterministic method asks whether even one ordering can satisfy every class at once, and reports when none can. A single community drawing on a shared, drifting pool of designs meets that requirement under a single ordering. When learning is partitioned among groups, each with its own rise and fall of styles, no single ordering can hold every class unimodal at once, and the assemblages resolve into several mutually incompatible orderings. The departures a conventional seriation would wave off as minor wiggles are, read this way, the signature of more than one interaction community, and the number of maximal co-seriable groups, with the count of any one assemblage joins, measures that fragmentation directly</w:t>
      </w:r>
      <w:r>
        <w:t xml:space="preserve"> </w:t>
      </w:r>
      <w:r>
        <w:t xml:space="preserve">(Lipo et al. 1997)</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read that bridging position as a possible sign of incipient hierarchy. We read it the other way: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8" name="Picture"/>
            <a:graphic>
              <a:graphicData uri="http://schemas.openxmlformats.org/drawingml/2006/picture">
                <pic:pic>
                  <pic:nvPicPr>
                    <pic:cNvPr descr="../../figures/fig6_idss_structure.png" id="39" name="Picture"/>
                    <pic:cNvPicPr>
                      <a:picLocks noChangeArrowheads="1" noChangeAspect="1"/>
                    </pic:cNvPicPr>
                  </pic:nvPicPr>
                  <pic:blipFill>
                    <a:blip r:embed="rId37"/>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Morse 1990)</w:t>
      </w:r>
      <w:r>
        <w:t xml:space="preserve">, so we base the settlement comparison on recorded mound height rather than on mound area. Parkin’s roughly 17-acre site area would make it the largest center in the basin, but that figure is the total site area rather than the basal mound area on which the other sites are measured, and we treat it as indicative only.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1" name="Picture"/>
            <a:graphic>
              <a:graphicData uri="http://schemas.openxmlformats.org/drawingml/2006/picture">
                <pic:pic>
                  <pic:nvPicPr>
                    <pic:cNvPr descr="../../figures/fig7_ranksize.png" id="42" name="Picture"/>
                    <pic:cNvPicPr>
                      <a:picLocks noChangeArrowheads="1" noChangeAspect="1"/>
                    </pic:cNvPicPr>
                  </pic:nvPicPr>
                  <pic:blipFill>
                    <a:blip r:embed="rId40"/>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reading.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read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3"/>
    <w:bookmarkStart w:id="56" w:name="discussion"/>
    <w:p>
      <w:pPr>
        <w:pStyle w:val="Heading2"/>
      </w:pPr>
      <w:r>
        <w:t xml:space="preserve">Discussion</w:t>
      </w:r>
    </w:p>
    <w:p>
      <w:pPr>
        <w:pStyle w:val="FirstParagraph"/>
      </w:pPr>
      <w:r>
        <w:t xml:space="preserve">The three lines of evidence converge on a single reading: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of capacity-linked chert hoes was decentralized, with their exchange following a down-the-line gradient rather than central redistribution</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assemblages resemble their near neighbors more than their distant ones.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The decoupling has an independent precedent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The reading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the phase concept reads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whose number grows with geographic extent; restoring the staggered deposition ages collapses the count toward two time-defined groups, because assemblages caught at different points in the sequence carry different repertoires. Either way the number of drift-generated groups falls well short of the seven named phases the regional scheme draws across the same assemblages, and the between-group cultural F_ST of those groups settles at the observed level rather than the higher value a bounded group would leave. The named phases therefore subdivide the valley more finely than the transmission structure supports. That spatial and population structure, not population size, governs how drift partitions diversity in finite structured populations is established in both the cultural-transmission and population-genetics literatures</w:t>
      </w:r>
      <w:r>
        <w:t xml:space="preserve"> </w:t>
      </w:r>
      <w:r>
        <w:t xml:space="preserve">(Barton 1996; Premo 2016; Schneider et al. 2016; Wright 1943)</w:t>
      </w:r>
      <w:r>
        <w:t xml:space="preserve">, and a localized neutral process is readily mistaken for biased transmission when diversity is read at face value</w:t>
      </w:r>
      <w:r>
        <w:t xml:space="preserve"> </w:t>
      </w:r>
      <w:r>
        <w:t xml:space="preserve">(Premo and Scholnick 2011)</w:t>
      </w:r>
      <w:r>
        <w:t xml:space="preserve">. Structure shapes diversity under selective dynamics as well, through a different mechanism of maintenance and recombination</w:t>
      </w:r>
      <w:r>
        <w:t xml:space="preserve"> </w:t>
      </w:r>
      <w:r>
        <w:t xml:space="preserve">(Derex et al. 2018; Derex and Boyd 2016; Saxer et al. 2009)</w:t>
      </w:r>
      <w:r>
        <w:t xml:space="preserve">. The result is not contingent on a tuned parameter set: across 432 runs spanning a grid of interaction length, between-node mixing, and innovation rate, two or more spatially coherent groups appear in every run and the between-group F_ST sits at or below the observed value in 85 percent of them, and the St. Francis basin that anchors this paper behaves the same way as a positive control (Figures S7 and S8).</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but that is the separation drift predicts, because they lie near Parkin and so co-occur with it more than distant assemblages do (Figure 9B). The discriminating test is whether the between-group cultural F_ST across the Parkin-versus-others partition exceeds the drift null. It sits at the extreme upper tail of the null and survives most single-site deletions, but it is small, the null’s own tail reaches past it, and time-averaging, which deflates between-group variance, is not modeled in the null (Figure 9C, 9D). It is therefore at most a weak hint of structure beyond drift, not a demonstrated social boundary. Geography and time are the whole engine, and the apparent groups are readings of one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7 and S8." title="" id="45" name="Picture"/>
            <a:graphic>
              <a:graphicData uri="http://schemas.openxmlformats.org/drawingml/2006/picture">
                <pic:pic>
                  <pic:nvPicPr>
                    <pic:cNvPr descr="../../figures/fig_lmv_drift_groups.png" id="46" name="Picture"/>
                    <pic:cNvPicPr>
                      <a:picLocks noChangeArrowheads="1" noChangeAspect="1"/>
                    </pic:cNvPicPr>
                  </pic:nvPicPr>
                  <pic:blipFill>
                    <a:blip r:embed="rId44"/>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S7 and S8.</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A) Each assemblage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the separation drift predicts from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8" name="Picture"/>
            <a:graphic>
              <a:graphicData uri="http://schemas.openxmlformats.org/drawingml/2006/picture">
                <pic:pic>
                  <pic:nvPicPr>
                    <pic:cNvPr descr="../../figures/figS8_basin_pullout.png" id="49" name="Picture"/>
                    <pic:cNvPicPr>
                      <a:picLocks noChangeArrowheads="1" noChangeAspect="1"/>
                    </pic:cNvPicPr>
                  </pic:nvPicPr>
                  <pic:blipFill>
                    <a:blip r:embed="rId47"/>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(A) Each assemblage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the separation drift predicts from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as well explained by control of movement and communication as by extraction, and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convergence test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subsampling every assemblage to a common count, which collapses the raw F_ST trend from +0.60 to +0.01. We calibrated the test on synthetic data matched to the record, in which F_ST recovers a moderate-strength closure (s of about 0.5, rising to 0.7 once the record’s time-averaging is imposed), while maintaining a false-positive rate of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that a record of 29 time-averaged assemblages is underpowered to resolve, and we state the claim at that bound rather than beyond it. The other three signatures do not track closure reliably here. The neutral departure fails because it is non-monotonic in conformity and sensitive to sample size. The spatial boundary fails because the data support too few spatial clusters, and seriation coherence responds only weakly, so we report them as corroboration rather than as independent confirmations. This reduction is a property of the record. When a known closure signal is injected instead through a within-group conformity pathway or a non-spatially-organized social-fragmentation pathway, neither the neutral nor the seriation signature recovers it either, so the three weak signatures fail at this resolution regardless of how closure is produced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and saying so is what licenses reading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read as social, which signatures a given record can support and how strong a closure each could detect, and on the Parkin record, it shows the test reducing to its single most robust component, cultural F_ST. We are explicit about what that costs: had F_ST shown a positive trend, it alone could not have separated a real group from environmental patchiness, which also drives between-group variance (Table 1), so on a positive result,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resists the drift reading, if only faintly, and deserves to be named rather than buried. The single place in the valley that carries a whisper of structure beyond drift is the Parkin phase, and Parkin is the one monumental node, the largest mound, the palisade, the confluence position, the candidate Casqui. A center beginning to differentiate as a distinct node, rather than a finished bounded group, would leave just such a signal, and this is what the origination stage of the two-regime model predicts: a local return generates group-beneficial pattern at a node before assortment becomes binding and propagates into higher-level structure, with contact and the protohistoric depopulation truncating the sequence before it could consolidate. We do not claim this happened. The contrast is small, the drift null reaches past it, and the time-averaged surface record of eight Parkin-phase assemblages cannot bear the weight. The possibility that Parkin was an incipient node nonetheless warrants direct investigation with data classes the present record lacks: stratified, excavated assemblages with independent radiocarbon, to test whether the differentiation grows through time rather than holding flat; compositional and petrographic sourcing of the ceramics, to test whether production and exchange were localizing on the center; and the non-ceramic lines,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to show whether economic and social differentiation track the ceramic hint or run independent of it. Whether Parkin was beginning to pull away from its neighbors, or simply sits where drift on the river network happens to concentrate interaction, is a question this record raises but cannot settle.</w:t>
      </w:r>
    </w:p>
    <w:p>
      <w:pPr>
        <w:pStyle w:val="BodyText"/>
      </w:pPr>
      <w:r>
        <w:t xml:space="preserve">The test also extends beyond the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Therefore, the absence of bounded groups is not peculiar to the St. Francis basin (Figure 11). In both regions, the observed between-cluster F_ST sits at the neutral-drift level and far below the bounded-groups expectation (LMV +0.02, CMV +0.03, against bounded-groups nulls of +0.11 and +0.08), and the assemblages intermix rather than separating into clusters. Between the two regions, a genuine discontinuity does appear. Across the roughly 50 km gap separating the central-valley and lower-valley assemblage clusters, decorated similarity declines by far more than neutral spatial drift would predict for the same geometry, and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early-to-middle Mississippian, and the distinctive lower-valley classes are late</w:t>
      </w:r>
      <w:r>
        <w:t xml:space="preserve"> </w:t>
      </w:r>
      <w:r>
        <w:t xml:space="preserve">(Phillips 1970; Williams 1954)</w:t>
      </w:r>
      <w:r>
        <w:t xml:space="preserve">, so the step at the boundary cannot be separated from the early-to-late turnover of the repertoire with time-averaged surface assemblages, and resolving whether the inter-regional boundary is synchronic and social or a chronological succession would require independent radiocarbon control on the central-valley assemblages that the present compilation lacks. A second confound compounds the first. The lower-valley assemblages were collected and classified by Ford, later by Phillips, Ford, and Griffin. In contrast, the central-valley assemblages were collected and classified separately by Williams, so the two blocks differ in analyst, sorting convention, and class definition as well as in space and time. The shared-class restriction guards against the crudest version of this artifact, because a boundary built only from classes unique to each typology would vanish when only the classes both traditions record are compared, and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of the central Mississippi Valley: the southeast-Missouri survey of Williams (CMV, blue) and the lower-valley St. Francis basin Parkin-phase assemblages (LMV, orange), with the gap between the two clusters of assemblage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51" name="Picture"/>
            <a:graphic>
              <a:graphicData uri="http://schemas.openxmlformats.org/drawingml/2006/picture">
                <pic:pic>
                  <pic:nvPicPr>
                    <pic:cNvPr descr="../../figures/fig1_regional.png" id="52" name="Picture"/>
                    <pic:cNvPicPr>
                      <a:picLocks noChangeArrowheads="1" noChangeAspect="1"/>
                    </pic:cNvPicPr>
                  </pic:nvPicPr>
                  <pic:blipFill>
                    <a:blip r:embed="rId50"/>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assemblages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 title="" id="54" name="Picture"/>
            <a:graphic>
              <a:graphicData uri="http://schemas.openxmlformats.org/drawingml/2006/picture">
                <pic:pic>
                  <pic:nvPicPr>
                    <pic:cNvPr descr="../../figures/fig9_within_region.png" id="55" name="Picture"/>
                    <pic:cNvPicPr>
                      <a:picLocks noChangeArrowheads="1" noChangeAspect="1"/>
                    </pic:cNvPicPr>
                  </pic:nvPicPr>
                  <pic:blipFill>
                    <a:blip r:embed="rId53"/>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and,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and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56"/>
    <w:bookmarkStart w:id="57"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No line of evidence, settlement, exchange, or ceramic transmission marks it as the apex of a polity, and the greater similarity among nearby assemblages that defines the phase is reproduced by neutral drift on the basin’s geography, the ordinary residue of continuous interaction structured by where sites sit.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and even there, it is entangled with the early-to-late turnover of the class repertoire. It cannot yet be read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which carries a consequence the discipline should weigh: a similarity cluster is not by itself a society, and before a phase is read as a social group, the record must be shown able to tell a real interaction boundary from drift on geography.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7"/>
    <w:bookmarkStart w:id="58"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8"/>
    <w:bookmarkStart w:id="237" w:name="references"/>
    <w:p>
      <w:pPr>
        <w:pStyle w:val="Heading2"/>
      </w:pPr>
      <w:r>
        <w:t xml:space="preserve">References</w:t>
      </w:r>
    </w:p>
    <w:bookmarkStart w:id="236" w:name="refs"/>
    <w:bookmarkStart w:id="59"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59"/>
    <w:bookmarkStart w:id="61"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0">
        <w:r>
          <w:rPr>
            <w:rStyle w:val="Hyperlink"/>
          </w:rPr>
          <w:t xml:space="preserve">https://doi.org/10.1016/j.jaa.2006.08.002</w:t>
        </w:r>
      </w:hyperlink>
      <w:r>
        <w:t xml:space="preserve">.</w:t>
      </w:r>
    </w:p>
    <w:bookmarkEnd w:id="61"/>
    <w:bookmarkStart w:id="63"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2">
        <w:r>
          <w:rPr>
            <w:rStyle w:val="Hyperlink"/>
          </w:rPr>
          <w:t xml:space="preserve">https://doi.org/10.1016/j.beproc.2018.01.011</w:t>
        </w:r>
      </w:hyperlink>
      <w:r>
        <w:t xml:space="preserve">.</w:t>
      </w:r>
    </w:p>
    <w:bookmarkEnd w:id="63"/>
    <w:bookmarkStart w:id="65"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4">
        <w:r>
          <w:rPr>
            <w:rStyle w:val="Hyperlink"/>
          </w:rPr>
          <w:t xml:space="preserve">https://doi.org/10.1098/rstb.1996.0073</w:t>
        </w:r>
      </w:hyperlink>
      <w:r>
        <w:t xml:space="preserve">.</w:t>
      </w:r>
    </w:p>
    <w:bookmarkEnd w:id="65"/>
    <w:bookmarkStart w:id="66"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6"/>
    <w:bookmarkStart w:id="68"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7">
        <w:r>
          <w:rPr>
            <w:rStyle w:val="Hyperlink"/>
          </w:rPr>
          <w:t xml:space="preserve">https://doi.org/10.2307/3557066</w:t>
        </w:r>
      </w:hyperlink>
      <w:r>
        <w:t xml:space="preserve">.</w:t>
      </w:r>
    </w:p>
    <w:bookmarkEnd w:id="68"/>
    <w:bookmarkStart w:id="70"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69">
        <w:r>
          <w:rPr>
            <w:rStyle w:val="Hyperlink"/>
          </w:rPr>
          <w:t xml:space="preserve">https://doi.org/10.1017/S0094837300026907</w:t>
        </w:r>
      </w:hyperlink>
      <w:r>
        <w:t xml:space="preserve">.</w:t>
      </w:r>
    </w:p>
    <w:bookmarkEnd w:id="70"/>
    <w:bookmarkStart w:id="72"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1">
        <w:r>
          <w:rPr>
            <w:rStyle w:val="Hyperlink"/>
          </w:rPr>
          <w:t xml:space="preserve">https://doi.org/10.1073/pnas.0903232106</w:t>
        </w:r>
      </w:hyperlink>
      <w:r>
        <w:t xml:space="preserve">.</w:t>
      </w:r>
    </w:p>
    <w:bookmarkEnd w:id="72"/>
    <w:bookmarkStart w:id="74"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3">
        <w:r>
          <w:rPr>
            <w:rStyle w:val="Hyperlink"/>
          </w:rPr>
          <w:t xml:space="preserve">https://doi.org/10.1371/journal.pone.0003057</w:t>
        </w:r>
      </w:hyperlink>
      <w:r>
        <w:t xml:space="preserve">.</w:t>
      </w:r>
    </w:p>
    <w:bookmarkEnd w:id="74"/>
    <w:bookmarkStart w:id="76"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5">
        <w:r>
          <w:rPr>
            <w:rStyle w:val="Hyperlink"/>
          </w:rPr>
          <w:t xml:space="preserve">https://doi.org/10.1098/rspb.2004.2746</w:t>
        </w:r>
      </w:hyperlink>
      <w:r>
        <w:t xml:space="preserve">.</w:t>
      </w:r>
    </w:p>
    <w:bookmarkEnd w:id="76"/>
    <w:bookmarkStart w:id="77"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7"/>
    <w:bookmarkStart w:id="79"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8">
        <w:r>
          <w:rPr>
            <w:rStyle w:val="Hyperlink"/>
          </w:rPr>
          <w:t xml:space="preserve">https://doi.org/10.2307/2694206</w:t>
        </w:r>
      </w:hyperlink>
      <w:r>
        <w:t xml:space="preserve">.</w:t>
      </w:r>
    </w:p>
    <w:bookmarkEnd w:id="79"/>
    <w:bookmarkStart w:id="80"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0"/>
    <w:bookmarkStart w:id="82"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1">
        <w:r>
          <w:rPr>
            <w:rStyle w:val="Hyperlink"/>
          </w:rPr>
          <w:t xml:space="preserve">https://doi.org/10.1057/s41599-019-0295-9</w:t>
        </w:r>
      </w:hyperlink>
      <w:r>
        <w:t xml:space="preserve">.</w:t>
      </w:r>
    </w:p>
    <w:bookmarkEnd w:id="82"/>
    <w:bookmarkStart w:id="83"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3"/>
    <w:bookmarkStart w:id="84"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84"/>
    <w:bookmarkStart w:id="86" w:name="ref-cobb_etal_2024"/>
    <w:p>
      <w:pPr>
        <w:pStyle w:val="Bibliography"/>
      </w:pPr>
      <w:r>
        <w:t xml:space="preserve">Cobb, Charles R., Anthony M. Krus, Aaron Deter-Wolf, Kevin E. Smith, Edmond A. Boudreaux, and Brad R. Lieb. 2024. The Beginning of the End: Abandonment Micro-Histories in the</w:t>
      </w:r>
      <w:r>
        <w:t xml:space="preserve"> </w:t>
      </w:r>
      <w:r>
        <w:t xml:space="preserve">Mississippian</w:t>
      </w:r>
      <w:r>
        <w:t xml:space="preserve"> </w:t>
      </w:r>
      <w:r>
        <w:t xml:space="preserve">Vacant</w:t>
      </w:r>
      <w:r>
        <w:t xml:space="preserve"> </w:t>
      </w:r>
      <w:r>
        <w:t xml:space="preserve">Quarter</w:t>
      </w:r>
      <w:r>
        <w:t xml:space="preserve">.</w:t>
      </w:r>
      <w:r>
        <w:t xml:space="preserve"> </w:t>
      </w:r>
      <w:r>
        <w:rPr>
          <w:i/>
          <w:iCs/>
        </w:rPr>
        <w:t xml:space="preserve">Journal of Archaeological Method and Theory</w:t>
      </w:r>
      <w:r>
        <w:t xml:space="preserve"> </w:t>
      </w:r>
      <w:r>
        <w:t xml:space="preserve">31:619–643.</w:t>
      </w:r>
      <w:r>
        <w:t xml:space="preserve"> </w:t>
      </w:r>
      <w:hyperlink r:id="rId85">
        <w:r>
          <w:rPr>
            <w:rStyle w:val="Hyperlink"/>
          </w:rPr>
          <w:t xml:space="preserve">https://doi.org/10.1007/s10816-023-09613-w</w:t>
        </w:r>
      </w:hyperlink>
      <w:r>
        <w:t xml:space="preserve">.</w:t>
      </w:r>
    </w:p>
    <w:bookmarkEnd w:id="86"/>
    <w:bookmarkStart w:id="88"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7">
        <w:r>
          <w:rPr>
            <w:rStyle w:val="Hyperlink"/>
          </w:rPr>
          <w:t xml:space="preserve">https://doi.org/10.1057/s41599-020-00635-3</w:t>
        </w:r>
      </w:hyperlink>
      <w:r>
        <w:t xml:space="preserve">.</w:t>
      </w:r>
    </w:p>
    <w:bookmarkEnd w:id="88"/>
    <w:bookmarkStart w:id="90"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9">
        <w:r>
          <w:rPr>
            <w:rStyle w:val="Hyperlink"/>
          </w:rPr>
          <w:t xml:space="preserve">https://doi.org/10.1007/s10816-022-09599-x</w:t>
        </w:r>
      </w:hyperlink>
      <w:r>
        <w:t xml:space="preserve">.</w:t>
      </w:r>
    </w:p>
    <w:bookmarkEnd w:id="90"/>
    <w:bookmarkStart w:id="92"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91">
        <w:r>
          <w:rPr>
            <w:rStyle w:val="Hyperlink"/>
          </w:rPr>
          <w:t xml:space="preserve">https://doi.org/10.1016/j.jas.2014.07.014</w:t>
        </w:r>
      </w:hyperlink>
      <w:r>
        <w:t xml:space="preserve">.</w:t>
      </w:r>
    </w:p>
    <w:bookmarkEnd w:id="92"/>
    <w:bookmarkStart w:id="94"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3">
        <w:r>
          <w:rPr>
            <w:rStyle w:val="Hyperlink"/>
          </w:rPr>
          <w:t xml:space="preserve">https://doi.org/10.1038/srep39122</w:t>
        </w:r>
      </w:hyperlink>
      <w:r>
        <w:t xml:space="preserve">.</w:t>
      </w:r>
    </w:p>
    <w:bookmarkEnd w:id="94"/>
    <w:bookmarkStart w:id="96"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95">
        <w:r>
          <w:rPr>
            <w:rStyle w:val="Hyperlink"/>
          </w:rPr>
          <w:t xml:space="preserve">https://doi.org/10.1371/journal.pone.0041010</w:t>
        </w:r>
      </w:hyperlink>
      <w:r>
        <w:t xml:space="preserve">.</w:t>
      </w:r>
    </w:p>
    <w:bookmarkEnd w:id="96"/>
    <w:bookmarkStart w:id="98" w:name="ref-derex_boyd_2016"/>
    <w:p>
      <w:pPr>
        <w:pStyle w:val="Bibliography"/>
      </w:pPr>
      <w:r>
        <w:t xml:space="preserve">Derex, Maxime, and Robert Boyd. 2016. Partial Connectivity Increases Cultural Accumulation Within Groups.</w:t>
      </w:r>
      <w:r>
        <w:t xml:space="preserve"> </w:t>
      </w:r>
      <w:r>
        <w:rPr>
          <w:i/>
          <w:iCs/>
        </w:rPr>
        <w:t xml:space="preserve">Proceedings of the National Academy of Sciences</w:t>
      </w:r>
      <w:r>
        <w:t xml:space="preserve"> </w:t>
      </w:r>
      <w:r>
        <w:t xml:space="preserve">113(11):2982–2987.</w:t>
      </w:r>
      <w:r>
        <w:t xml:space="preserve"> </w:t>
      </w:r>
      <w:hyperlink r:id="rId97">
        <w:r>
          <w:rPr>
            <w:rStyle w:val="Hyperlink"/>
          </w:rPr>
          <w:t xml:space="preserve">https://doi.org/10.1073/pnas.1518798113</w:t>
        </w:r>
      </w:hyperlink>
      <w:r>
        <w:t xml:space="preserve">.</w:t>
      </w:r>
    </w:p>
    <w:bookmarkEnd w:id="98"/>
    <w:bookmarkStart w:id="100" w:name="ref-derex_perreault_boyd_2018"/>
    <w:p>
      <w:pPr>
        <w:pStyle w:val="Bibliography"/>
      </w:pPr>
      <w:r>
        <w:t xml:space="preserve">Derex, Maxime, Charles Perreault, and Robert Boyd. 2018. Divide and Conquer: Intermediate Levels of Population Fragmentation Maximize Cultural Accumulation.</w:t>
      </w:r>
      <w:r>
        <w:t xml:space="preserve"> </w:t>
      </w:r>
      <w:r>
        <w:rPr>
          <w:i/>
          <w:iCs/>
        </w:rPr>
        <w:t xml:space="preserve">Philosophical Transactions of the Royal Society B</w:t>
      </w:r>
      <w:r>
        <w:t xml:space="preserve"> </w:t>
      </w:r>
      <w:r>
        <w:t xml:space="preserve">373(1743):20170062.</w:t>
      </w:r>
      <w:r>
        <w:t xml:space="preserve"> </w:t>
      </w:r>
      <w:hyperlink r:id="rId99">
        <w:r>
          <w:rPr>
            <w:rStyle w:val="Hyperlink"/>
          </w:rPr>
          <w:t xml:space="preserve">https://doi.org/10.1098/rstb.2017.0062</w:t>
        </w:r>
      </w:hyperlink>
      <w:r>
        <w:t xml:space="preserve">.</w:t>
      </w:r>
    </w:p>
    <w:bookmarkEnd w:id="100"/>
    <w:bookmarkStart w:id="102"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01">
        <w:r>
          <w:rPr>
            <w:rStyle w:val="Hyperlink"/>
          </w:rPr>
          <w:t xml:space="preserve">https://doi.org/10.2307/278341</w:t>
        </w:r>
      </w:hyperlink>
      <w:r>
        <w:t xml:space="preserve">.</w:t>
      </w:r>
    </w:p>
    <w:bookmarkEnd w:id="102"/>
    <w:bookmarkStart w:id="104"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103">
        <w:r>
          <w:rPr>
            <w:rStyle w:val="Hyperlink"/>
          </w:rPr>
          <w:t xml:space="preserve">https://doi.org/10.2307/279244</w:t>
        </w:r>
      </w:hyperlink>
      <w:r>
        <w:t xml:space="preserve">.</w:t>
      </w:r>
    </w:p>
    <w:bookmarkEnd w:id="104"/>
    <w:bookmarkStart w:id="105"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05"/>
    <w:bookmarkStart w:id="106"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06"/>
    <w:bookmarkStart w:id="107"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7"/>
    <w:bookmarkStart w:id="109"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8">
        <w:r>
          <w:rPr>
            <w:rStyle w:val="Hyperlink"/>
          </w:rPr>
          <w:t xml:space="preserve">https://doi.org/10.1016/j.jaa.2005.08.001</w:t>
        </w:r>
      </w:hyperlink>
      <w:r>
        <w:t xml:space="preserve">.</w:t>
      </w:r>
    </w:p>
    <w:bookmarkEnd w:id="109"/>
    <w:bookmarkStart w:id="111"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10">
        <w:r>
          <w:rPr>
            <w:rStyle w:val="Hyperlink"/>
          </w:rPr>
          <w:t xml:space="preserve">https://doi.org/10.1007/s10814-007-9013-z</w:t>
        </w:r>
      </w:hyperlink>
      <w:r>
        <w:t xml:space="preserve">.</w:t>
      </w:r>
    </w:p>
    <w:bookmarkEnd w:id="111"/>
    <w:bookmarkStart w:id="112"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12"/>
    <w:bookmarkStart w:id="114"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13">
        <w:r>
          <w:rPr>
            <w:rStyle w:val="Hyperlink"/>
          </w:rPr>
          <w:t xml:space="preserve">https://doi.org/10.1534/genetics.113.158220</w:t>
        </w:r>
      </w:hyperlink>
      <w:r>
        <w:t xml:space="preserve">.</w:t>
      </w:r>
    </w:p>
    <w:bookmarkEnd w:id="114"/>
    <w:bookmarkStart w:id="116"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15">
        <w:r>
          <w:rPr>
            <w:rStyle w:val="Hyperlink"/>
          </w:rPr>
          <w:t xml:space="preserve">https://doi.org/10.1073/pnas.2418106121</w:t>
        </w:r>
      </w:hyperlink>
      <w:r>
        <w:t xml:space="preserve">.</w:t>
      </w:r>
    </w:p>
    <w:bookmarkEnd w:id="116"/>
    <w:bookmarkStart w:id="117"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7"/>
    <w:bookmarkStart w:id="118"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18"/>
    <w:bookmarkStart w:id="119"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9"/>
    <w:bookmarkStart w:id="120"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20"/>
    <w:bookmarkStart w:id="122"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21">
        <w:r>
          <w:rPr>
            <w:rStyle w:val="Hyperlink"/>
          </w:rPr>
          <w:t xml:space="preserve">https://doi.org/10.1525/aa.2001.103.4.992</w:t>
        </w:r>
      </w:hyperlink>
      <w:r>
        <w:t xml:space="preserve">.</w:t>
      </w:r>
    </w:p>
    <w:bookmarkEnd w:id="122"/>
    <w:bookmarkStart w:id="124"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23">
        <w:r>
          <w:rPr>
            <w:rStyle w:val="Hyperlink"/>
          </w:rPr>
          <w:t xml:space="preserve">https://doi.org/10.2307/4128416</w:t>
        </w:r>
      </w:hyperlink>
      <w:r>
        <w:t xml:space="preserve">.</w:t>
      </w:r>
    </w:p>
    <w:bookmarkEnd w:id="124"/>
    <w:bookmarkStart w:id="126"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25">
        <w:r>
          <w:rPr>
            <w:rStyle w:val="Hyperlink"/>
          </w:rPr>
          <w:t xml:space="preserve">https://doi.org/10.1016/S1090-5138(98)00018-X</w:t>
        </w:r>
      </w:hyperlink>
      <w:r>
        <w:t xml:space="preserve">.</w:t>
      </w:r>
    </w:p>
    <w:bookmarkEnd w:id="126"/>
    <w:bookmarkStart w:id="127"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7"/>
    <w:bookmarkStart w:id="129"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8">
        <w:r>
          <w:rPr>
            <w:rStyle w:val="Hyperlink"/>
          </w:rPr>
          <w:t xml:space="preserve">https://doi.org/10.1017/aap.2021.10</w:t>
        </w:r>
      </w:hyperlink>
      <w:r>
        <w:t xml:space="preserve">.</w:t>
      </w:r>
    </w:p>
    <w:bookmarkEnd w:id="129"/>
    <w:bookmarkStart w:id="130"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30"/>
    <w:bookmarkStart w:id="131"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31"/>
    <w:bookmarkStart w:id="133"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32">
        <w:r>
          <w:rPr>
            <w:rStyle w:val="Hyperlink"/>
          </w:rPr>
          <w:t xml:space="preserve">https://doi.org/10.1666/05070.1</w:t>
        </w:r>
      </w:hyperlink>
      <w:r>
        <w:t xml:space="preserve">.</w:t>
      </w:r>
    </w:p>
    <w:bookmarkEnd w:id="133"/>
    <w:bookmarkStart w:id="135"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34">
        <w:r>
          <w:rPr>
            <w:rStyle w:val="Hyperlink"/>
          </w:rPr>
          <w:t xml:space="preserve">https://doi.org/10.1111/j.1558-5646.2007.00310.x</w:t>
        </w:r>
      </w:hyperlink>
      <w:r>
        <w:t xml:space="preserve">.</w:t>
      </w:r>
    </w:p>
    <w:bookmarkEnd w:id="135"/>
    <w:bookmarkStart w:id="136"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6"/>
    <w:bookmarkStart w:id="138"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7">
        <w:r>
          <w:rPr>
            <w:rStyle w:val="Hyperlink"/>
          </w:rPr>
          <w:t xml:space="preserve">https://doi.org/10.1016/j.jtbi.2013.03.006</w:t>
        </w:r>
      </w:hyperlink>
      <w:r>
        <w:t xml:space="preserve">.</w:t>
      </w:r>
    </w:p>
    <w:bookmarkEnd w:id="138"/>
    <w:bookmarkStart w:id="140"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9">
        <w:r>
          <w:rPr>
            <w:rStyle w:val="Hyperlink"/>
          </w:rPr>
          <w:t xml:space="preserve">https://doi.org/10.1098/rsif.2015.0905</w:t>
        </w:r>
      </w:hyperlink>
      <w:r>
        <w:t xml:space="preserve">.</w:t>
      </w:r>
    </w:p>
    <w:bookmarkEnd w:id="140"/>
    <w:bookmarkStart w:id="142"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41">
        <w:r>
          <w:rPr>
            <w:rStyle w:val="Hyperlink"/>
          </w:rPr>
          <w:t xml:space="preserve">https://doi.org/10.1098/rsos.170949</w:t>
        </w:r>
      </w:hyperlink>
      <w:r>
        <w:t xml:space="preserve">.</w:t>
      </w:r>
    </w:p>
    <w:bookmarkEnd w:id="142"/>
    <w:bookmarkStart w:id="144"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43">
        <w:r>
          <w:rPr>
            <w:rStyle w:val="Hyperlink"/>
          </w:rPr>
          <w:t xml:space="preserve">https://doi.org/10.1146/annurev-ecolsys-110512-135838</w:t>
        </w:r>
      </w:hyperlink>
      <w:r>
        <w:t xml:space="preserve">.</w:t>
      </w:r>
    </w:p>
    <w:bookmarkEnd w:id="144"/>
    <w:bookmarkStart w:id="145"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5"/>
    <w:bookmarkStart w:id="147"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6">
        <w:r>
          <w:rPr>
            <w:rStyle w:val="Hyperlink"/>
          </w:rPr>
          <w:t xml:space="preserve">https://doi.org/10.2307/2694529</w:t>
        </w:r>
      </w:hyperlink>
      <w:r>
        <w:t xml:space="preserve">.</w:t>
      </w:r>
    </w:p>
    <w:bookmarkEnd w:id="147"/>
    <w:bookmarkStart w:id="148"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8"/>
    <w:bookmarkStart w:id="149"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9"/>
    <w:bookmarkStart w:id="151"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50">
        <w:r>
          <w:rPr>
            <w:rStyle w:val="Hyperlink"/>
          </w:rPr>
          <w:t xml:space="preserve">https://doi.org/10.1371/journal.pone.0250690</w:t>
        </w:r>
      </w:hyperlink>
      <w:r>
        <w:t xml:space="preserve">.</w:t>
      </w:r>
    </w:p>
    <w:bookmarkEnd w:id="151"/>
    <w:bookmarkStart w:id="152"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52"/>
    <w:bookmarkStart w:id="154"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53">
        <w:r>
          <w:rPr>
            <w:rStyle w:val="Hyperlink"/>
          </w:rPr>
          <w:t xml:space="preserve">https://doi.org/10.1016/j.jas.2010.05.015</w:t>
        </w:r>
      </w:hyperlink>
      <w:r>
        <w:t xml:space="preserve">.</w:t>
      </w:r>
    </w:p>
    <w:bookmarkEnd w:id="154"/>
    <w:bookmarkStart w:id="156"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5">
        <w:r>
          <w:rPr>
            <w:rStyle w:val="Hyperlink"/>
          </w:rPr>
          <w:t xml:space="preserve">https://doi.org/10.1371/journal.pone.0124942</w:t>
        </w:r>
      </w:hyperlink>
      <w:r>
        <w:t xml:space="preserve">.</w:t>
      </w:r>
    </w:p>
    <w:bookmarkEnd w:id="156"/>
    <w:bookmarkStart w:id="158"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7">
        <w:r>
          <w:rPr>
            <w:rStyle w:val="Hyperlink"/>
          </w:rPr>
          <w:t xml:space="preserve">https://doi.org/10.1006/jaar.1997.0314</w:t>
        </w:r>
      </w:hyperlink>
      <w:r>
        <w:t xml:space="preserve">.</w:t>
      </w:r>
    </w:p>
    <w:bookmarkEnd w:id="158"/>
    <w:bookmarkStart w:id="160"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9">
        <w:r>
          <w:rPr>
            <w:rStyle w:val="Hyperlink"/>
          </w:rPr>
          <w:t xml:space="preserve">https://doi.org/10.1073/pnas.1818346116</w:t>
        </w:r>
      </w:hyperlink>
      <w:r>
        <w:t xml:space="preserve">.</w:t>
      </w:r>
    </w:p>
    <w:bookmarkEnd w:id="160"/>
    <w:bookmarkStart w:id="162"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61">
        <w:r>
          <w:rPr>
            <w:rStyle w:val="Hyperlink"/>
          </w:rPr>
          <w:t xml:space="preserve">https://doi.org/10.1016/j.jas.2021.105412</w:t>
        </w:r>
      </w:hyperlink>
      <w:r>
        <w:t xml:space="preserve">.</w:t>
      </w:r>
    </w:p>
    <w:bookmarkEnd w:id="162"/>
    <w:bookmarkStart w:id="163" w:name="ref-madsen_2012"/>
    <w:p>
      <w:pPr>
        <w:pStyle w:val="Bibliography"/>
      </w:pPr>
      <w:r>
        <w:t xml:space="preserve">Madsen, Mark E. 2012. Neutral Cultural Transmission in Time-Averaged Archaeological Assemblages. arXiv preprint arXiv:1204.2043 [physics.soc-ph].</w:t>
      </w:r>
    </w:p>
    <w:bookmarkEnd w:id="163"/>
    <w:bookmarkStart w:id="164"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4"/>
    <w:bookmarkStart w:id="165"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5"/>
    <w:bookmarkStart w:id="166"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6"/>
    <w:bookmarkStart w:id="167"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7"/>
    <w:bookmarkStart w:id="168"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8"/>
    <w:bookmarkStart w:id="169"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9"/>
    <w:bookmarkStart w:id="170"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70"/>
    <w:bookmarkStart w:id="172"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71">
        <w:r>
          <w:rPr>
            <w:rStyle w:val="Hyperlink"/>
          </w:rPr>
          <w:t xml:space="preserve">https://doi.org/10.1080/20548923.2018.1504490</w:t>
        </w:r>
      </w:hyperlink>
      <w:r>
        <w:t xml:space="preserve">.</w:t>
      </w:r>
    </w:p>
    <w:bookmarkEnd w:id="172"/>
    <w:bookmarkStart w:id="173"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73"/>
    <w:bookmarkStart w:id="174"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4"/>
    <w:bookmarkStart w:id="175"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5"/>
    <w:bookmarkStart w:id="176"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6"/>
    <w:bookmarkStart w:id="177"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7"/>
    <w:bookmarkStart w:id="178"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8"/>
    <w:bookmarkStart w:id="180"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9">
        <w:r>
          <w:rPr>
            <w:rStyle w:val="Hyperlink"/>
          </w:rPr>
          <w:t xml:space="preserve">https://doi.org/10.1098/rstb.2016.0426</w:t>
        </w:r>
      </w:hyperlink>
      <w:r>
        <w:t xml:space="preserve">.</w:t>
      </w:r>
    </w:p>
    <w:bookmarkEnd w:id="180"/>
    <w:bookmarkStart w:id="182"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81">
        <w:r>
          <w:rPr>
            <w:rStyle w:val="Hyperlink"/>
          </w:rPr>
          <w:t xml:space="preserve">https://doi.org/10.2307/279066</w:t>
        </w:r>
      </w:hyperlink>
      <w:r>
        <w:t xml:space="preserve">.</w:t>
      </w:r>
    </w:p>
    <w:bookmarkEnd w:id="182"/>
    <w:bookmarkStart w:id="184"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3">
        <w:r>
          <w:rPr>
            <w:rStyle w:val="Hyperlink"/>
          </w:rPr>
          <w:t xml:space="preserve">https://doi.org/10.1016/j.jas.2012.04.040</w:t>
        </w:r>
      </w:hyperlink>
      <w:r>
        <w:t xml:space="preserve">.</w:t>
      </w:r>
    </w:p>
    <w:bookmarkEnd w:id="184"/>
    <w:bookmarkStart w:id="186"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5">
        <w:r>
          <w:rPr>
            <w:rStyle w:val="Hyperlink"/>
          </w:rPr>
          <w:t xml:space="preserve">https://doi.org/10.1007/s10816-018-9364-4</w:t>
        </w:r>
      </w:hyperlink>
      <w:r>
        <w:t xml:space="preserve">.</w:t>
      </w:r>
    </w:p>
    <w:bookmarkEnd w:id="186"/>
    <w:bookmarkStart w:id="187"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7"/>
    <w:bookmarkStart w:id="188"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8"/>
    <w:bookmarkStart w:id="189"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9"/>
    <w:bookmarkStart w:id="191"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90">
        <w:r>
          <w:rPr>
            <w:rStyle w:val="Hyperlink"/>
          </w:rPr>
          <w:t xml:space="preserve">https://doi.org/10.1525/aa.1953.55.5.02a00030</w:t>
        </w:r>
      </w:hyperlink>
      <w:r>
        <w:t xml:space="preserve">.</w:t>
      </w:r>
    </w:p>
    <w:bookmarkEnd w:id="191"/>
    <w:bookmarkStart w:id="193"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2">
        <w:r>
          <w:rPr>
            <w:rStyle w:val="Hyperlink"/>
          </w:rPr>
          <w:t xml:space="preserve">https://doi.org/10.1126/science.1170165</w:t>
        </w:r>
      </w:hyperlink>
      <w:r>
        <w:t xml:space="preserve">.</w:t>
      </w:r>
    </w:p>
    <w:bookmarkEnd w:id="193"/>
    <w:bookmarkStart w:id="195"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4">
        <w:r>
          <w:rPr>
            <w:rStyle w:val="Hyperlink"/>
          </w:rPr>
          <w:t xml:space="preserve">https://doi.org/10.1086/674873</w:t>
        </w:r>
      </w:hyperlink>
      <w:r>
        <w:t xml:space="preserve">.</w:t>
      </w:r>
    </w:p>
    <w:bookmarkEnd w:id="195"/>
    <w:bookmarkStart w:id="197"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6">
        <w:r>
          <w:rPr>
            <w:rStyle w:val="Hyperlink"/>
          </w:rPr>
          <w:t xml:space="preserve">https://doi.org/10.7183/0002-7316.81.4.605</w:t>
        </w:r>
      </w:hyperlink>
      <w:r>
        <w:t xml:space="preserve">.</w:t>
      </w:r>
    </w:p>
    <w:bookmarkEnd w:id="197"/>
    <w:bookmarkStart w:id="199"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8">
        <w:r>
          <w:rPr>
            <w:rStyle w:val="Hyperlink"/>
          </w:rPr>
          <w:t xml:space="preserve">https://doi.org/10.7183/0002-7316.76.1.163</w:t>
        </w:r>
      </w:hyperlink>
      <w:r>
        <w:t xml:space="preserve">.</w:t>
      </w:r>
    </w:p>
    <w:bookmarkEnd w:id="199"/>
    <w:bookmarkStart w:id="200"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200"/>
    <w:bookmarkStart w:id="202"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01">
        <w:r>
          <w:rPr>
            <w:rStyle w:val="Hyperlink"/>
          </w:rPr>
          <w:t xml:space="preserve">https://doi.org/10.1017/RDC.2020.41</w:t>
        </w:r>
      </w:hyperlink>
      <w:r>
        <w:t xml:space="preserve">.</w:t>
      </w:r>
    </w:p>
    <w:bookmarkEnd w:id="202"/>
    <w:bookmarkStart w:id="204"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3">
        <w:r>
          <w:rPr>
            <w:rStyle w:val="Hyperlink"/>
          </w:rPr>
          <w:t xml:space="preserve">https://doi.org/10.1017/S0140525X1400106X</w:t>
        </w:r>
      </w:hyperlink>
      <w:r>
        <w:t xml:space="preserve">.</w:t>
      </w:r>
    </w:p>
    <w:bookmarkEnd w:id="204"/>
    <w:bookmarkStart w:id="206"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5">
        <w:r>
          <w:rPr>
            <w:rStyle w:val="Hyperlink"/>
          </w:rPr>
          <w:t xml:space="preserve">https://doi.org/10.1057/s41599-019-0260-7</w:t>
        </w:r>
      </w:hyperlink>
      <w:r>
        <w:t xml:space="preserve">.</w:t>
      </w:r>
    </w:p>
    <w:bookmarkEnd w:id="206"/>
    <w:bookmarkStart w:id="207"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7"/>
    <w:bookmarkStart w:id="208"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8"/>
    <w:bookmarkStart w:id="210" w:name="ref-saxer_doebeli_travisano_2009"/>
    <w:p>
      <w:pPr>
        <w:pStyle w:val="Bibliography"/>
      </w:pPr>
      <w:r>
        <w:t xml:space="preserve">Saxer, Gerda, Michael Doebeli, and Michael Travisano. 2009. Spatial Structure Leads to Ecological Breakdown and Loss of Diversity.</w:t>
      </w:r>
      <w:r>
        <w:t xml:space="preserve"> </w:t>
      </w:r>
      <w:r>
        <w:rPr>
          <w:i/>
          <w:iCs/>
        </w:rPr>
        <w:t xml:space="preserve">Proceedings of the Royal Society B: Biological Sciences</w:t>
      </w:r>
      <w:r>
        <w:t xml:space="preserve"> </w:t>
      </w:r>
      <w:r>
        <w:t xml:space="preserve">276(1664):2065–2070.</w:t>
      </w:r>
      <w:r>
        <w:t xml:space="preserve"> </w:t>
      </w:r>
      <w:hyperlink r:id="rId209">
        <w:r>
          <w:rPr>
            <w:rStyle w:val="Hyperlink"/>
          </w:rPr>
          <w:t xml:space="preserve">https://doi.org/10.1098/rspb.2008.1827</w:t>
        </w:r>
      </w:hyperlink>
      <w:r>
        <w:t xml:space="preserve">.</w:t>
      </w:r>
    </w:p>
    <w:bookmarkEnd w:id="210"/>
    <w:bookmarkStart w:id="212"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211">
        <w:r>
          <w:rPr>
            <w:rStyle w:val="Hyperlink"/>
          </w:rPr>
          <w:t xml:space="preserve">https://doi.org/10.1038/nature08227</w:t>
        </w:r>
      </w:hyperlink>
      <w:r>
        <w:t xml:space="preserve">.</w:t>
      </w:r>
    </w:p>
    <w:bookmarkEnd w:id="212"/>
    <w:bookmarkStart w:id="213"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13"/>
    <w:bookmarkStart w:id="215"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14">
        <w:r>
          <w:rPr>
            <w:rStyle w:val="Hyperlink"/>
          </w:rPr>
          <w:t xml:space="preserve">https://doi.org/10.1016/j.jtbi.2016.04.024</w:t>
        </w:r>
      </w:hyperlink>
      <w:r>
        <w:t xml:space="preserve">.</w:t>
      </w:r>
    </w:p>
    <w:bookmarkEnd w:id="215"/>
    <w:bookmarkStart w:id="217"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6">
        <w:r>
          <w:rPr>
            <w:rStyle w:val="Hyperlink"/>
          </w:rPr>
          <w:t xml:space="preserve">https://doi.org/10.1016/j.evolhumbehav.2014.09.006</w:t>
        </w:r>
      </w:hyperlink>
      <w:r>
        <w:t xml:space="preserve">.</w:t>
      </w:r>
    </w:p>
    <w:bookmarkEnd w:id="217"/>
    <w:bookmarkStart w:id="218"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8"/>
    <w:bookmarkStart w:id="219"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9"/>
    <w:bookmarkStart w:id="221"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20">
        <w:r>
          <w:rPr>
            <w:rStyle w:val="Hyperlink"/>
          </w:rPr>
          <w:t xml:space="preserve">https://doi.org/10.1006/jhev.1994.1037</w:t>
        </w:r>
      </w:hyperlink>
      <w:r>
        <w:t xml:space="preserve">.</w:t>
      </w:r>
    </w:p>
    <w:bookmarkEnd w:id="221"/>
    <w:bookmarkStart w:id="223"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22">
        <w:r>
          <w:rPr>
            <w:rStyle w:val="Hyperlink"/>
          </w:rPr>
          <w:t xml:space="preserve">https://doi.org/10.1017/aaq.2024.1</w:t>
        </w:r>
      </w:hyperlink>
      <w:r>
        <w:t xml:space="preserve">.</w:t>
      </w:r>
    </w:p>
    <w:bookmarkEnd w:id="223"/>
    <w:bookmarkStart w:id="224"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4"/>
    <w:bookmarkStart w:id="226"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5">
        <w:r>
          <w:rPr>
            <w:rStyle w:val="Hyperlink"/>
          </w:rPr>
          <w:t xml:space="preserve">https://doi.org/10.1086/651661</w:t>
        </w:r>
      </w:hyperlink>
      <w:r>
        <w:t xml:space="preserve">.</w:t>
      </w:r>
    </w:p>
    <w:bookmarkEnd w:id="226"/>
    <w:bookmarkStart w:id="227"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7"/>
    <w:bookmarkStart w:id="228" w:name="ref-williams_1954"/>
    <w:p>
      <w:pPr>
        <w:pStyle w:val="Bibliography"/>
      </w:pPr>
      <w:r>
        <w:t xml:space="preserve">Williams, Stephen. 1954. An Archeological Study of the Mississippian Culture in Southeast Missouri. PhD thesis, Yale University, New Haven.</w:t>
      </w:r>
    </w:p>
    <w:bookmarkEnd w:id="228"/>
    <w:bookmarkStart w:id="229"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29"/>
    <w:bookmarkStart w:id="231"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30">
        <w:r>
          <w:rPr>
            <w:rStyle w:val="Hyperlink"/>
          </w:rPr>
          <w:t xml:space="preserve">https://doi.org/10.1093/genetics/28.2.114</w:t>
        </w:r>
      </w:hyperlink>
      <w:r>
        <w:t xml:space="preserve">.</w:t>
      </w:r>
    </w:p>
    <w:bookmarkEnd w:id="231"/>
    <w:bookmarkStart w:id="233"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32">
        <w:r>
          <w:rPr>
            <w:rStyle w:val="Hyperlink"/>
          </w:rPr>
          <w:t xml:space="preserve">https://doi.org/10.1111/j.1469-1809.1949.tb02451.x</w:t>
        </w:r>
      </w:hyperlink>
      <w:r>
        <w:t xml:space="preserve">.</w:t>
      </w:r>
    </w:p>
    <w:bookmarkEnd w:id="233"/>
    <w:bookmarkStart w:id="235"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34">
        <w:r>
          <w:rPr>
            <w:rStyle w:val="Hyperlink"/>
          </w:rPr>
          <w:t xml:space="preserve">https://doi.org/10.1017/ehs.2023.5</w:t>
        </w:r>
      </w:hyperlink>
      <w:r>
        <w:t xml:space="preserve">.</w:t>
      </w:r>
    </w:p>
    <w:bookmarkEnd w:id="235"/>
    <w:bookmarkEnd w:id="236"/>
    <w:bookmarkEnd w:id="237"/>
    <w:bookmarkEnd w:id="2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50" Target="media/rId50.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hyperlink" Id="rId157" Target="https://doi.org/10.1006/jaar.1997.0314" TargetMode="External" /><Relationship Type="http://schemas.openxmlformats.org/officeDocument/2006/relationships/hyperlink" Id="rId220" Target="https://doi.org/10.1006/jhev.1994.1037" TargetMode="External" /><Relationship Type="http://schemas.openxmlformats.org/officeDocument/2006/relationships/hyperlink" Id="rId110" Target="https://doi.org/10.1007/s10814-007-9013-z" TargetMode="External" /><Relationship Type="http://schemas.openxmlformats.org/officeDocument/2006/relationships/hyperlink" Id="rId185" Target="https://doi.org/10.1007/s10816-018-9364-4" TargetMode="External" /><Relationship Type="http://schemas.openxmlformats.org/officeDocument/2006/relationships/hyperlink" Id="rId89" Target="https://doi.org/10.1007/s10816-022-09599-x" TargetMode="External" /><Relationship Type="http://schemas.openxmlformats.org/officeDocument/2006/relationships/hyperlink" Id="rId85" Target="https://doi.org/10.1007/s10816-023-09613-w" TargetMode="External" /><Relationship Type="http://schemas.openxmlformats.org/officeDocument/2006/relationships/hyperlink" Id="rId125" Target="https://doi.org/10.1016/S1090-5138(98)00018-X" TargetMode="External" /><Relationship Type="http://schemas.openxmlformats.org/officeDocument/2006/relationships/hyperlink" Id="rId62" Target="https://doi.org/10.1016/j.beproc.2018.01.011" TargetMode="External" /><Relationship Type="http://schemas.openxmlformats.org/officeDocument/2006/relationships/hyperlink" Id="rId216" Target="https://doi.org/10.1016/j.evolhumbehav.2014.09.006" TargetMode="External" /><Relationship Type="http://schemas.openxmlformats.org/officeDocument/2006/relationships/hyperlink" Id="rId108" Target="https://doi.org/10.1016/j.jaa.2005.08.001" TargetMode="External" /><Relationship Type="http://schemas.openxmlformats.org/officeDocument/2006/relationships/hyperlink" Id="rId60" Target="https://doi.org/10.1016/j.jaa.2006.08.002" TargetMode="External" /><Relationship Type="http://schemas.openxmlformats.org/officeDocument/2006/relationships/hyperlink" Id="rId153" Target="https://doi.org/10.1016/j.jas.2010.05.015" TargetMode="External" /><Relationship Type="http://schemas.openxmlformats.org/officeDocument/2006/relationships/hyperlink" Id="rId183" Target="https://doi.org/10.1016/j.jas.2012.04.040" TargetMode="External" /><Relationship Type="http://schemas.openxmlformats.org/officeDocument/2006/relationships/hyperlink" Id="rId91" Target="https://doi.org/10.1016/j.jas.2014.07.014" TargetMode="External" /><Relationship Type="http://schemas.openxmlformats.org/officeDocument/2006/relationships/hyperlink" Id="rId161" Target="https://doi.org/10.1016/j.jas.2021.105412" TargetMode="External" /><Relationship Type="http://schemas.openxmlformats.org/officeDocument/2006/relationships/hyperlink" Id="rId137" Target="https://doi.org/10.1016/j.jtbi.2013.03.006" TargetMode="External" /><Relationship Type="http://schemas.openxmlformats.org/officeDocument/2006/relationships/hyperlink" Id="rId214" Target="https://doi.org/10.1016/j.jtbi.2016.04.024" TargetMode="External" /><Relationship Type="http://schemas.openxmlformats.org/officeDocument/2006/relationships/hyperlink" Id="rId201" Target="https://doi.org/10.1017/RDC.2020.41" TargetMode="External" /><Relationship Type="http://schemas.openxmlformats.org/officeDocument/2006/relationships/hyperlink" Id="rId69" Target="https://doi.org/10.1017/S0094837300026907" TargetMode="External" /><Relationship Type="http://schemas.openxmlformats.org/officeDocument/2006/relationships/hyperlink" Id="rId203" Target="https://doi.org/10.1017/S0140525X1400106X" TargetMode="External" /><Relationship Type="http://schemas.openxmlformats.org/officeDocument/2006/relationships/hyperlink" Id="rId128" Target="https://doi.org/10.1017/aap.2021.10" TargetMode="External" /><Relationship Type="http://schemas.openxmlformats.org/officeDocument/2006/relationships/hyperlink" Id="rId222" Target="https://doi.org/10.1017/aaq.2024.1" TargetMode="External" /><Relationship Type="http://schemas.openxmlformats.org/officeDocument/2006/relationships/hyperlink" Id="rId234" Target="https://doi.org/10.1017/ehs.2023.5" TargetMode="External" /><Relationship Type="http://schemas.openxmlformats.org/officeDocument/2006/relationships/hyperlink" Id="rId211" Target="https://doi.org/10.1038/nature08227" TargetMode="External" /><Relationship Type="http://schemas.openxmlformats.org/officeDocument/2006/relationships/hyperlink" Id="rId93" Target="https://doi.org/10.1038/srep39122" TargetMode="External" /><Relationship Type="http://schemas.openxmlformats.org/officeDocument/2006/relationships/hyperlink" Id="rId205" Target="https://doi.org/10.1057/s41599-019-0260-7" TargetMode="External" /><Relationship Type="http://schemas.openxmlformats.org/officeDocument/2006/relationships/hyperlink" Id="rId81" Target="https://doi.org/10.1057/s41599-019-0295-9" TargetMode="External" /><Relationship Type="http://schemas.openxmlformats.org/officeDocument/2006/relationships/hyperlink" Id="rId87" Target="https://doi.org/10.1057/s41599-020-00635-3" TargetMode="External" /><Relationship Type="http://schemas.openxmlformats.org/officeDocument/2006/relationships/hyperlink" Id="rId71" Target="https://doi.org/10.1073/pnas.0903232106" TargetMode="External" /><Relationship Type="http://schemas.openxmlformats.org/officeDocument/2006/relationships/hyperlink" Id="rId97" Target="https://doi.org/10.1073/pnas.1518798113" TargetMode="External" /><Relationship Type="http://schemas.openxmlformats.org/officeDocument/2006/relationships/hyperlink" Id="rId159" Target="https://doi.org/10.1073/pnas.1818346116" TargetMode="External" /><Relationship Type="http://schemas.openxmlformats.org/officeDocument/2006/relationships/hyperlink" Id="rId115" Target="https://doi.org/10.1073/pnas.2418106121" TargetMode="External" /><Relationship Type="http://schemas.openxmlformats.org/officeDocument/2006/relationships/hyperlink" Id="rId171" Target="https://doi.org/10.1080/20548923.2018.1504490" TargetMode="External" /><Relationship Type="http://schemas.openxmlformats.org/officeDocument/2006/relationships/hyperlink" Id="rId225" Target="https://doi.org/10.1086/651661" TargetMode="External" /><Relationship Type="http://schemas.openxmlformats.org/officeDocument/2006/relationships/hyperlink" Id="rId194" Target="https://doi.org/10.1086/674873" TargetMode="External" /><Relationship Type="http://schemas.openxmlformats.org/officeDocument/2006/relationships/hyperlink" Id="rId230" Target="https://doi.org/10.1093/genetics/28.2.114" TargetMode="External" /><Relationship Type="http://schemas.openxmlformats.org/officeDocument/2006/relationships/hyperlink" Id="rId139" Target="https://doi.org/10.1098/rsif.2015.0905" TargetMode="External" /><Relationship Type="http://schemas.openxmlformats.org/officeDocument/2006/relationships/hyperlink" Id="rId141" Target="https://doi.org/10.1098/rsos.170949" TargetMode="External" /><Relationship Type="http://schemas.openxmlformats.org/officeDocument/2006/relationships/hyperlink" Id="rId75" Target="https://doi.org/10.1098/rspb.2004.2746" TargetMode="External" /><Relationship Type="http://schemas.openxmlformats.org/officeDocument/2006/relationships/hyperlink" Id="rId209" Target="https://doi.org/10.1098/rspb.2008.1827" TargetMode="External" /><Relationship Type="http://schemas.openxmlformats.org/officeDocument/2006/relationships/hyperlink" Id="rId64" Target="https://doi.org/10.1098/rstb.1996.0073" TargetMode="External" /><Relationship Type="http://schemas.openxmlformats.org/officeDocument/2006/relationships/hyperlink" Id="rId179" Target="https://doi.org/10.1098/rstb.2016.0426" TargetMode="External" /><Relationship Type="http://schemas.openxmlformats.org/officeDocument/2006/relationships/hyperlink" Id="rId99" Target="https://doi.org/10.1098/rstb.2017.0062" TargetMode="External" /><Relationship Type="http://schemas.openxmlformats.org/officeDocument/2006/relationships/hyperlink" Id="rId232" Target="https://doi.org/10.1111/j.1469-1809.1949.tb02451.x" TargetMode="External" /><Relationship Type="http://schemas.openxmlformats.org/officeDocument/2006/relationships/hyperlink" Id="rId134" Target="https://doi.org/10.1111/j.1558-5646.2007.00310.x" TargetMode="External" /><Relationship Type="http://schemas.openxmlformats.org/officeDocument/2006/relationships/hyperlink" Id="rId192" Target="https://doi.org/10.1126/science.1170165" TargetMode="External" /><Relationship Type="http://schemas.openxmlformats.org/officeDocument/2006/relationships/hyperlink" Id="rId143" Target="https://doi.org/10.1146/annurev-ecolsys-110512-135838" TargetMode="External" /><Relationship Type="http://schemas.openxmlformats.org/officeDocument/2006/relationships/hyperlink" Id="rId73" Target="https://doi.org/10.1371/journal.pone.0003057" TargetMode="External" /><Relationship Type="http://schemas.openxmlformats.org/officeDocument/2006/relationships/hyperlink" Id="rId95" Target="https://doi.org/10.1371/journal.pone.0041010" TargetMode="External" /><Relationship Type="http://schemas.openxmlformats.org/officeDocument/2006/relationships/hyperlink" Id="rId155" Target="https://doi.org/10.1371/journal.pone.0124942" TargetMode="External" /><Relationship Type="http://schemas.openxmlformats.org/officeDocument/2006/relationships/hyperlink" Id="rId150" Target="https://doi.org/10.1371/journal.pone.0250690" TargetMode="External" /><Relationship Type="http://schemas.openxmlformats.org/officeDocument/2006/relationships/hyperlink" Id="rId190" Target="https://doi.org/10.1525/aa.1953.55.5.02a00030" TargetMode="External" /><Relationship Type="http://schemas.openxmlformats.org/officeDocument/2006/relationships/hyperlink" Id="rId121" Target="https://doi.org/10.1525/aa.2001.103.4.992" TargetMode="External" /><Relationship Type="http://schemas.openxmlformats.org/officeDocument/2006/relationships/hyperlink" Id="rId113" Target="https://doi.org/10.1534/genetics.113.158220" TargetMode="External" /><Relationship Type="http://schemas.openxmlformats.org/officeDocument/2006/relationships/hyperlink" Id="rId132" Target="https://doi.org/10.1666/05070.1" TargetMode="External" /><Relationship Type="http://schemas.openxmlformats.org/officeDocument/2006/relationships/hyperlink" Id="rId78" Target="https://doi.org/10.2307/2694206" TargetMode="External" /><Relationship Type="http://schemas.openxmlformats.org/officeDocument/2006/relationships/hyperlink" Id="rId146" Target="https://doi.org/10.2307/2694529" TargetMode="External" /><Relationship Type="http://schemas.openxmlformats.org/officeDocument/2006/relationships/hyperlink" Id="rId101" Target="https://doi.org/10.2307/278341" TargetMode="External" /><Relationship Type="http://schemas.openxmlformats.org/officeDocument/2006/relationships/hyperlink" Id="rId181" Target="https://doi.org/10.2307/279066" TargetMode="External" /><Relationship Type="http://schemas.openxmlformats.org/officeDocument/2006/relationships/hyperlink" Id="rId103" Target="https://doi.org/10.2307/279244" TargetMode="External" /><Relationship Type="http://schemas.openxmlformats.org/officeDocument/2006/relationships/hyperlink" Id="rId67" Target="https://doi.org/10.2307/3557066" TargetMode="External" /><Relationship Type="http://schemas.openxmlformats.org/officeDocument/2006/relationships/hyperlink" Id="rId123" Target="https://doi.org/10.2307/4128416" TargetMode="External" /><Relationship Type="http://schemas.openxmlformats.org/officeDocument/2006/relationships/hyperlink" Id="rId198" Target="https://doi.org/10.7183/0002-7316.76.1.163" TargetMode="External" /><Relationship Type="http://schemas.openxmlformats.org/officeDocument/2006/relationships/hyperlink" Id="rId196"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7" Target="https://doi.org/10.1006/jaar.1997.0314" TargetMode="External" /><Relationship Type="http://schemas.openxmlformats.org/officeDocument/2006/relationships/hyperlink" Id="rId220" Target="https://doi.org/10.1006/jhev.1994.1037" TargetMode="External" /><Relationship Type="http://schemas.openxmlformats.org/officeDocument/2006/relationships/hyperlink" Id="rId110" Target="https://doi.org/10.1007/s10814-007-9013-z" TargetMode="External" /><Relationship Type="http://schemas.openxmlformats.org/officeDocument/2006/relationships/hyperlink" Id="rId185" Target="https://doi.org/10.1007/s10816-018-9364-4" TargetMode="External" /><Relationship Type="http://schemas.openxmlformats.org/officeDocument/2006/relationships/hyperlink" Id="rId89" Target="https://doi.org/10.1007/s10816-022-09599-x" TargetMode="External" /><Relationship Type="http://schemas.openxmlformats.org/officeDocument/2006/relationships/hyperlink" Id="rId85" Target="https://doi.org/10.1007/s10816-023-09613-w" TargetMode="External" /><Relationship Type="http://schemas.openxmlformats.org/officeDocument/2006/relationships/hyperlink" Id="rId125" Target="https://doi.org/10.1016/S1090-5138(98)00018-X" TargetMode="External" /><Relationship Type="http://schemas.openxmlformats.org/officeDocument/2006/relationships/hyperlink" Id="rId62" Target="https://doi.org/10.1016/j.beproc.2018.01.011" TargetMode="External" /><Relationship Type="http://schemas.openxmlformats.org/officeDocument/2006/relationships/hyperlink" Id="rId216" Target="https://doi.org/10.1016/j.evolhumbehav.2014.09.006" TargetMode="External" /><Relationship Type="http://schemas.openxmlformats.org/officeDocument/2006/relationships/hyperlink" Id="rId108" Target="https://doi.org/10.1016/j.jaa.2005.08.001" TargetMode="External" /><Relationship Type="http://schemas.openxmlformats.org/officeDocument/2006/relationships/hyperlink" Id="rId60" Target="https://doi.org/10.1016/j.jaa.2006.08.002" TargetMode="External" /><Relationship Type="http://schemas.openxmlformats.org/officeDocument/2006/relationships/hyperlink" Id="rId153" Target="https://doi.org/10.1016/j.jas.2010.05.015" TargetMode="External" /><Relationship Type="http://schemas.openxmlformats.org/officeDocument/2006/relationships/hyperlink" Id="rId183" Target="https://doi.org/10.1016/j.jas.2012.04.040" TargetMode="External" /><Relationship Type="http://schemas.openxmlformats.org/officeDocument/2006/relationships/hyperlink" Id="rId91" Target="https://doi.org/10.1016/j.jas.2014.07.014" TargetMode="External" /><Relationship Type="http://schemas.openxmlformats.org/officeDocument/2006/relationships/hyperlink" Id="rId161" Target="https://doi.org/10.1016/j.jas.2021.105412" TargetMode="External" /><Relationship Type="http://schemas.openxmlformats.org/officeDocument/2006/relationships/hyperlink" Id="rId137" Target="https://doi.org/10.1016/j.jtbi.2013.03.006" TargetMode="External" /><Relationship Type="http://schemas.openxmlformats.org/officeDocument/2006/relationships/hyperlink" Id="rId214" Target="https://doi.org/10.1016/j.jtbi.2016.04.024" TargetMode="External" /><Relationship Type="http://schemas.openxmlformats.org/officeDocument/2006/relationships/hyperlink" Id="rId201" Target="https://doi.org/10.1017/RDC.2020.41" TargetMode="External" /><Relationship Type="http://schemas.openxmlformats.org/officeDocument/2006/relationships/hyperlink" Id="rId69" Target="https://doi.org/10.1017/S0094837300026907" TargetMode="External" /><Relationship Type="http://schemas.openxmlformats.org/officeDocument/2006/relationships/hyperlink" Id="rId203" Target="https://doi.org/10.1017/S0140525X1400106X" TargetMode="External" /><Relationship Type="http://schemas.openxmlformats.org/officeDocument/2006/relationships/hyperlink" Id="rId128" Target="https://doi.org/10.1017/aap.2021.10" TargetMode="External" /><Relationship Type="http://schemas.openxmlformats.org/officeDocument/2006/relationships/hyperlink" Id="rId222" Target="https://doi.org/10.1017/aaq.2024.1" TargetMode="External" /><Relationship Type="http://schemas.openxmlformats.org/officeDocument/2006/relationships/hyperlink" Id="rId234" Target="https://doi.org/10.1017/ehs.2023.5" TargetMode="External" /><Relationship Type="http://schemas.openxmlformats.org/officeDocument/2006/relationships/hyperlink" Id="rId211" Target="https://doi.org/10.1038/nature08227" TargetMode="External" /><Relationship Type="http://schemas.openxmlformats.org/officeDocument/2006/relationships/hyperlink" Id="rId93" Target="https://doi.org/10.1038/srep39122" TargetMode="External" /><Relationship Type="http://schemas.openxmlformats.org/officeDocument/2006/relationships/hyperlink" Id="rId205" Target="https://doi.org/10.1057/s41599-019-0260-7" TargetMode="External" /><Relationship Type="http://schemas.openxmlformats.org/officeDocument/2006/relationships/hyperlink" Id="rId81" Target="https://doi.org/10.1057/s41599-019-0295-9" TargetMode="External" /><Relationship Type="http://schemas.openxmlformats.org/officeDocument/2006/relationships/hyperlink" Id="rId87" Target="https://doi.org/10.1057/s41599-020-00635-3" TargetMode="External" /><Relationship Type="http://schemas.openxmlformats.org/officeDocument/2006/relationships/hyperlink" Id="rId71" Target="https://doi.org/10.1073/pnas.0903232106" TargetMode="External" /><Relationship Type="http://schemas.openxmlformats.org/officeDocument/2006/relationships/hyperlink" Id="rId97" Target="https://doi.org/10.1073/pnas.1518798113" TargetMode="External" /><Relationship Type="http://schemas.openxmlformats.org/officeDocument/2006/relationships/hyperlink" Id="rId159" Target="https://doi.org/10.1073/pnas.1818346116" TargetMode="External" /><Relationship Type="http://schemas.openxmlformats.org/officeDocument/2006/relationships/hyperlink" Id="rId115" Target="https://doi.org/10.1073/pnas.2418106121" TargetMode="External" /><Relationship Type="http://schemas.openxmlformats.org/officeDocument/2006/relationships/hyperlink" Id="rId171" Target="https://doi.org/10.1080/20548923.2018.1504490" TargetMode="External" /><Relationship Type="http://schemas.openxmlformats.org/officeDocument/2006/relationships/hyperlink" Id="rId225" Target="https://doi.org/10.1086/651661" TargetMode="External" /><Relationship Type="http://schemas.openxmlformats.org/officeDocument/2006/relationships/hyperlink" Id="rId194" Target="https://doi.org/10.1086/674873" TargetMode="External" /><Relationship Type="http://schemas.openxmlformats.org/officeDocument/2006/relationships/hyperlink" Id="rId230" Target="https://doi.org/10.1093/genetics/28.2.114" TargetMode="External" /><Relationship Type="http://schemas.openxmlformats.org/officeDocument/2006/relationships/hyperlink" Id="rId139" Target="https://doi.org/10.1098/rsif.2015.0905" TargetMode="External" /><Relationship Type="http://schemas.openxmlformats.org/officeDocument/2006/relationships/hyperlink" Id="rId141" Target="https://doi.org/10.1098/rsos.170949" TargetMode="External" /><Relationship Type="http://schemas.openxmlformats.org/officeDocument/2006/relationships/hyperlink" Id="rId75" Target="https://doi.org/10.1098/rspb.2004.2746" TargetMode="External" /><Relationship Type="http://schemas.openxmlformats.org/officeDocument/2006/relationships/hyperlink" Id="rId209" Target="https://doi.org/10.1098/rspb.2008.1827" TargetMode="External" /><Relationship Type="http://schemas.openxmlformats.org/officeDocument/2006/relationships/hyperlink" Id="rId64" Target="https://doi.org/10.1098/rstb.1996.0073" TargetMode="External" /><Relationship Type="http://schemas.openxmlformats.org/officeDocument/2006/relationships/hyperlink" Id="rId179" Target="https://doi.org/10.1098/rstb.2016.0426" TargetMode="External" /><Relationship Type="http://schemas.openxmlformats.org/officeDocument/2006/relationships/hyperlink" Id="rId99" Target="https://doi.org/10.1098/rstb.2017.0062" TargetMode="External" /><Relationship Type="http://schemas.openxmlformats.org/officeDocument/2006/relationships/hyperlink" Id="rId232" Target="https://doi.org/10.1111/j.1469-1809.1949.tb02451.x" TargetMode="External" /><Relationship Type="http://schemas.openxmlformats.org/officeDocument/2006/relationships/hyperlink" Id="rId134" Target="https://doi.org/10.1111/j.1558-5646.2007.00310.x" TargetMode="External" /><Relationship Type="http://schemas.openxmlformats.org/officeDocument/2006/relationships/hyperlink" Id="rId192" Target="https://doi.org/10.1126/science.1170165" TargetMode="External" /><Relationship Type="http://schemas.openxmlformats.org/officeDocument/2006/relationships/hyperlink" Id="rId143" Target="https://doi.org/10.1146/annurev-ecolsys-110512-135838" TargetMode="External" /><Relationship Type="http://schemas.openxmlformats.org/officeDocument/2006/relationships/hyperlink" Id="rId73" Target="https://doi.org/10.1371/journal.pone.0003057" TargetMode="External" /><Relationship Type="http://schemas.openxmlformats.org/officeDocument/2006/relationships/hyperlink" Id="rId95" Target="https://doi.org/10.1371/journal.pone.0041010" TargetMode="External" /><Relationship Type="http://schemas.openxmlformats.org/officeDocument/2006/relationships/hyperlink" Id="rId155" Target="https://doi.org/10.1371/journal.pone.0124942" TargetMode="External" /><Relationship Type="http://schemas.openxmlformats.org/officeDocument/2006/relationships/hyperlink" Id="rId150" Target="https://doi.org/10.1371/journal.pone.0250690" TargetMode="External" /><Relationship Type="http://schemas.openxmlformats.org/officeDocument/2006/relationships/hyperlink" Id="rId190" Target="https://doi.org/10.1525/aa.1953.55.5.02a00030" TargetMode="External" /><Relationship Type="http://schemas.openxmlformats.org/officeDocument/2006/relationships/hyperlink" Id="rId121" Target="https://doi.org/10.1525/aa.2001.103.4.992" TargetMode="External" /><Relationship Type="http://schemas.openxmlformats.org/officeDocument/2006/relationships/hyperlink" Id="rId113" Target="https://doi.org/10.1534/genetics.113.158220" TargetMode="External" /><Relationship Type="http://schemas.openxmlformats.org/officeDocument/2006/relationships/hyperlink" Id="rId132" Target="https://doi.org/10.1666/05070.1" TargetMode="External" /><Relationship Type="http://schemas.openxmlformats.org/officeDocument/2006/relationships/hyperlink" Id="rId78" Target="https://doi.org/10.2307/2694206" TargetMode="External" /><Relationship Type="http://schemas.openxmlformats.org/officeDocument/2006/relationships/hyperlink" Id="rId146" Target="https://doi.org/10.2307/2694529" TargetMode="External" /><Relationship Type="http://schemas.openxmlformats.org/officeDocument/2006/relationships/hyperlink" Id="rId101" Target="https://doi.org/10.2307/278341" TargetMode="External" /><Relationship Type="http://schemas.openxmlformats.org/officeDocument/2006/relationships/hyperlink" Id="rId181" Target="https://doi.org/10.2307/279066" TargetMode="External" /><Relationship Type="http://schemas.openxmlformats.org/officeDocument/2006/relationships/hyperlink" Id="rId103" Target="https://doi.org/10.2307/279244" TargetMode="External" /><Relationship Type="http://schemas.openxmlformats.org/officeDocument/2006/relationships/hyperlink" Id="rId67" Target="https://doi.org/10.2307/3557066" TargetMode="External" /><Relationship Type="http://schemas.openxmlformats.org/officeDocument/2006/relationships/hyperlink" Id="rId123" Target="https://doi.org/10.2307/4128416" TargetMode="External" /><Relationship Type="http://schemas.openxmlformats.org/officeDocument/2006/relationships/hyperlink" Id="rId198" Target="https://doi.org/10.7183/0002-7316.76.1.163" TargetMode="External" /><Relationship Type="http://schemas.openxmlformats.org/officeDocument/2006/relationships/hyperlink" Id="rId196"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2026-06-16T01:29:59Z</dcterms:created>
  <dcterms:modified xsi:type="dcterms:W3CDTF">2026-06-16T01:29:59Z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