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11.png" ContentType="image/png"/>
  <Override PartName="/word/media/rId19.png" ContentType="image/png"/>
  <Override PartName="/word/media/rId23.png" ContentType="image/png"/>
  <Override PartName="/word/media/rId32.png" ContentType="image/png"/>
  <Override PartName="/word/media/rId35.png" ContentType="image/png"/>
  <Override PartName="/word/media/rId38.png" ContentType="image/png"/>
  <Override PartName="/word/media/rId41.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6"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those nearby than to distant neighbors record a bounded society. While the validity of phases has been questioned, the rationale for assuming these units is rarely tested. Neutral transmission produces the same clustering, with no bounded groups, since drift locally concentrates similar styles. For the late pre-contact central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the southeast-Missouri assemblages,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A sharper boundary appears only between the central and lower valleys, confounded with chronological turnover and analytical history.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descansa sobre una premisa tácita de que los conjuntos más similares a sus vecinos cercanos que a los distantes registran una sociedad delimitada. Aunque la validez de las fases ha sido cuestionada, la justificación para asumir estas unidades rara vez se pone a prueba. La transmisión cultural neutral produce el mismo agrupamiento sin grupos delimitados, ya que la deriva concentra estilos similares en áreas cercanas. Para el valle central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a los tamaños de muestra pequeños y al promediado temporal del registro mediante un experimento de recuperación de señal. Tanto en la cuenca del St. Francis como en los conjuntos del sureste de Misuri, la estructura se reproduce mediante deriva y no requiere grupos delimitados, y en el conjunto del valle la deriva genera muchos menos grupos coherentes de los que distingue el esquema de fases nombradas. Encontramos que Parkin, a menudo considerado el centro de una entidad política, es un puente de transmisión más que una capital. Evaluada directamente frente a las demás fases nombradas, la fase Parkin muestra a lo sumo una señal débil en el límite de lo que predice la deriva. Una frontera más marcada aparece solo entre el valle central y el valle inferior, confundida con el recambio cronológico y la historia analítica.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Among these units, the Parkin phase stands out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That interpretation is a specific claim about social structure in which the Parkin phase is treated as a bounded, hierarchically organized society with Parkin at its apex.</w:t>
      </w:r>
    </w:p>
    <w:p>
      <w:pPr>
        <w:pStyle w:val="CaptionedFigure"/>
      </w:pPr>
      <w:r>
        <w:drawing>
          <wp:inline>
            <wp:extent cx="4114800" cy="6930397"/>
            <wp:effectExtent b="0" l="0" r="0" t="0"/>
            <wp:docPr descr="Figure 1. 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competing peer communities as with a centralized, consolidated hierarchy</w:t>
      </w:r>
      <w:r>
        <w:t xml:space="preserve"> </w:t>
      </w:r>
      <w:r>
        <w:t xml:space="preserve">(King and Freer 1995; Rees 2001)</w:t>
      </w:r>
      <w:r>
        <w:t xml:space="preserve">. The 16th-century chronicles are themselves equivocal, read both as rivalry among competing peers and as a ranked order, so if Parkin is Casqui, they do not, by themselves, establish a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It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requires going beyond the phase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though disavowed at the source,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built into the unit before any independent evidence of bounded groups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and that is not possible with culture history methods,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 learning networks, the spatial and temporal structure of decorated-class frequencies reflects past interactions.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(Morse and Morse 1996)</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1995a; Ladefoged and Graves 2000)</w:t>
      </w:r>
      <w:r>
        <w:t xml:space="preserve">, and it converges with the recognition that the deposit is not a frozen tableau</w:t>
      </w:r>
      <w:r>
        <w:t xml:space="preserve"> </w:t>
      </w:r>
      <w:r>
        <w:t xml:space="preserve">(Binford 1981)</w:t>
      </w:r>
      <w:r>
        <w:t xml:space="preserve">. The record’s coarse temporal resolution is also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be based on an imagined moment that is assumed to be behind it.</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This is an example of equifinality, in which the same pattern can be reached by different processes, undermining the utility of one-signature inferences</w:t>
      </w:r>
      <w:r>
        <w:t xml:space="preserve"> </w:t>
      </w:r>
      <w:r>
        <w:t xml:space="preserve">(Barrett 2019; Crema et al. 2016; Kandler and Shennan 2015; Mesoudi 2021)</w:t>
      </w:r>
      <w:r>
        <w:t xml:space="preserve">. To avoid this problem, we compare multiple processes in a generative manner by simulating neutral spatial drift and bounded groups on the real coordinate layout of the assemblages. Using simulated data, we ask which measures can reproduce the observed structure, using four transmission signatures: departure from neutral copying, breakdown of frequency-seriation coherence, between-group variance, and spatial assortativity. Because archaeological assemblages are time-averaged and sampled, our measurements may potentially reflect differences that are artifacts of sampling rather than of transmission. Consequently, we calibrate our comparisons to the record using a signal-recovery experiment in which synthetic assemblages are matched to the real number, sample sizes, and time-averaging. We then inject a known signal of tunable strength and measure how strong a real boundary would have to be to register. This calibration enables us to conclude that the presence or absence of group structure is real, not a failure of resolution. This calibration is the transferable contribution, because before any similarity structure is interpreted as social, a record must be shown to be able to distinguish drift from groups at all.</w:t>
      </w:r>
    </w:p>
    <w:p>
      <w:pPr>
        <w:pStyle w:val="BodyText"/>
      </w:pPr>
      <w:r>
        <w:t xml:space="preserve">The argument proceeds in three steps. First, we evaluate the Parkin as the topmost part of a hierarchy and find that no line of evidence, settlement, exchange, or transmission supports such a claim. Second, we ask what generates the St. Francis basin phase structure, and show that neutral drift on the basin’s geography reproduces the observed signatures. A bounded-groups process would leave a far sharper structure than the data demonstrate. Hence, we conclude that the phase is a portion of a continuous interaction structure rather than a closed group with a boundary, and Parkin is a transmission bridge rather than the core of a group. Third, we widen the test to the other late-period phases of the valley and ask whether decorated-ceramic boundaries exist. A boundary that exceeds neutral drift appears only between the central-valley and lower-valley blocks, and even there, it is confounded with the early-to-late turnover of the class repertoire. It cannot yet be interpreted as a synchronic social division. At the scale where the phase is drawn, it is largely indistinguishable from spatially structured drift. We ultimately conclude that Parkin is best understood as a prominent node in a continuous field of interaction rather than the capital of a polity.</w:t>
      </w:r>
    </w:p>
    <w:bookmarkEnd w:id="14"/>
    <w:bookmarkStart w:id="18"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In evaluating the phase concept, we take a materialist approach to cultural transmission, one that frames the question differently from how the Lower and Central Mississippi Valley records are usually read. Archaeologists often treat the past as made of bounded units, the phase, the polity, the society, each a discrete entity with members and edges, and read a cluster of similar assemblages as one such unit. We treat transmission instead as a continuous, variable field of copying among potters, with no intrinsic boundaries. Interaction falls off with distance and is more local in some places and times than in others, so a group is not a thing with a boundary but a region where copying is locally intensified, and similarity is a matter of degree. Closure is a matter of degree, too: interaction can narrow until potters copy mostly within a subset and rarely outside it, producing something that resembles the bounded groups archaeologists assume.</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individuals who interacted mostly within</w:t>
      </w:r>
      <w:r>
        <w:t xml:space="preserve"> </w:t>
      </w:r>
      <w:r>
        <w:t xml:space="preserve">(McNutt 1996; Morse and Morse 1983; Phillips et al. 1951; Williams 1954)</w:t>
      </w:r>
      <w:r>
        <w:t xml:space="preserve">. That premise is not unreasonable. The difficulty with accepting this interpretation, however, is that the same clustering arises with no boundary at all, through isolation by distance</w:t>
      </w:r>
      <w:r>
        <w:t xml:space="preserve"> </w:t>
      </w:r>
      <w:r>
        <w:t xml:space="preserve">(Lipo et al. 2021; Neiman 1995; Shennan et al. 2015)</w:t>
      </w:r>
      <w:r>
        <w:t xml:space="preserve">. What would mark a real bounded group is closure beyond what distance predicts, and that excess is the signal we must test for. We can treat decoration transmitted preferentially within a group and divergent between groups as a marker, rather than a neutral style drifting in a shared pool. A marker is the ceramic proxy for interaction closing into a bounded group, so the drift-versus-groups question is effectively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Measures of variability in decorated ceramics can capture the structure of social interaction because stylistic variants are copied among potters through social 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Assemblages drawn from a single interacting community share one drifting pool, and their decorated-class frequencies form a single battleship-curve seriation</w:t>
      </w:r>
      <w:r>
        <w:t xml:space="preserve"> </w:t>
      </w:r>
      <w:r>
        <w:t xml:space="preserve">(Dunnell 1995b; Lipo 2001; Lipo et al. 2015; Lipo and Madsen 2001; O’Brien and Leonard 2001)</w:t>
      </w:r>
      <w:r>
        <w:t xml:space="preserve">. Assortment, the tendency for like to learn from results in interaction, sorts into distinct groups and alters patterns of frequency changes.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A methodological obstacle, however, is that no single frequency pattern is uniquely associated with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more complex in archaeological assemblages, which are time-averaged because deposits form through aggregation over a use-life, a process that inflates richness, flattens evenness, and biases neutrality statistics by an amount that depends on the mean lifetime of the variants</w:t>
      </w:r>
      <w:r>
        <w:t xml:space="preserve"> </w:t>
      </w:r>
      <w:r>
        <w:t xml:space="preserve">(Madsen 2012; Premo 2014)</w:t>
      </w:r>
      <w:r>
        <w:t xml:space="preserve">. The result is equifinality, in which multiple transmission processes produce the same population-level pattern. Thus, a single statistic cannot recover the process that generated it. A discriminating signal, where it survives, only lies in the rare-variant tail of the frequency distribution rather than in its common classes</w:t>
      </w:r>
      <w:r>
        <w:t xml:space="preserve"> </w:t>
      </w:r>
      <w:r>
        <w:t xml:space="preserve">(Carrignon et al. 2019; Kandler et al. 2017; Mesoudi 2021; O’Dwyer and Kandler 2017)</w:t>
      </w:r>
      <w:r>
        <w:t xml:space="preserve">.</w:t>
      </w:r>
    </w:p>
    <w:bookmarkEnd w:id="16"/>
    <w:bookmarkStart w:id="17" w:name="X79776d0f91cd476f657decdd7eaf044172461c8"/>
    <w:p>
      <w:pPr>
        <w:pStyle w:val="Heading3"/>
      </w:pPr>
      <w:r>
        <w:t xml:space="preserve">The central Mississippi Valley case and two competing hypotheses</w:t>
      </w:r>
    </w:p>
    <w:p>
      <w:pPr>
        <w:pStyle w:val="FirstParagraph"/>
      </w:pPr>
      <w:r>
        <w:t xml:space="preserve">The late pre-contact central Mississippi Valley supports two interpretations of the same record, and they make opposite predictions for the transmission signature.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It is dominated by the Parkin site, a roughly 17-acre palisaded center whose platform mound rises more than 6 m, which the De Soto chronicles place as the seat of the paramount of Casqui</w:t>
      </w:r>
      <w:r>
        <w:t xml:space="preserve"> </w:t>
      </w:r>
      <w:r>
        <w:t xml:space="preserve">(Dye and Cox 1990; Mitchem 2001; Phyllis A. Morse 1990)</w:t>
      </w:r>
      <w:r>
        <w:t xml:space="preserve">. Based on this information, Parkin’s location on agriculturally poor soil has been interpreted as evidence that it drew tribute from smaller villages, a hallmark of an emerging chiefly hierarchy</w:t>
      </w:r>
      <w:r>
        <w:t xml:space="preserve"> </w:t>
      </w:r>
      <w:r>
        <w:t xml:space="preserve">(Phyllis A. Morse 1990)</w:t>
      </w:r>
      <w:r>
        <w:t xml:space="preserve">. European contact would have truncated any such transition before it could consolidate, the florescence Morse and Morse describe as cut short</w:t>
      </w:r>
      <w:r>
        <w:t xml:space="preserve"> </w:t>
      </w:r>
      <w:r>
        <w:t xml:space="preserve">“by the appearance of De Soto”</w:t>
      </w:r>
      <w:r>
        <w:t xml:space="preserve"> </w:t>
      </w:r>
      <w:r>
        <w:t xml:space="preserve">(Morse and Morse 1996)</w:t>
      </w:r>
      <w:r>
        <w:t xml:space="preserve">. We treat this truncation as a working premise rather than a settled fact, because the basin’s late sequence is poorly dated</w:t>
      </w:r>
      <w:r>
        <w:t xml:space="preserve"> </w:t>
      </w:r>
      <w:r>
        <w:t xml:space="preserve">(Morse and Morse 1996)</w:t>
      </w:r>
      <w:r>
        <w:t xml:space="preserve">. The regional</w:t>
      </w:r>
      <w:r>
        <w:t xml:space="preserve"> </w:t>
      </w:r>
      <w:r>
        <w:t xml:space="preserve">“Vacant Quarter”</w:t>
      </w:r>
      <w:r>
        <w:t xml:space="preserve"> </w:t>
      </w:r>
      <w:r>
        <w:t xml:space="preserve">abandonment lies north of the St. Francis basin, and the radiocarbon chronologies that define it do not date the basin itself</w:t>
      </w:r>
      <w:r>
        <w:t xml:space="preserve"> </w:t>
      </w:r>
      <w:r>
        <w:t xml:space="preserve">(Cobb et al. 2024; Cobb and Butler 2002; Williams 1990)</w:t>
      </w:r>
      <w:r>
        <w:t xml:space="preserve">. The second interpretation holds that the central valley was a stable arrangement of competing peer polities that never consolidated into a regional hierarchy</w:t>
      </w:r>
      <w:r>
        <w:t xml:space="preserve"> </w:t>
      </w:r>
      <w:r>
        <w:t xml:space="preserve">(Anderson 1996; Beck 2003; Blitz 1999; King and Freer 1995; Lulewicz 2019; Milner 1998; Rees 2001)</w:t>
      </w:r>
      <w:r>
        <w:t xml:space="preserve">. In the chronicles, Casqui and its neighbor, Pacaha, appear in open conflict, consistent with those of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possibilities for Parkin cannot be separated by settlement morphology alone. They can, however, be separated by determining whether the transmission record shows interaction closing into bounded groups, which is the test we now construct.</w:t>
      </w:r>
    </w:p>
    <w:bookmarkEnd w:id="17"/>
    <w:bookmarkEnd w:id="18"/>
    <w:bookmarkStart w:id="22" w:name="Xe1cc53abb112c2b395e3beee2af5ceb0aad4bed"/>
    <w:p>
      <w:pPr>
        <w:pStyle w:val="Heading2"/>
      </w:pPr>
      <w:r>
        <w:t xml:space="preserve">Distinguishing true group structure from spatially structured drift</w:t>
      </w:r>
    </w:p>
    <w:p>
      <w:pPr>
        <w:pStyle w:val="FirstParagraph"/>
      </w:pPr>
      <w:r>
        <w:t xml:space="preserve">Our test for detecting group structure rests on one principle. A process that genuinely reorganizes a population into groups leaves a mark on every aspect of how pottery styles were copied, whereas a process that merely mimics group structure marks only some aspects. The reorganization at issue, which we call the closure of interaction, is central to the rest of the paper, so we define it plainly. In an open community, potters can learn a design from anyone they encounter, near or far, so styles circulate within a single connected population. Interaction closes when that circulation narrows. Potters mostly copy others within their own group and rarely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we set out to test and to measure. In the synthetic experiments below, we treat it as a parameter,</w:t>
      </w:r>
      <w:r>
        <w:t xml:space="preserve"> </w:t>
      </w:r>
      <w:r>
        <w:rPr>
          <w:i/>
          <w:iCs/>
        </w:rPr>
        <w:t xml:space="preserve">s</w:t>
      </w:r>
      <w:r>
        <w:t xml:space="preserve">, from 0 (pure drift, no closure) to 1 (strongly bounded, sharply separated groups). We can evaluate four potential signatures, each a different consequence of closure, and we state each in plain terms before naming their formal measures.</w:t>
      </w:r>
    </w:p>
    <w:p>
      <w:pPr>
        <w:pStyle w:val="BodyText"/>
      </w:pPr>
      <w:r>
        <w:t xml:space="preserve">The first asks whether potters copied decorated styles at random or with a bias. Under unbiased copying, where a potter is as likely to reproduce any design she encounters as any other, two independent ways of gauging an assemblage’s diversity agree.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Each yields an estimate of the same underlying transmission parameter, and under random copying, the two estimates coincide. Conformity, in which potters disproportionately copy whatever is already common, is a process that will concentrate frequency to a few ceramic classes. It raises homozygosity, lowering the homozygosity-based estimate while leaving richness little changed, pulling the two apart. A taste for novelty does the reverse. The disagreement between the two estimates, expressed as their ratio, therefore both detect a departure from random copying and show which way it leans</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 That single-peaked rise and fall is what a style traces when it is introduced, becomes popular, and is abandoned within one community, drawing on a shared pool of designs. In classical uses of seriation, all available assemblages were typically pooled into a single seriation, and deviations from the frequency guidelines were dismissed as sampling error</w:t>
      </w:r>
      <w:r>
        <w:t xml:space="preserve"> </w:t>
      </w:r>
      <w:r>
        <w:t xml:space="preserve">(Dunnell 1970)</w:t>
      </w:r>
      <w:r>
        <w:t xml:space="preserve">. Sampling error certainly needs to be accounted for</w:t>
      </w:r>
      <w:r>
        <w:t xml:space="preserve"> </w:t>
      </w:r>
      <w:r>
        <w:t xml:space="preserve">(Lipo 2001)</w:t>
      </w:r>
      <w:r>
        <w:t xml:space="preserve">. Classical practice, however, ignores the most valuable aspect of the method. A</w:t>
      </w:r>
      <w:r>
        <w:t xml:space="preserve"> </w:t>
      </w:r>
      <w:r>
        <w:rPr>
          <w:i/>
          <w:iCs/>
        </w:rPr>
        <w:t xml:space="preserve">failure to seriate together</w:t>
      </w:r>
      <w:r>
        <w:t xml:space="preserve"> </w:t>
      </w:r>
      <w:r>
        <w:t xml:space="preserve">indicates that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(Lipo et al. 1997, 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Using this approach, the number of groups and the number of groups any one site joins directly measure the structure of past interaction. A single large group means one connected field of learning, a proliferation of small groups means a fragmented one, and a site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In cultural transmission, between-group variation in socially learned traits routinely exceeds that of their genetic counterparts</w:t>
      </w:r>
      <w:r>
        <w:t xml:space="preserve"> </w:t>
      </w:r>
      <w:r>
        <w:t xml:space="preserve">(Bell et al. 2009)</w:t>
      </w:r>
      <w:r>
        <w:t xml:space="preserve">. We measure decorated diversity with the Gini-Simpson index, the probability that two sherds drawn at random from an assemblage are of different classes, computed both within each spatial group and across all assemblages pooled. F_ST is how much larger the pooled diversity is than the average within-group diversity, expressed as a fraction of the pooled diversity. When every assemblage draws from one shared, drifting pool of styles, pooling adds little diversity beyond what is already present within each group, and F_ST sits near zero. As groups come to favor distinct repertoires, the between-group share grows, and F_ST climbs</w:t>
      </w:r>
      <w:r>
        <w:t xml:space="preserve"> </w:t>
      </w:r>
      <w:r>
        <w:t xml:space="preserve">(Neiman 1995)</w:t>
      </w:r>
      <w:r>
        <w:t xml:space="preserve">. It serves here as the most direct measure of how far decoration has sorted itself by group, with one important caveat developed below. Stochastic drift on a spatially structured population generates between-group variance on its own. Subpopulations retain different levels of diversity depending on their size and connectivity. Small or sparsely connected areas drift toward depleted, idiosyncratic repertoires, while larger, well-connected ones remain richer. The resulting differences appear as distinct interacting groups, even though they are produced solely by spatial position</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Under this condition, pairs of assemblages within the same cluster are more similar than pairs in neighboring clusters, even when the two pairs span the same geographic distance. We capture that step as a boundary-excess statistic, the gap between within-cluster and between-cluster similarity once distance is held constant, which a plain correlation of similarity with distance cannot isolate. It is useful here because this measure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S3). The linked movement of these two measures cannot separate a real interaction group from drift. We cannot depend on these signatures alone. Instead, we must compare the two processes generatively by simulating each one, neutral spatial drift and bounded groups alike, using the real geography of the deposits. Using the data from the simulations, we can then ask which reproduces the observed structure, treating the signatures as diagnostic of where each process leaves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while an open circle (○) is one where it is not measurable. The process columns give the idealized discrimination logic. Under smooth, deterministic processes, only a bounded interaction group drives all four, and each alternative drives a characteristic subset, the pattern an idealized simulation confirms (Figure S1). Two features of the table show why that logic is not the test we run on the record. The smooth-drift and stochastic-drift columns separate textbook isolation-by-distance, which drives none of the four, from realistic neutral drift on a finite network, which drives cultural F_ST and the boundary excess on its own, with no bounded group present (Figure S3). Stochastic drift thus reproduces the same two-signature pattern as environmental patchiness, so a positive result on either signature cannot by itself separate a bounded group from drift or patchiness. The final column reports the recovery experiment introduced below. The four signatures are candidate diagnostics screened against the record, and the surviving discrimination is carried by cultural F_ST,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illustrate the difficulty archaeologists face in detecting bounded groups. Smooth, deterministic isolation-by-distance produces only a pattern of decay in similarity with distance. In addition, the distance-controlled boundary excess is near zero under it, so it does not drive any of the four signatures. Stochastic neutral drift on a finite network is less forgiving. It generates patchy divergence that raises cultural F_ST and registers as a positive boundary signal even in the absence of a social boundary, a mimicry that the record-matched controls demonstrate (Results, Figure S3). Aggregated signaling,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On idealized data, genuine convergence should take the form of a trajectory, a coherent, same-direction shift in all four signatures across the ordinal sequence of assemblages, concentrated where and when interaction closes into bounded groups. The logic, however, is only as strong as the independence of the signatures, because four measures that were merely redundant converge trivially. As a consequence, we validate the test using simulated assemblages before applying it. This validation seeks to confirm that convergence occurs only when interactions cluster into a bounded group, and not under any mimic. We also use the simulation to assess whether the four signatures are tightly correlated under such closure, yet nearly independent under the mimics. In this way, their joint movement should be informative rather than automatic. The use of convergence logic has an archaeological precedent. Neiman</w:t>
      </w:r>
      <w:r>
        <w:t xml:space="preserve"> </w:t>
      </w:r>
      <w:r>
        <w:t xml:space="preserve">(1995)</w:t>
      </w:r>
      <w:r>
        <w:t xml:space="preserve">, for example, showed that two independently derived, theory-grounded measures of the same ceramic data, within-assemblage diversity and between-assemblage distance, converge on the same inference about past interaction. We generalize his approach and apply it to our four measures. Whether all four signatures, or only some, can actually do so on a record like ours is a separate question that we settle by calibrating the tests directly to synthetic data matched to the Parkin assemblages.</w:t>
      </w:r>
    </w:p>
    <w:p>
      <w:pPr>
        <w:pStyle w:val="BodyText"/>
      </w:pPr>
      <w:r>
        <w:t xml:space="preserve">The calibration process consists of a signal-recovery experiment. We inject a known group-closure signal of controlled strength into synthetic assemblages matched to the real record, then ask which signatures recover it and how strong the closure must be to register. Reading each signature against this record-matched standard, rather than against the idealized expectation, is what enables us to treat an absence of structure as a real result rather than a failure of resolution. The procedure and its parameters are detailed in the Materials and Methods section and the Supplemental Text.</w:t>
      </w:r>
    </w:p>
    <w:p>
      <w:pPr>
        <w:pStyle w:val="BodyText"/>
      </w:pPr>
      <w:r>
        <w:t xml:space="preserve">Below, we describe the procedures, their methods, and outcomes. Figure 2 previews what the test distinguishes. It shows the sharp structure that a bounded group would leave against the diffuse pattern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20" name="Picture"/>
            <a:graphic>
              <a:graphicData uri="http://schemas.openxmlformats.org/drawingml/2006/picture">
                <pic:pic>
                  <pic:nvPicPr>
                    <pic:cNvPr descr="../../figures/fig2_concept.png" id="21" name="Picture"/>
                    <pic:cNvPicPr>
                      <a:picLocks noChangeArrowheads="1" noChangeAspect="1"/>
                    </pic:cNvPicPr>
                  </pic:nvPicPr>
                  <pic:blipFill>
                    <a:blip r:embed="rId19"/>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solidly based in theory. In this case, a cultural transmission model provides its assumptions, resulting in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same cultural transmission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And it should be empirically sufficient. This condition means it is matched to the quality of the archaeological record and defined at the time-averaged resolution preserved by the deposit, rather than at a snapshot or generational resolution</w:t>
      </w:r>
      <w:r>
        <w:t xml:space="preserve"> </w:t>
      </w:r>
      <w:r>
        <w:t xml:space="preserve">(Holdaway and Wandsnider 2008; Perreault 2019)</w:t>
      </w:r>
      <w:r>
        <w:t xml:space="preserve">.</w:t>
      </w:r>
    </w:p>
    <w:p>
      <w:pPr>
        <w:pStyle w:val="BodyText"/>
      </w:pPr>
      <w:r>
        <w:t xml:space="preserve">Thus, our four signatures are theoretically and dynamically served by the transmission model. Empirical sufficiency, whether a signature can actually register a signal at the resolution the deposit preserves, is not guaranteed by this framing, requiring us to test it rather than assume it. As we will describe below, at this record’s 29 time-averaged assemblages, only cultural F_ST registers the injected signal, and even then, it must be compared against the stochastic-drift null rather than zero. Seriation-coherence breakdown, which only a bounded group drives in principle, is the cleanest discriminator on paper yet undetectable here. Measured as states along the sequence, the signatures are only partially dynamically sufficient, a gap we close in the discussion with tests that model the transformation between states.</w:t>
      </w:r>
    </w:p>
    <w:bookmarkEnd w:id="22"/>
    <w:bookmarkStart w:id="31" w:name="materials-and-methods"/>
    <w:p>
      <w:pPr>
        <w:pStyle w:val="Heading2"/>
      </w:pPr>
      <w:r>
        <w:t xml:space="preserve">Materials and methods</w:t>
      </w:r>
    </w:p>
    <w:bookmarkStart w:id="26" w:name="data"/>
    <w:p>
      <w:pPr>
        <w:pStyle w:val="Heading3"/>
      </w:pPr>
      <w:r>
        <w:t xml:space="preserve">Data</w:t>
      </w:r>
    </w:p>
    <w:p>
      <w:pPr>
        <w:pStyle w:val="FirstParagraph"/>
      </w:pPr>
      <w:r>
        <w:t xml:space="preserve">The ceramic data that are the basis of the original phase definitions come from the decorated-class counts compiled by Phillips, Ford, and Griffin</w:t>
      </w:r>
      <w:r>
        <w:t xml:space="preserve"> </w:t>
      </w:r>
      <w:r>
        <w:t xml:space="preserve">(1951)</w:t>
      </w:r>
      <w:r>
        <w:t xml:space="preserve"> </w:t>
      </w:r>
      <w:r>
        <w:t xml:space="preserve">for the Lower Mississippi Valley Survey. We have compiled these data into an assemblage-by-class matrix of 266 surface assemblages</w:t>
      </w:r>
      <w:r>
        <w:t xml:space="preserve"> </w:t>
      </w:r>
      <w:r>
        <w:t xml:space="preserve">(Lipo 2001)</w:t>
      </w:r>
      <w:r>
        <w:t xml:space="preserve">. Each decorated class is a culture-history type, a unit of measurement that the analysts defined to capture stylistic variation, rather than a category assumed to exist in the past. For our study, we restrict the analysis to the St. Francis basin of northeastern Arkansas, the setting of Parkin, defined hydrologically as the assemblages within 20 km of the St. Francis, Tyronza, and L’Anguille drainage (Figure 1). This yields 29 decorated assemblages for the transmission analysis and 92 sites for the settlement comparison.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based on maps from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assemblages, so they consist of a sample of an aggregate of pottery formed over the use-life of its deposit. Such aggregation distorts diversity and neutrality statistics in proportion to the mean lifetime of the variants</w:t>
      </w:r>
      <w:r>
        <w:t xml:space="preserve"> </w:t>
      </w:r>
      <w:r>
        <w:t xml:space="preserve">(Madsen 2012; Miller-Atkins and Premo 2018)</w:t>
      </w:r>
      <w:r>
        <w:t xml:space="preserve">. The neutral model’s expectations are derived for a population of people copying one another. An assemblage, however, counts durable objects, the pots and sherds themselves, not the potters who made them. Because the record is object-mediated rather than person-mediated, the standard neutral expectation does not apply exactly and must be understood with that caveat in mind</w:t>
      </w:r>
      <w:r>
        <w:t xml:space="preserve"> </w:t>
      </w:r>
      <w:r>
        <w:t xml:space="preserve">(Crema et al. 2024)</w:t>
      </w:r>
      <w:r>
        <w:t xml:space="preserve">.</w:t>
      </w:r>
    </w:p>
    <w:p>
      <w:pPr>
        <w:pStyle w:val="BodyText"/>
      </w:pPr>
      <w:r>
        <w:t xml:space="preserve">The availability of an absolute chronology is also a requirement. A compilation by Mainfort</w:t>
      </w:r>
      <w:r>
        <w:t xml:space="preserve"> </w:t>
      </w:r>
      <w:r>
        <w:t xml:space="preserve">(2001)</w:t>
      </w:r>
      <w:r>
        <w:t xml:space="preserve"> </w:t>
      </w:r>
      <w:r>
        <w:t xml:space="preserve">provides 109 determinations for the central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median calibrated ages correlate with seriation position at Spearman +0.70 (n = 5, 27 dates pooled), an improvement on the +0.50 of the single-date anchors. Four of the five sites fall in calendrical order, with one late-dated site departing from it. The axis tracks calendar time imperfectly. What we test is an ordinal trajectory, not a calendar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4" name="Picture"/>
            <a:graphic>
              <a:graphicData uri="http://schemas.openxmlformats.org/drawingml/2006/picture">
                <pic:pic>
                  <pic:nvPicPr>
                    <pic:cNvPr descr="../../figures/fig3_ca_ordination.png" id="25" name="Picture"/>
                    <pic:cNvPicPr>
                      <a:picLocks noChangeArrowheads="1" noChangeAspect="1"/>
                    </pic:cNvPicPr>
                  </pic:nvPicPr>
                  <pic:blipFill>
                    <a:blip r:embed="rId23"/>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6"/>
    <w:bookmarkStart w:id="27"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w:t>
      </w:r>
      <w:r>
        <w:t xml:space="preserve"> </w:t>
      </w:r>
      <w:r>
        <w:t xml:space="preserve">(1995)</w:t>
      </w:r>
      <w:r>
        <w:t xml:space="preserve"> </w:t>
      </w:r>
      <w:r>
        <w:t xml:space="preserve">application of the infinite-alleles model to ceramic assemblages. We estimated the transmission parameter in two ways: from the unbiased homozygosity of an assemblage and from its number of classes, using the Ewens sampling formula</w:t>
      </w:r>
      <w:r>
        <w:t xml:space="preserve"> </w:t>
      </w:r>
      <w:r>
        <w:t xml:space="preserve">(1972)</w:t>
      </w:r>
      <w:r>
        <w:t xml:space="preserve">. This approach enables us to estimate the number of classes expected under random copying and to take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an iterative deterministic frequency-seriation method of Lipo, Madsen, and Dunnell</w:t>
      </w:r>
      <w:r>
        <w:t xml:space="preserve"> </w:t>
      </w:r>
      <w:r>
        <w:t xml:space="preserve">(2015)</w:t>
      </w:r>
      <w:r>
        <w:t xml:space="preserve">. A set of assemblages is co-seriable if some ordering renders every decorated class both unimodal and continuous, and the method returns the complete set of maximal co-seriable groups. Because checking every possible ordering becomes computationally intractable beyond about fourteen assemblages, IDSS builds solutions agglomeratively. It starts with the valid three-assemblage seriations and extends each by adding assemblages that keep every class unimodal and continuous, until no further additions are possible</w:t>
      </w:r>
      <w:r>
        <w:t xml:space="preserve"> </w:t>
      </w:r>
      <w:r>
        <w:t xml:space="preserve">(Lipo et al. 2015)</w:t>
      </w:r>
      <w:r>
        <w:t xml:space="preserve">. Each class’s departure from a single peak, or a break in its continuity, is assessed against bootstrap confidence intervals for the class frequencies, so it counts as a real break only when it exceeds the sampling error. Small, sparsely sampled assemblages have wider intervals and therefore admit more orderings.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third signature, the variance partition (cultural F_ST), is computed from Gini-Simpson diversity across the spatial clusters, with within-group diversity size-weighted by assemblage count; the exact estimator is provided in the Supplemental Text</w:t>
      </w:r>
      <w:r>
        <w:t xml:space="preserve"> </w:t>
      </w:r>
      <w:r>
        <w:t xml:space="preserve">(Bell et al. 2009)</w:t>
      </w:r>
      <w:r>
        <w:t xml:space="preserve">.</w:t>
      </w:r>
    </w:p>
    <w:p>
      <w:pPr>
        <w:pStyle w:val="BodyText"/>
      </w:pPr>
      <w:r>
        <w:t xml:space="preserve">The fourth signature, spatial assortativity, measures whether ceramic similarity follows social rather than geographic distance. For each pair of assemblages, we computed the Brainerd-Robinson similarity</w:t>
      </w:r>
      <w:r>
        <w:t xml:space="preserve"> </w:t>
      </w:r>
      <w:r>
        <w:t xml:space="preserve">(Brainerd 1951; Robinson 1951)</w:t>
      </w:r>
      <w:r>
        <w:t xml:space="preserve">, a standard index ranging from 0 to 200 that quantifies the similarity of their class proportions. We tested its association with inter-site distance using a Mantel</w:t>
      </w:r>
      <w:r>
        <w:t xml:space="preserve"> </w:t>
      </w:r>
      <w:r>
        <w:t xml:space="preserve">(1967)</w:t>
      </w:r>
      <w:r>
        <w:t xml:space="preserve"> </w:t>
      </w:r>
      <w:r>
        <w:t xml:space="preserve">permutation test, which asks whether two distance matrices, here ceramic dissimilarity and geographic distance, are related. A Mantel correlation cannot separate a sharp social boundary from a smooth distance decay. As a result, we also computed a boundary-excess statistic, which is the gap between mean within-cluster and between-cluster similarity after controlling for distance. Smooth isolation by distance returns a boundary excess near zero, while a genuine social boundary returns a large positive value.</w:t>
      </w:r>
    </w:p>
    <w:p>
      <w:pPr>
        <w:pStyle w:val="BodyText"/>
      </w:pPr>
      <w:r>
        <w:t xml:space="preserve">Two corrections are essential before any of these signatures is interpreted. Assemblage sample size trends with seriation position (Spearman’s rho = +0.59), and several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Which signatures can then be trusted at the record’s resolution is not assumed but established by the recovery experiment described next, in which a known closure signal is injected into the real configuration.</w:t>
      </w:r>
    </w:p>
    <w:bookmarkEnd w:id="27"/>
    <w:bookmarkStart w:id="28" w:name="criterion-validation-by-simulation"/>
    <w:p>
      <w:pPr>
        <w:pStyle w:val="Heading3"/>
      </w:pPr>
      <w:r>
        <w:t xml:space="preserve">Criterion validation by simulation</w:t>
      </w:r>
    </w:p>
    <w:p>
      <w:pPr>
        <w:pStyle w:val="FirstParagraph"/>
      </w:pPr>
      <w:r>
        <w:t xml:space="preserve">We ran four simulations, each answering a different question. The first is an idealized validation. It asks whether the four signatures can, in principle, separate a bounded interaction group from its three mimics, using large, clean synthetic assemblages (Figure S1). The second is a record-matched recovery. It asks which of those signatures can still detect a known, injected closure once the synthetic assemblages are held to the real record’s sample sizes and time-averaging (Figure 4). The third is a positive control. It asks which generative process, neutral spatial drift or bounded groups, reproduces the structure actually observed in the basin (Figure S3). The fourth is a forward demonstration. It runs neutral drift on the real site geography with no boundary imposed, counts how many phase-like groups it produces, and checks whether the named phases exceed that number (Figures 8 and 9). The first two simulations establish what the test can resolve on a record of this size. The second two simulations identify which process the data match. We describe the validation and recovery here, and the two drift simulations in the next subsection.</w:t>
      </w:r>
    </w:p>
    <w:p>
      <w:pPr>
        <w:pStyle w:val="BodyText"/>
      </w:pPr>
      <w:r>
        <w:t xml:space="preserve">We validated our tests in two stages. The first establishes our generative model. This is a model of transmission of decorated variants under neutral transmission. The model assumes a random-copying process in which learners reproduce variants in proportion to their current frequency</w:t>
      </w:r>
      <w:r>
        <w:t xml:space="preserve"> </w:t>
      </w:r>
      <w:r>
        <w:t xml:space="preserve">(Bentley et al. 2004; Neiman 1995)</w:t>
      </w:r>
      <w:r>
        <w:t xml:space="preserve">. It has three tunable controls: the between-group divergence of class profiles, the strength of within-group conformity, and a spatial rule placing group profiles on the landscape. Four generators instantiate the four idealized processes of Table 1, the bounded group and its three mimics</w:t>
      </w:r>
      <w:r>
        <w:t xml:space="preserve"> </w:t>
      </w:r>
      <w:r>
        <w:t xml:space="preserve">(Mesoudi 2021)</w:t>
      </w:r>
      <w:r>
        <w:t xml:space="preserve">. We then ran the simulation blind through the four-signature procedure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S1). That test uses large, clean assemblages, and it shows what the test can do in principle, not what it can do on a record like ours.</w:t>
      </w:r>
    </w:p>
    <w:p>
      <w:pPr>
        <w:pStyle w:val="BodyText"/>
      </w:pPr>
      <w:r>
        <w:t xml:space="preserve">Our recovery test involved building synthetic pottery records in which we controlled whether group structure was emerging, dialed from none to strong, and then examining whether our four measures could see it. The synthetic records were matched to the real ones. We create sets consisting of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Into them, we injected a known group-closure signal of tunable strength</w:t>
      </w:r>
      <w:r>
        <w:t xml:space="preserve"> </w:t>
      </w:r>
      <w:r>
        <w:rPr>
          <w:i/>
          <w:iCs/>
        </w:rPr>
        <w:t xml:space="preserve">s</w:t>
      </w:r>
      <w:r>
        <w:t xml:space="preserve">, with between-group divergence and within-group conformity rising together along the sequence to a maximum of</w:t>
      </w:r>
      <w:r>
        <w:t xml:space="preserve"> </w:t>
      </w:r>
      <w:r>
        <w:rPr>
          <w:i/>
          <w:iCs/>
        </w:rPr>
        <w:t xml:space="preserve">s</w:t>
      </w:r>
      <w:r>
        <w:t xml:space="preserve">. We then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The size-seriation trend noted above means a size-dependent estimator can move along the axis through sampling alone, so we subsample every assemblage, synthetic and real, to a common count before scoring. It is also time-averaged, which we reproduce by blending adjacent-bin production within a window. The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8"/>
    <w:bookmarkStart w:id="29"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Innovation enters at a fixed rate, and deposition is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(see the Supplemental Text) rather than a single setting. To extend the test to the wider valley, we added the southeast-Missouri survey assemblages of Williams</w:t>
      </w:r>
      <w:r>
        <w:t xml:space="preserve"> </w:t>
      </w:r>
      <w:r>
        <w:t xml:space="preserve">(1954)</w:t>
      </w:r>
      <w:r>
        <w:t xml:space="preserve">. We georeferenced both the Phillips-Ford-Griffin and the Williams assemblages using their Lower Mississippi Valley Survey grid designations against the digitized survey point files, so that the two regions share a single coordinate frame. Decorated classes were harmonized between the two classifications, both rooted in the Phillips-Ford-Griffin framework, into a common vocabulary. We ran the between-region comparison on all decorated classes and on the classes shared by the two classifications (see the Supplemental Text).</w:t>
      </w:r>
    </w:p>
    <w:p>
      <w:pPr>
        <w:pStyle w:val="BodyText"/>
      </w:pPr>
      <w:r>
        <w:t xml:space="preserve">The same neutral-drift model is also run forward to produce the phase-like groups seen in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derived from 500 runs. This probability consists of the fraction of runs in which each assemblage falls into the same drift-detected group as Parkin. We report the number of groups, the between-group cultural F_ST, and the co-membership against the named phases, with the full parameter grid in the Supplemental Text.</w:t>
      </w:r>
    </w:p>
    <w:bookmarkEnd w:id="29"/>
    <w:bookmarkStart w:id="30" w:name="external-cross-check"/>
    <w:p>
      <w:pPr>
        <w:pStyle w:val="Heading3"/>
      </w:pPr>
      <w:r>
        <w:t xml:space="preserve">External cross-check</w:t>
      </w:r>
    </w:p>
    <w:p>
      <w:pPr>
        <w:pStyle w:val="FirstParagraph"/>
      </w:pPr>
      <w:r>
        <w:t xml:space="preserve">The transmission test stands on its own. A polity, or any closure of interaction into bounded groups, however,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We also compared our seriation result to Mainfort’s</w:t>
      </w:r>
      <w:r>
        <w:t xml:space="preserve"> </w:t>
      </w:r>
      <w:r>
        <w:t xml:space="preserve">(2003)</w:t>
      </w:r>
      <w:r>
        <w:t xml:space="preserve"> </w:t>
      </w:r>
      <w:r>
        <w:t xml:space="preserve">independent nonmetric multidimensional scaling of overlapping late-period assemblages, a published ordination of 39 assemblages from the central valley and adjacent areas that tests whether the named phases form discrete, bounded clusters or a gradational continuum.</w:t>
      </w:r>
    </w:p>
    <w:bookmarkEnd w:id="30"/>
    <w:bookmarkEnd w:id="31"/>
    <w:bookmarkStart w:id="44" w:name="results"/>
    <w:p>
      <w:pPr>
        <w:pStyle w:val="Heading2"/>
      </w:pPr>
      <w:r>
        <w:t xml:space="preserve">Results</w:t>
      </w:r>
    </w:p>
    <w:p>
      <w:pPr>
        <w:pStyle w:val="FirstParagraph"/>
      </w:pPr>
      <w:r>
        <w:t xml:space="preserve">The four signatures distinguish bounded groups from drift in principle. However, given the resolution of the LMV’s record, only one of them detects the difference. The idealized validation behaves as designed. When interaction is made among closed, bounded groups, all four signatures move together, while drift and the other mimics each move only a characteristic subset. All four are tightly correlated under closure (mean absolute pairwise correlation 0.88) yet nearly independent under the mimics (0.19 to 0.29), so their joint movement is informative rather than redundant (Figure S1). The record-matched recovery is the more informative (Figure 4). When a known group-closure signal is injected at the real configuration and scored after size control, only cultural F_ST tracks it monotonically, climbing from the null toward a strong positive trend as the injected strength rises. The injected strength s ranges from 0 (pure drift) to 1 (strongly bounded, sharply separated groups). The neutral departure is non-monotonic in conformity, the spatial boundary is unresponsive at the three spatial clusters the data support, and seriation coherence responds only weakly. With the false-positive rate held at five percent, F_ST recovers a closure of strength</w:t>
      </w:r>
      <w:r>
        <w:t xml:space="preserve"> </w:t>
      </w:r>
      <w:r>
        <w:rPr>
          <w:i/>
          <w:iCs/>
        </w:rPr>
        <w:t xml:space="preserve">s</w:t>
      </w:r>
      <w:r>
        <w:t xml:space="preserve"> </w:t>
      </w:r>
      <w:r>
        <w:t xml:space="preserve">greater than or equal to 0.5 with power above 0.8, the threshold rising to 0.7 under the record’s time-averaging. The other three signatures are not reliable discriminators at this resolution, and we treat them as weak corroboration only. Thus,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3" name="Picture"/>
            <a:graphic>
              <a:graphicData uri="http://schemas.openxmlformats.org/drawingml/2006/picture">
                <pic:pic>
                  <pic:nvPicPr>
                    <pic:cNvPr descr="../../figures/fig4_recovery.png" id="34" name="Picture"/>
                    <pic:cNvPicPr>
                      <a:picLocks noChangeArrowheads="1" noChangeAspect="1"/>
                    </pic:cNvPicPr>
                  </pic:nvPicPr>
                  <pic:blipFill>
                    <a:blip r:embed="rId32"/>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assemblages of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all assemblages are trimmed to a common sherd count via subsampling, cultural F_ST falls from +0.60 to +0.01. Its uncertainty range runs from no closure to a moderate signal, so it is uninformative rather than a resolved positive. The neutrality departure is likewise size-sensitive (i.e., its raw -0.94 only weakens to -0.83 under size control). The recovery test shows that it does not track closure in either direction here, so it, too, cannot be interpreted as a transmission signal. On the recovery curve, the size-controlled empirical F_ST corresponds to a nominal injected strength of about 0.35, below the resolution limit. The record shows no detectable closure of moderate or greater strength: such a closure would have registered and is absent, though the negative cannot rule out a weaker one that, given the record’s size and time-averaging, is underpowered to resolve. The next positive control shows that the structure actually present is the one produced by neutral drift. Not only is no bounded group detectable, but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6" name="Picture"/>
            <a:graphic>
              <a:graphicData uri="http://schemas.openxmlformats.org/drawingml/2006/picture">
                <pic:pic>
                  <pic:nvPicPr>
                    <pic:cNvPr descr="../../figures/fig5_empirical_trajectory.png" id="37" name="Picture"/>
                    <pic:cNvPicPr>
                      <a:picLocks noChangeArrowheads="1" noChangeAspect="1"/>
                    </pic:cNvPicPr>
                  </pic:nvPicPr>
                  <pic:blipFill>
                    <a:blip r:embed="rId35"/>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(i.e.,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Here, the most diverse assemblages are also the most central, the pattern drift produces in a single shared community (Figure S2)</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interactions decaying with distance and time averaging imposed on the record. We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At higher mixing, it underproduces the structure, so the all-four match holds only in a plausible but specific corner of the space (see the Supplemental Text). The bounded-groups process, by contrast, overshoots the three structural signatures by roughly two to seven times across its range, predicting far sharper community structure than the data demonstrate. Under plausible parameters, the basin’s decorated-ceramic structure is entirely reproducible by neutral spatial drift. This result explains the illusion of phases as units: the observed pattern does not require bounded groups, which would have left a sharper mark than is present (Figure S3).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w:t>
      </w:r>
    </w:p>
    <w:p>
      <w:pPr>
        <w:pStyle w:val="BodyText"/>
      </w:pPr>
      <w:r>
        <w:t xml:space="preserve">The seriation signature does not register closure as a trend at this record’s resolution (Figure 4). The structure it returns still directly characterizes Parkin’s position. As described above, the deterministic method accepts an ordering only when every decorated class is at once unimodal and continuous, so a set of assemblages drawn from one shared, drifting pool resolves under a single ordering, while learning partitioned among groups breaks into several mutually incompatible orderings</w:t>
      </w:r>
      <w:r>
        <w:t xml:space="preserve"> </w:t>
      </w:r>
      <w:r>
        <w:t xml:space="preserve">(Dunnell 1970; Lipo et al. 2015)</w:t>
      </w:r>
      <w:r>
        <w:t xml:space="preserve">. The number of maximal co-seriable groups, together with the number of assemblages any one assemblage joins, measures fragmentation directly</w:t>
      </w:r>
      <w:r>
        <w:t xml:space="preserve"> </w:t>
      </w:r>
      <w:r>
        <w:t xml:space="preserve">(Lipo et al. 1997)</w:t>
      </w:r>
      <w:r>
        <w:t xml:space="preserve">.</w:t>
      </w:r>
    </w:p>
    <w:p>
      <w:pPr>
        <w:pStyle w:val="BodyText"/>
      </w:pPr>
      <w:r>
        <w:t xml:space="preserve">Based on the analyses, Parkin is a seriation bridge rather than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Based on these analyses, we interpret it as a site that bridges several orderings and serves as a hub of interaction, rather than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9" name="Picture"/>
            <a:graphic>
              <a:graphicData uri="http://schemas.openxmlformats.org/drawingml/2006/picture">
                <pic:pic>
                  <pic:nvPicPr>
                    <pic:cNvPr descr="../../figures/fig6_idss_structure.png" id="40" name="Picture"/>
                    <pic:cNvPicPr>
                      <a:picLocks noChangeArrowheads="1" noChangeAspect="1"/>
                    </pic:cNvPicPr>
                  </pic:nvPicPr>
                  <pic:blipFill>
                    <a:blip r:embed="rId38"/>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The features of Parkin single it out. However, in comparison,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2" name="Picture"/>
            <a:graphic>
              <a:graphicData uri="http://schemas.openxmlformats.org/drawingml/2006/picture">
                <pic:pic>
                  <pic:nvPicPr>
                    <pic:cNvPr descr="../../figures/fig7_ranksize.png" id="43" name="Picture"/>
                    <pic:cNvPicPr>
                      <a:picLocks noChangeArrowheads="1" noChangeAspect="1"/>
                    </pic:cNvPicPr>
                  </pic:nvPicPr>
                  <pic:blipFill>
                    <a:blip r:embed="rId41"/>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bookmarkEnd w:id="44"/>
    <w:bookmarkStart w:id="57"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Neither the graded mound distribution nor the decentralized chert-hoe economy shows the centralization a polity requires</w:t>
      </w:r>
      <w:r>
        <w:t xml:space="preserve"> </w:t>
      </w:r>
      <w:r>
        <w:t xml:space="preserve">(Cobb 2000)</w:t>
      </w:r>
      <w:r>
        <w:t xml:space="preserve">. The exchange evidence is regional rather than basin-internal, so we read it as consistent with, not proof of, decentralization at Parkin.</w:t>
      </w:r>
    </w:p>
    <w:p>
      <w:pPr>
        <w:pStyle w:val="BodyText"/>
      </w:pPr>
      <w:r>
        <w:t xml:space="preserve">Of these corroborating lines, settlement and exchange are independent of the ceramic data, whereas Mainfort’s ordination corroborates the seriation result for the same assemblages using a different method</w:t>
      </w:r>
      <w:r>
        <w:t xml:space="preserve"> </w:t>
      </w:r>
      <w:r>
        <w:t xml:space="preserve">(Mainfort 2003)</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that assemblages resemble their near neighbors more than their distant ones, and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An independent precedent for this decoupling appears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the number of which increases with geographic extent. Restoring the staggered deposition ages collapses the count into two time-defined groups because assemblages sampled at different points in the sequence carry different repertoires. Either way, the number of drift-generated groups falls well short of the seven named phases the regional scheme draws across the same assemblages. The between-group cultural F_ST of those groups settles at the observed level rather than the higher value a bounded group would leave. The named phases subdivide the valley more finely than the transmission structure supports. Where culture history draws seven bounded societies, drift on the geography yields at most a handful of coherent groupings, so most of the phase boundaries mark divisions that a continuous interaction field does not carry. Whether any single named phase exceeds this drift expectation is a question we can now pose one phase at a time. That structure, rather than population size, governs how drift partitions diversity in finite populations is well established, and a localized neutral process is easily mistaken for biased transmission when diversity is read at face value</w:t>
      </w:r>
      <w:r>
        <w:t xml:space="preserve"> </w:t>
      </w:r>
      <w:r>
        <w:t xml:space="preserve">(Barton 1996; Premo 2016; Premo and Scholnick 2011; Schneider et al. 2016)</w:t>
      </w:r>
      <w:r>
        <w:t xml:space="preserve">. The result is not contingent on a tuned parameter set. Across hundreds of runs that spanned a grid of interaction length, between-node mixing, and innovation rate, two or more spatially coherent groups appear in every run, and the between-group F_ST sits at or below the observed value in 85 percent of them. The St. Francis basin that anchors this paper behaves the same way as a positive control (Figures S4 and S5).</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which we call the Parkin pull-out, is whether the between-group cultural F_ST across the Parkin-versus-others partition exceeds the drift null. It sits at the extreme upper tail of the null and survives most single-site deletions. The contrast is nonetheless small. The null’s own tail extends beyond it, and time-averaging, which deflates between-group variance, is not modeled in the null (Figures 9C and 9D). It is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 title="" id="46" name="Picture"/>
            <a:graphic>
              <a:graphicData uri="http://schemas.openxmlformats.org/drawingml/2006/picture">
                <pic:pic>
                  <pic:nvPicPr>
                    <pic:cNvPr descr="../../figures/fig8_lmv_drift_groups.png" id="47" name="Picture"/>
                    <pic:cNvPicPr>
                      <a:picLocks noChangeArrowheads="1" noChangeAspect="1"/>
                    </pic:cNvPicPr>
                  </pic:nvPicPr>
                  <pic:blipFill>
                    <a:blip r:embed="rId45"/>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9" name="Picture"/>
            <a:graphic>
              <a:graphicData uri="http://schemas.openxmlformats.org/drawingml/2006/picture">
                <pic:pic>
                  <pic:nvPicPr>
                    <pic:cNvPr descr="../../figures/fig9_parkin_pullout.png" id="50" name="Picture"/>
                    <pic:cNvPicPr>
                      <a:picLocks noChangeArrowheads="1" noChangeAspect="1"/>
                    </pic:cNvPicPr>
                  </pic:nvPicPr>
                  <pic:blipFill>
                    <a:blip r:embed="rId48"/>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That inference is specific and deserves credit for that, but it is circular. The tribute it concludes is the tribute it assumes, and no independent evidence of tribute flow accompanies it. Parkin’s position at the confluence of the St. Francis and Tyronza is also explained by control of movement and communication, as well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only fourteen individuals, and health differences between the two sites need not arise from an extractive hierarchy. Neither argument supplies the regional, structural signature that the drift-versus-groups comparison seeks but fails to find.</w:t>
      </w:r>
    </w:p>
    <w:p>
      <w:pPr>
        <w:pStyle w:val="BodyText"/>
      </w:pPr>
      <w:r>
        <w:t xml:space="preserve">Three limits bound the result. The first is resolution. As the recovery experiment showed (Figure 4), on a record of this size, the discrimination reduces to a single confound-controlled signature, cultural F_ST, and its size-controlled empirical value is uninformative. The negative is informative for a moderate or greater closure, which would have registered. It cannot, however, exclude a weaker one. It is also bounded in form. Recovery succeeds only for closure expressed as between-group divergence, so a closure carried purely by within-group conformity, or by social structure not aligned with the spatial clusters, would lie below detection here at any strength (Supplemental Text). The second limit is the ordinal chronology. The basin radiocarbon corpus pools to five seriation anchors across a calibration plateau, so the axis is a relative order oriented toward later time rather than a calendar rate. This matters less than it might because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arguing that this makes the absence conservative, we built the damping directly into the recovery experiment, thereby raising the detection threshold reported above. The verdict is stable across the watershed (19 assemblages) and corridor (29) basin definitions.</w:t>
      </w:r>
    </w:p>
    <w:p>
      <w:pPr>
        <w:pStyle w:val="BodyText"/>
      </w:pPr>
      <w:r>
        <w:t xml:space="preserve">This work makes methodological and substantive contributions. The four signatures distinguish a bounded interaction group from drift in principle, and an idealized simulation confirms that closure drives them together while drift and the other mimics do not (Figure S1). The calibration is the part that enables us to apply this approach to real data. It asks, before any similarity structure is interpreted as social, which signatures a given record can support, and how strong a closure each could detect. The Parkin record shows the test reducing to its single most reliable component, cultural F_ST. We are explicit about what that costs. Had F_ST shown a positive trend, it alone could not have separated a real group from environmental patchiness, which also drives between-group variance (Table 1). In the positive case,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complicates the drift explanation and warrants closer scrutiny. Within the valley, the Parkin phase is the only grouping that hints at structure beyond drift. As the test against the other named phases showed (Figure 9), the contrast persists after removing any single Parkin assemblage. Yet, it stays small enough that the drift null’s tail still reaches past it, so geography alone, with no bounded group, remains a sufficient explanation. A center just beginning to differentiate from its neighbors, rather than a finished, bounded group, would leave exactly this kind of faint, not-yet-separable excess. Contact and the protohistoric depopulation would have cut any such sequence short before it could consolidate. Based on the weak evidence, though, we cannot claim this happened. The time-averaged surface record of eight Parkin-phase assemblages does not support the claim, and drift remains the more parsimonious interpretation. The possibility that Parkin was an emerging center nonetheless warrants direct investigation with data that the present record lacks. For example, stratified, excavated assemblages with independent radiocarbon dates are needed to test whether differentiation increases over time rather than remaining flat. Compositional and petrographic sourcing of the ceramics could potentially test whether production and exchange were localized in the center. In addition,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be used to test whether economic and social differentiation track the ceramic hint or run independently of it. Whether Parkin was beginning to pull away from its neighbors, or sits where drift on the river network happens to concentrate interaction, is a question this analysis raises but cannot settle.</w:t>
      </w:r>
    </w:p>
    <w:p>
      <w:pPr>
        <w:pStyle w:val="BodyText"/>
      </w:pPr>
      <w:r>
        <w:t xml:space="preserve">The test also extends beyond the St. Francis basin (Figure 10). Applied to the southeast-Missouri assemblages compiled by Williams</w:t>
      </w:r>
      <w:r>
        <w:t xml:space="preserve"> </w:t>
      </w:r>
      <w:r>
        <w:t xml:space="preserve">(1954)</w:t>
      </w:r>
      <w:r>
        <w:t xml:space="preserve">, the within-region decorated-ceramic structure is again drift-consistent once the earlier Woodland component is set aside. The absence of bounded groups is not peculiar to the St. Francis basin (Figure 11). In both regions, the observed between-cluster F_ST sits at the neutral-drift level and far below the bounded-groups expectation (LMV +0.02, CMV +0.03, against bounded-groups nulls of +0.11 and +0.08). The assemblages intermix rather than separate into clusters. Between the two regions, a genuine discontinuity appears across the roughly 50 km gap separating the central-valley and lower-valley assemblage clusters, with decorated similarity declining by far more than neutral spatial drift would predict for the same geometry.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classes are early- to middle-Mississippian, and the distinctive lower-valley classes are late</w:t>
      </w:r>
      <w:r>
        <w:t xml:space="preserve"> </w:t>
      </w:r>
      <w:r>
        <w:t xml:space="preserve">(Phillips 1970; Williams 1954)</w:t>
      </w:r>
      <w:r>
        <w:t xml:space="preserve">. The step at the boundary cannot be separated from the early-to-late turnover of the repertoire, as reflected in time-averaged surface assemblages. Resolving whether the inter-regional boundary is synchronic and social or a chronological succession requires independent radiocarbon control of the central-valley assemblages.</w:t>
      </w:r>
    </w:p>
    <w:p>
      <w:pPr>
        <w:pStyle w:val="BodyText"/>
      </w:pPr>
      <w:r>
        <w:t xml:space="preserve">A second confound compounds the first. The lower-valley assemblages were collected and identified by classes created by Ford</w:t>
      </w:r>
      <w:r>
        <w:t xml:space="preserve"> </w:t>
      </w:r>
      <w:r>
        <w:t xml:space="preserve">(1936)</w:t>
      </w:r>
      <w:r>
        <w:t xml:space="preserve">, later by Phillips, Ford, and Griffin</w:t>
      </w:r>
      <w:r>
        <w:t xml:space="preserve"> </w:t>
      </w:r>
      <w:r>
        <w:t xml:space="preserve">(1951)</w:t>
      </w:r>
      <w:r>
        <w:t xml:space="preserve">. In contrast, the central-valley assemblages were collected and classified separately by Williams</w:t>
      </w:r>
      <w:r>
        <w:t xml:space="preserve"> </w:t>
      </w:r>
      <w:r>
        <w:t xml:space="preserve">(1954)</w:t>
      </w:r>
      <w:r>
        <w:t xml:space="preserve">, so the two sets of assemblages differ in analyst, sorting convention, and class definition as well as in space and time. The shared-class restriction guards against the crudest version of this artifact. A boundary built only from classes unique to each typology would vanish when only the classes both traditions record are compared. The boundary does weaken under that restriction without disappearing. Even the shared classes,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10. Regional setting of the two-scale comparison. Decorated-ceramic assemblages spanning the central and lower Mississippi Valley: the central-valley southeast-Missouri survey of Williams (1954) (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 title="" id="52" name="Picture"/>
            <a:graphic>
              <a:graphicData uri="http://schemas.openxmlformats.org/drawingml/2006/picture">
                <pic:pic>
                  <pic:nvPicPr>
                    <pic:cNvPr descr="../../figures/fig10_regional.png" id="53" name="Picture"/>
                    <pic:cNvPicPr>
                      <a:picLocks noChangeArrowheads="1" noChangeAspect="1"/>
                    </pic:cNvPicPr>
                  </pic:nvPicPr>
                  <pic:blipFill>
                    <a:blip r:embed="rId51"/>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two-scale comparison. Decorated-ceramic assemblages spanning the central and lower Mississippi Valley: the central-valley southeast-Missouri survey of Williams</w:t>
      </w:r>
      <w:r>
        <w:t xml:space="preserve"> </w:t>
      </w:r>
      <w:r>
        <w:t xml:space="preserve">(1954)</w:t>
      </w:r>
      <w:r>
        <w:t xml:space="preserve"> </w:t>
      </w:r>
      <w:r>
        <w:t xml:space="preserve">(light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 title="" id="55" name="Picture"/>
            <a:graphic>
              <a:graphicData uri="http://schemas.openxmlformats.org/drawingml/2006/picture">
                <pic:pic>
                  <pic:nvPicPr>
                    <pic:cNvPr descr="../../figures/fig11_within_region.png" id="56" name="Picture"/>
                    <pic:cNvPicPr>
                      <a:picLocks noChangeArrowheads="1" noChangeAspect="1"/>
                    </pic:cNvPicPr>
                  </pic:nvPicPr>
                  <pic:blipFill>
                    <a:blip r:embed="rId54"/>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In the case of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The detail is in the Supplemental Text.</w:t>
      </w:r>
    </w:p>
    <w:bookmarkEnd w:id="57"/>
    <w:bookmarkStart w:id="58"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is the basin’s largest and tallest-mounded center. However, no evidence of settlement, exchange, or the transmission of ceramic decoration indicates that it is the apex of a polity. The greater similarity among nearby assemblages that defines the phase is reproduced by neutral drift across the basin’s geography, the ordinary result of continuous interaction structured by site locations. A bounded interaction group would have a sharper structure than the measurements indicate, and Parkin sits across orderings as a transmission bridge rather than at the closed core of one. Extending the test to the wider valley, a decorated-ceramic boundary that exceeds drift appears only between the central-valley and lower-valley blocks. Even there, it is entangled with the early-to-late turnover of the class repertoire. It cannot yet be interpreted as a synchronic social division.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that the discipline should consider. A similarity cluster is not, by itself, a society. Before a phase is interpreted as a social group, the record must be shown to distinguish a real interaction boundary from geographic drift.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8"/>
    <w:bookmarkStart w:id="59"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9"/>
    <w:bookmarkStart w:id="235" w:name="references"/>
    <w:p>
      <w:pPr>
        <w:pStyle w:val="Heading2"/>
      </w:pPr>
      <w:r>
        <w:t xml:space="preserve">References</w:t>
      </w:r>
    </w:p>
    <w:bookmarkStart w:id="234" w:name="refs"/>
    <w:bookmarkStart w:id="60"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60"/>
    <w:bookmarkStart w:id="62"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1">
        <w:r>
          <w:rPr>
            <w:rStyle w:val="Hyperlink"/>
          </w:rPr>
          <w:t xml:space="preserve">https://doi.org/10.1016/j.jaa.2006.08.002</w:t>
        </w:r>
      </w:hyperlink>
      <w:r>
        <w:t xml:space="preserve">.</w:t>
      </w:r>
    </w:p>
    <w:bookmarkEnd w:id="62"/>
    <w:bookmarkStart w:id="64"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3">
        <w:r>
          <w:rPr>
            <w:rStyle w:val="Hyperlink"/>
          </w:rPr>
          <w:t xml:space="preserve">https://doi.org/10.1016/j.beproc.2018.01.011</w:t>
        </w:r>
      </w:hyperlink>
      <w:r>
        <w:t xml:space="preserve">.</w:t>
      </w:r>
    </w:p>
    <w:bookmarkEnd w:id="64"/>
    <w:bookmarkStart w:id="66"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5">
        <w:r>
          <w:rPr>
            <w:rStyle w:val="Hyperlink"/>
          </w:rPr>
          <w:t xml:space="preserve">https://doi.org/10.1098/rstb.1996.0073</w:t>
        </w:r>
      </w:hyperlink>
      <w:r>
        <w:t xml:space="preserve">.</w:t>
      </w:r>
    </w:p>
    <w:bookmarkEnd w:id="66"/>
    <w:bookmarkStart w:id="6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7"/>
    <w:bookmarkStart w:id="6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8">
        <w:r>
          <w:rPr>
            <w:rStyle w:val="Hyperlink"/>
          </w:rPr>
          <w:t xml:space="preserve">https://doi.org/10.2307/3557066</w:t>
        </w:r>
      </w:hyperlink>
      <w:r>
        <w:t xml:space="preserve">.</w:t>
      </w:r>
    </w:p>
    <w:bookmarkEnd w:id="69"/>
    <w:bookmarkStart w:id="7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70">
        <w:r>
          <w:rPr>
            <w:rStyle w:val="Hyperlink"/>
          </w:rPr>
          <w:t xml:space="preserve">https://doi.org/10.1017/S0094837300026907</w:t>
        </w:r>
      </w:hyperlink>
      <w:r>
        <w:t xml:space="preserve">.</w:t>
      </w:r>
    </w:p>
    <w:bookmarkEnd w:id="71"/>
    <w:bookmarkStart w:id="7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2">
        <w:r>
          <w:rPr>
            <w:rStyle w:val="Hyperlink"/>
          </w:rPr>
          <w:t xml:space="preserve">https://doi.org/10.1073/pnas.0903232106</w:t>
        </w:r>
      </w:hyperlink>
      <w:r>
        <w:t xml:space="preserve">.</w:t>
      </w:r>
    </w:p>
    <w:bookmarkEnd w:id="73"/>
    <w:bookmarkStart w:id="7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4">
        <w:r>
          <w:rPr>
            <w:rStyle w:val="Hyperlink"/>
          </w:rPr>
          <w:t xml:space="preserve">https://doi.org/10.1371/journal.pone.0003057</w:t>
        </w:r>
      </w:hyperlink>
      <w:r>
        <w:t xml:space="preserve">.</w:t>
      </w:r>
    </w:p>
    <w:bookmarkEnd w:id="75"/>
    <w:bookmarkStart w:id="7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6">
        <w:r>
          <w:rPr>
            <w:rStyle w:val="Hyperlink"/>
          </w:rPr>
          <w:t xml:space="preserve">https://doi.org/10.1098/rspb.2004.2746</w:t>
        </w:r>
      </w:hyperlink>
      <w:r>
        <w:t xml:space="preserve">.</w:t>
      </w:r>
    </w:p>
    <w:bookmarkEnd w:id="77"/>
    <w:bookmarkStart w:id="7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8"/>
    <w:bookmarkStart w:id="8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9">
        <w:r>
          <w:rPr>
            <w:rStyle w:val="Hyperlink"/>
          </w:rPr>
          <w:t xml:space="preserve">https://doi.org/10.2307/2694206</w:t>
        </w:r>
      </w:hyperlink>
      <w:r>
        <w:t xml:space="preserve">.</w:t>
      </w:r>
    </w:p>
    <w:bookmarkEnd w:id="80"/>
    <w:bookmarkStart w:id="8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1"/>
    <w:bookmarkStart w:id="8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2">
        <w:r>
          <w:rPr>
            <w:rStyle w:val="Hyperlink"/>
          </w:rPr>
          <w:t xml:space="preserve">https://doi.org/10.1057/s41599-019-0295-9</w:t>
        </w:r>
      </w:hyperlink>
      <w:r>
        <w:t xml:space="preserve">.</w:t>
      </w:r>
    </w:p>
    <w:bookmarkEnd w:id="83"/>
    <w:bookmarkStart w:id="8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4"/>
    <w:bookmarkStart w:id="85"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85"/>
    <w:bookmarkStart w:id="87" w:name="ref-cobb_etal_2024"/>
    <w:p>
      <w:pPr>
        <w:pStyle w:val="Bibliography"/>
      </w:pPr>
      <w:r>
        <w:t xml:space="preserve">Cobb, Charles R., Anthony M. Krus, Aaron Deter-Wolf, Kevin E. Smith, Edmond A. Boudreaux, and Brad R. Lieb. 2024. The Beginning of the End: Abandonment Micro-Histories in the</w:t>
      </w:r>
      <w:r>
        <w:t xml:space="preserve"> </w:t>
      </w:r>
      <w:r>
        <w:t xml:space="preserve">Mississippian</w:t>
      </w:r>
      <w:r>
        <w:t xml:space="preserve"> </w:t>
      </w:r>
      <w:r>
        <w:t xml:space="preserve">Vacant</w:t>
      </w:r>
      <w:r>
        <w:t xml:space="preserve"> </w:t>
      </w:r>
      <w:r>
        <w:t xml:space="preserve">Quarter</w:t>
      </w:r>
      <w:r>
        <w:t xml:space="preserve">.</w:t>
      </w:r>
      <w:r>
        <w:t xml:space="preserve"> </w:t>
      </w:r>
      <w:r>
        <w:rPr>
          <w:i/>
          <w:iCs/>
        </w:rPr>
        <w:t xml:space="preserve">Journal of Archaeological Method and Theory</w:t>
      </w:r>
      <w:r>
        <w:t xml:space="preserve"> </w:t>
      </w:r>
      <w:r>
        <w:t xml:space="preserve">31:619–643.</w:t>
      </w:r>
      <w:r>
        <w:t xml:space="preserve"> </w:t>
      </w:r>
      <w:hyperlink r:id="rId86">
        <w:r>
          <w:rPr>
            <w:rStyle w:val="Hyperlink"/>
          </w:rPr>
          <w:t xml:space="preserve">https://doi.org/10.1007/s10816-023-09613-w</w:t>
        </w:r>
      </w:hyperlink>
      <w:r>
        <w:t xml:space="preserve">.</w:t>
      </w:r>
    </w:p>
    <w:bookmarkEnd w:id="87"/>
    <w:bookmarkStart w:id="89"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8">
        <w:r>
          <w:rPr>
            <w:rStyle w:val="Hyperlink"/>
          </w:rPr>
          <w:t xml:space="preserve">https://doi.org/10.1057/s41599-020-00635-3</w:t>
        </w:r>
      </w:hyperlink>
      <w:r>
        <w:t xml:space="preserve">.</w:t>
      </w:r>
    </w:p>
    <w:bookmarkEnd w:id="89"/>
    <w:bookmarkStart w:id="91"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90">
        <w:r>
          <w:rPr>
            <w:rStyle w:val="Hyperlink"/>
          </w:rPr>
          <w:t xml:space="preserve">https://doi.org/10.1007/s10816-022-09599-x</w:t>
        </w:r>
      </w:hyperlink>
      <w:r>
        <w:t xml:space="preserve">.</w:t>
      </w:r>
    </w:p>
    <w:bookmarkEnd w:id="91"/>
    <w:bookmarkStart w:id="93"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92">
        <w:r>
          <w:rPr>
            <w:rStyle w:val="Hyperlink"/>
          </w:rPr>
          <w:t xml:space="preserve">https://doi.org/10.1016/j.jas.2014.07.014</w:t>
        </w:r>
      </w:hyperlink>
      <w:r>
        <w:t xml:space="preserve">.</w:t>
      </w:r>
    </w:p>
    <w:bookmarkEnd w:id="93"/>
    <w:bookmarkStart w:id="95"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4">
        <w:r>
          <w:rPr>
            <w:rStyle w:val="Hyperlink"/>
          </w:rPr>
          <w:t xml:space="preserve">https://doi.org/10.1038/srep39122</w:t>
        </w:r>
      </w:hyperlink>
      <w:r>
        <w:t xml:space="preserve">.</w:t>
      </w:r>
    </w:p>
    <w:bookmarkEnd w:id="95"/>
    <w:bookmarkStart w:id="97"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96">
        <w:r>
          <w:rPr>
            <w:rStyle w:val="Hyperlink"/>
          </w:rPr>
          <w:t xml:space="preserve">https://doi.org/10.2307/278341</w:t>
        </w:r>
      </w:hyperlink>
      <w:r>
        <w:t xml:space="preserve">.</w:t>
      </w:r>
    </w:p>
    <w:bookmarkEnd w:id="97"/>
    <w:bookmarkStart w:id="99"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98">
        <w:r>
          <w:rPr>
            <w:rStyle w:val="Hyperlink"/>
          </w:rPr>
          <w:t xml:space="preserve">https://doi.org/10.2307/279244</w:t>
        </w:r>
      </w:hyperlink>
      <w:r>
        <w:t xml:space="preserve">.</w:t>
      </w:r>
    </w:p>
    <w:bookmarkEnd w:id="99"/>
    <w:bookmarkStart w:id="100"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100"/>
    <w:bookmarkStart w:id="101"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101"/>
    <w:bookmarkStart w:id="102" w:name="ref-dunnell_1995b"/>
    <w:p>
      <w:pPr>
        <w:pStyle w:val="Bibliography"/>
      </w:pPr>
      <w:r>
        <w:t xml:space="preserve">Dunnell, Robert C. 1995b. Style: Concepts and Practice.</w:t>
      </w:r>
    </w:p>
    <w:bookmarkEnd w:id="102"/>
    <w:bookmarkStart w:id="103"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3"/>
    <w:bookmarkStart w:id="105"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4">
        <w:r>
          <w:rPr>
            <w:rStyle w:val="Hyperlink"/>
          </w:rPr>
          <w:t xml:space="preserve">https://doi.org/10.1016/j.jaa.2005.08.001</w:t>
        </w:r>
      </w:hyperlink>
      <w:r>
        <w:t xml:space="preserve">.</w:t>
      </w:r>
    </w:p>
    <w:bookmarkEnd w:id="105"/>
    <w:bookmarkStart w:id="107"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06">
        <w:r>
          <w:rPr>
            <w:rStyle w:val="Hyperlink"/>
          </w:rPr>
          <w:t xml:space="preserve">https://doi.org/10.1007/s10814-007-9013-z</w:t>
        </w:r>
      </w:hyperlink>
      <w:r>
        <w:t xml:space="preserve">.</w:t>
      </w:r>
    </w:p>
    <w:bookmarkEnd w:id="107"/>
    <w:bookmarkStart w:id="108"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08"/>
    <w:bookmarkStart w:id="110"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09">
        <w:r>
          <w:rPr>
            <w:rStyle w:val="Hyperlink"/>
          </w:rPr>
          <w:t xml:space="preserve">https://doi.org/10.1534/genetics.113.158220</w:t>
        </w:r>
      </w:hyperlink>
      <w:r>
        <w:t xml:space="preserve">.</w:t>
      </w:r>
    </w:p>
    <w:bookmarkEnd w:id="110"/>
    <w:bookmarkStart w:id="112"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11">
        <w:r>
          <w:rPr>
            <w:rStyle w:val="Hyperlink"/>
          </w:rPr>
          <w:t xml:space="preserve">https://doi.org/10.1073/pnas.2418106121</w:t>
        </w:r>
      </w:hyperlink>
      <w:r>
        <w:t xml:space="preserve">.</w:t>
      </w:r>
    </w:p>
    <w:bookmarkEnd w:id="112"/>
    <w:bookmarkStart w:id="113" w:name="ref-ford_1936"/>
    <w:p>
      <w:pPr>
        <w:pStyle w:val="Bibliography"/>
      </w:pPr>
      <w:r>
        <w:t xml:space="preserve">Ford, James Alfred. 1936.</w:t>
      </w:r>
      <w:r>
        <w:t xml:space="preserve"> </w:t>
      </w:r>
      <w:r>
        <w:rPr>
          <w:i/>
          <w:iCs/>
        </w:rPr>
        <w:t xml:space="preserve">Analysis of Indian Village Site Collections from Louisiana and Mississippi</w:t>
      </w:r>
      <w:r>
        <w:t xml:space="preserve">. Department of Conservation, Louisiana Geological Survey, New Orleans.</w:t>
      </w:r>
    </w:p>
    <w:bookmarkEnd w:id="113"/>
    <w:bookmarkStart w:id="114"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4"/>
    <w:bookmarkStart w:id="115"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5"/>
    <w:bookmarkStart w:id="116"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16"/>
    <w:bookmarkStart w:id="118"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17">
        <w:r>
          <w:rPr>
            <w:rStyle w:val="Hyperlink"/>
          </w:rPr>
          <w:t xml:space="preserve">https://doi.org/10.1525/aa.2001.103.4.992</w:t>
        </w:r>
      </w:hyperlink>
      <w:r>
        <w:t xml:space="preserve">.</w:t>
      </w:r>
    </w:p>
    <w:bookmarkEnd w:id="118"/>
    <w:bookmarkStart w:id="120"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19">
        <w:r>
          <w:rPr>
            <w:rStyle w:val="Hyperlink"/>
          </w:rPr>
          <w:t xml:space="preserve">https://doi.org/10.2307/4128416</w:t>
        </w:r>
      </w:hyperlink>
      <w:r>
        <w:t xml:space="preserve">.</w:t>
      </w:r>
    </w:p>
    <w:bookmarkEnd w:id="120"/>
    <w:bookmarkStart w:id="122"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21">
        <w:r>
          <w:rPr>
            <w:rStyle w:val="Hyperlink"/>
          </w:rPr>
          <w:t xml:space="preserve">https://doi.org/10.1016/S1090-5138(98)00018-X</w:t>
        </w:r>
      </w:hyperlink>
      <w:r>
        <w:t xml:space="preserve">.</w:t>
      </w:r>
    </w:p>
    <w:bookmarkEnd w:id="122"/>
    <w:bookmarkStart w:id="123"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3"/>
    <w:bookmarkStart w:id="125"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4">
        <w:r>
          <w:rPr>
            <w:rStyle w:val="Hyperlink"/>
          </w:rPr>
          <w:t xml:space="preserve">https://doi.org/10.1017/aap.2021.10</w:t>
        </w:r>
      </w:hyperlink>
      <w:r>
        <w:t xml:space="preserve">.</w:t>
      </w:r>
    </w:p>
    <w:bookmarkEnd w:id="125"/>
    <w:bookmarkStart w:id="126"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26"/>
    <w:bookmarkStart w:id="127"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27"/>
    <w:bookmarkStart w:id="128"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28"/>
    <w:bookmarkStart w:id="130"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29">
        <w:r>
          <w:rPr>
            <w:rStyle w:val="Hyperlink"/>
          </w:rPr>
          <w:t xml:space="preserve">https://doi.org/10.1666/05070.1</w:t>
        </w:r>
      </w:hyperlink>
      <w:r>
        <w:t xml:space="preserve">.</w:t>
      </w:r>
    </w:p>
    <w:bookmarkEnd w:id="130"/>
    <w:bookmarkStart w:id="132"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31">
        <w:r>
          <w:rPr>
            <w:rStyle w:val="Hyperlink"/>
          </w:rPr>
          <w:t xml:space="preserve">https://doi.org/10.1111/j.1558-5646.2007.00310.x</w:t>
        </w:r>
      </w:hyperlink>
      <w:r>
        <w:t xml:space="preserve">.</w:t>
      </w:r>
    </w:p>
    <w:bookmarkEnd w:id="132"/>
    <w:bookmarkStart w:id="133"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3"/>
    <w:bookmarkStart w:id="135"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4">
        <w:r>
          <w:rPr>
            <w:rStyle w:val="Hyperlink"/>
          </w:rPr>
          <w:t xml:space="preserve">https://doi.org/10.1016/j.jtbi.2013.03.006</w:t>
        </w:r>
      </w:hyperlink>
      <w:r>
        <w:t xml:space="preserve">.</w:t>
      </w:r>
    </w:p>
    <w:bookmarkEnd w:id="135"/>
    <w:bookmarkStart w:id="137"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36">
        <w:r>
          <w:rPr>
            <w:rStyle w:val="Hyperlink"/>
          </w:rPr>
          <w:t xml:space="preserve">https://doi.org/10.1098/rsif.2015.0905</w:t>
        </w:r>
      </w:hyperlink>
      <w:r>
        <w:t xml:space="preserve">.</w:t>
      </w:r>
    </w:p>
    <w:bookmarkEnd w:id="137"/>
    <w:bookmarkStart w:id="139"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38">
        <w:r>
          <w:rPr>
            <w:rStyle w:val="Hyperlink"/>
          </w:rPr>
          <w:t xml:space="preserve">https://doi.org/10.1098/rsos.170949</w:t>
        </w:r>
      </w:hyperlink>
      <w:r>
        <w:t xml:space="preserve">.</w:t>
      </w:r>
    </w:p>
    <w:bookmarkEnd w:id="139"/>
    <w:bookmarkStart w:id="141"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40">
        <w:r>
          <w:rPr>
            <w:rStyle w:val="Hyperlink"/>
          </w:rPr>
          <w:t xml:space="preserve">https://doi.org/10.1146/annurev-ecolsys-110512-135838</w:t>
        </w:r>
      </w:hyperlink>
      <w:r>
        <w:t xml:space="preserve">.</w:t>
      </w:r>
    </w:p>
    <w:bookmarkEnd w:id="141"/>
    <w:bookmarkStart w:id="142"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42"/>
    <w:bookmarkStart w:id="144"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3">
        <w:r>
          <w:rPr>
            <w:rStyle w:val="Hyperlink"/>
          </w:rPr>
          <w:t xml:space="preserve">https://doi.org/10.2307/2694529</w:t>
        </w:r>
      </w:hyperlink>
      <w:r>
        <w:t xml:space="preserve">.</w:t>
      </w:r>
    </w:p>
    <w:bookmarkEnd w:id="144"/>
    <w:bookmarkStart w:id="145"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5"/>
    <w:bookmarkStart w:id="146"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46"/>
    <w:bookmarkStart w:id="148"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47">
        <w:r>
          <w:rPr>
            <w:rStyle w:val="Hyperlink"/>
          </w:rPr>
          <w:t xml:space="preserve">https://doi.org/10.1371/journal.pone.0250690</w:t>
        </w:r>
      </w:hyperlink>
      <w:r>
        <w:t xml:space="preserve">.</w:t>
      </w:r>
    </w:p>
    <w:bookmarkEnd w:id="148"/>
    <w:bookmarkStart w:id="149"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49"/>
    <w:bookmarkStart w:id="151"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50">
        <w:r>
          <w:rPr>
            <w:rStyle w:val="Hyperlink"/>
          </w:rPr>
          <w:t xml:space="preserve">https://doi.org/10.1016/j.jas.2010.05.015</w:t>
        </w:r>
      </w:hyperlink>
      <w:r>
        <w:t xml:space="preserve">.</w:t>
      </w:r>
    </w:p>
    <w:bookmarkEnd w:id="151"/>
    <w:bookmarkStart w:id="152"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152"/>
    <w:bookmarkStart w:id="154"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3">
        <w:r>
          <w:rPr>
            <w:rStyle w:val="Hyperlink"/>
          </w:rPr>
          <w:t xml:space="preserve">https://doi.org/10.1371/journal.pone.0124942</w:t>
        </w:r>
      </w:hyperlink>
      <w:r>
        <w:t xml:space="preserve">.</w:t>
      </w:r>
    </w:p>
    <w:bookmarkEnd w:id="154"/>
    <w:bookmarkStart w:id="156"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5">
        <w:r>
          <w:rPr>
            <w:rStyle w:val="Hyperlink"/>
          </w:rPr>
          <w:t xml:space="preserve">https://doi.org/10.1006/jaar.1997.0314</w:t>
        </w:r>
      </w:hyperlink>
      <w:r>
        <w:t xml:space="preserve">.</w:t>
      </w:r>
    </w:p>
    <w:bookmarkEnd w:id="156"/>
    <w:bookmarkStart w:id="158"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57">
        <w:r>
          <w:rPr>
            <w:rStyle w:val="Hyperlink"/>
          </w:rPr>
          <w:t xml:space="preserve">https://doi.org/10.1073/pnas.1818346116</w:t>
        </w:r>
      </w:hyperlink>
      <w:r>
        <w:t xml:space="preserve">.</w:t>
      </w:r>
    </w:p>
    <w:bookmarkEnd w:id="158"/>
    <w:bookmarkStart w:id="160"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59">
        <w:r>
          <w:rPr>
            <w:rStyle w:val="Hyperlink"/>
          </w:rPr>
          <w:t xml:space="preserve">https://doi.org/10.1016/j.jas.2021.105412</w:t>
        </w:r>
      </w:hyperlink>
      <w:r>
        <w:t xml:space="preserve">.</w:t>
      </w:r>
    </w:p>
    <w:bookmarkEnd w:id="160"/>
    <w:bookmarkStart w:id="161" w:name="ref-madsen_2012"/>
    <w:p>
      <w:pPr>
        <w:pStyle w:val="Bibliography"/>
      </w:pPr>
      <w:r>
        <w:t xml:space="preserve">Madsen, Mark E. 2012. Neutral Cultural Transmission in Time-Averaged Archaeological Assemblages. arXiv preprint arXiv:1204.2043 [physics.soc-ph].</w:t>
      </w:r>
    </w:p>
    <w:bookmarkEnd w:id="161"/>
    <w:bookmarkStart w:id="162"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2"/>
    <w:bookmarkStart w:id="163"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3"/>
    <w:bookmarkStart w:id="164"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4"/>
    <w:bookmarkStart w:id="165"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5"/>
    <w:bookmarkStart w:id="166"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6"/>
    <w:bookmarkStart w:id="167"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67"/>
    <w:bookmarkStart w:id="168"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68"/>
    <w:bookmarkStart w:id="170"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69">
        <w:r>
          <w:rPr>
            <w:rStyle w:val="Hyperlink"/>
          </w:rPr>
          <w:t xml:space="preserve">https://doi.org/10.1080/20548923.2018.1504490</w:t>
        </w:r>
      </w:hyperlink>
      <w:r>
        <w:t xml:space="preserve">.</w:t>
      </w:r>
    </w:p>
    <w:bookmarkEnd w:id="170"/>
    <w:bookmarkStart w:id="171"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71"/>
    <w:bookmarkStart w:id="172"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2"/>
    <w:bookmarkStart w:id="173"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3"/>
    <w:bookmarkStart w:id="174"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4"/>
    <w:bookmarkStart w:id="175"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5"/>
    <w:bookmarkStart w:id="176"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6"/>
    <w:bookmarkStart w:id="177"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77"/>
    <w:bookmarkStart w:id="178"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178"/>
    <w:bookmarkStart w:id="180"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79">
        <w:r>
          <w:rPr>
            <w:rStyle w:val="Hyperlink"/>
          </w:rPr>
          <w:t xml:space="preserve">https://doi.org/10.1098/rstb.2016.0426</w:t>
        </w:r>
      </w:hyperlink>
      <w:r>
        <w:t xml:space="preserve">.</w:t>
      </w:r>
    </w:p>
    <w:bookmarkEnd w:id="180"/>
    <w:bookmarkStart w:id="182"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81">
        <w:r>
          <w:rPr>
            <w:rStyle w:val="Hyperlink"/>
          </w:rPr>
          <w:t xml:space="preserve">https://doi.org/10.2307/279066</w:t>
        </w:r>
      </w:hyperlink>
      <w:r>
        <w:t xml:space="preserve">.</w:t>
      </w:r>
    </w:p>
    <w:bookmarkEnd w:id="182"/>
    <w:bookmarkStart w:id="184"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3">
        <w:r>
          <w:rPr>
            <w:rStyle w:val="Hyperlink"/>
          </w:rPr>
          <w:t xml:space="preserve">https://doi.org/10.1016/j.jas.2012.04.040</w:t>
        </w:r>
      </w:hyperlink>
      <w:r>
        <w:t xml:space="preserve">.</w:t>
      </w:r>
    </w:p>
    <w:bookmarkEnd w:id="184"/>
    <w:bookmarkStart w:id="186"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5">
        <w:r>
          <w:rPr>
            <w:rStyle w:val="Hyperlink"/>
          </w:rPr>
          <w:t xml:space="preserve">https://doi.org/10.1007/s10816-018-9364-4</w:t>
        </w:r>
      </w:hyperlink>
      <w:r>
        <w:t xml:space="preserve">.</w:t>
      </w:r>
    </w:p>
    <w:bookmarkEnd w:id="186"/>
    <w:bookmarkStart w:id="187"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7"/>
    <w:bookmarkStart w:id="188"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88"/>
    <w:bookmarkStart w:id="189"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89"/>
    <w:bookmarkStart w:id="191"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90">
        <w:r>
          <w:rPr>
            <w:rStyle w:val="Hyperlink"/>
          </w:rPr>
          <w:t xml:space="preserve">https://doi.org/10.1525/aa.1953.55.5.02a00030</w:t>
        </w:r>
      </w:hyperlink>
      <w:r>
        <w:t xml:space="preserve">.</w:t>
      </w:r>
    </w:p>
    <w:bookmarkEnd w:id="191"/>
    <w:bookmarkStart w:id="193"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92">
        <w:r>
          <w:rPr>
            <w:rStyle w:val="Hyperlink"/>
          </w:rPr>
          <w:t xml:space="preserve">https://doi.org/10.1126/science.1170165</w:t>
        </w:r>
      </w:hyperlink>
      <w:r>
        <w:t xml:space="preserve">.</w:t>
      </w:r>
    </w:p>
    <w:bookmarkEnd w:id="193"/>
    <w:bookmarkStart w:id="195"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4">
        <w:r>
          <w:rPr>
            <w:rStyle w:val="Hyperlink"/>
          </w:rPr>
          <w:t xml:space="preserve">https://doi.org/10.1086/674873</w:t>
        </w:r>
      </w:hyperlink>
      <w:r>
        <w:t xml:space="preserve">.</w:t>
      </w:r>
    </w:p>
    <w:bookmarkEnd w:id="195"/>
    <w:bookmarkStart w:id="197"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6">
        <w:r>
          <w:rPr>
            <w:rStyle w:val="Hyperlink"/>
          </w:rPr>
          <w:t xml:space="preserve">https://doi.org/10.7183/0002-7316.81.4.605</w:t>
        </w:r>
      </w:hyperlink>
      <w:r>
        <w:t xml:space="preserve">.</w:t>
      </w:r>
    </w:p>
    <w:bookmarkEnd w:id="197"/>
    <w:bookmarkStart w:id="199"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198">
        <w:r>
          <w:rPr>
            <w:rStyle w:val="Hyperlink"/>
          </w:rPr>
          <w:t xml:space="preserve">https://doi.org/10.7183/0002-7316.76.1.163</w:t>
        </w:r>
      </w:hyperlink>
      <w:r>
        <w:t xml:space="preserve">.</w:t>
      </w:r>
    </w:p>
    <w:bookmarkEnd w:id="199"/>
    <w:bookmarkStart w:id="200"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200"/>
    <w:bookmarkStart w:id="202"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201">
        <w:r>
          <w:rPr>
            <w:rStyle w:val="Hyperlink"/>
          </w:rPr>
          <w:t xml:space="preserve">https://doi.org/10.1017/RDC.2020.41</w:t>
        </w:r>
      </w:hyperlink>
      <w:r>
        <w:t xml:space="preserve">.</w:t>
      </w:r>
    </w:p>
    <w:bookmarkEnd w:id="202"/>
    <w:bookmarkStart w:id="204"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3">
        <w:r>
          <w:rPr>
            <w:rStyle w:val="Hyperlink"/>
          </w:rPr>
          <w:t xml:space="preserve">https://doi.org/10.1017/S0140525X1400106X</w:t>
        </w:r>
      </w:hyperlink>
      <w:r>
        <w:t xml:space="preserve">.</w:t>
      </w:r>
    </w:p>
    <w:bookmarkEnd w:id="204"/>
    <w:bookmarkStart w:id="206"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5">
        <w:r>
          <w:rPr>
            <w:rStyle w:val="Hyperlink"/>
          </w:rPr>
          <w:t xml:space="preserve">https://doi.org/10.1057/s41599-019-0260-7</w:t>
        </w:r>
      </w:hyperlink>
      <w:r>
        <w:t xml:space="preserve">.</w:t>
      </w:r>
    </w:p>
    <w:bookmarkEnd w:id="206"/>
    <w:bookmarkStart w:id="207"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7"/>
    <w:bookmarkStart w:id="208"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08"/>
    <w:bookmarkStart w:id="209"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09"/>
    <w:bookmarkStart w:id="211"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10">
        <w:r>
          <w:rPr>
            <w:rStyle w:val="Hyperlink"/>
          </w:rPr>
          <w:t xml:space="preserve">https://doi.org/10.1016/j.jtbi.2016.04.024</w:t>
        </w:r>
      </w:hyperlink>
      <w:r>
        <w:t xml:space="preserve">.</w:t>
      </w:r>
    </w:p>
    <w:bookmarkEnd w:id="211"/>
    <w:bookmarkStart w:id="213"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12">
        <w:r>
          <w:rPr>
            <w:rStyle w:val="Hyperlink"/>
          </w:rPr>
          <w:t xml:space="preserve">https://doi.org/10.1016/j.evolhumbehav.2014.09.006</w:t>
        </w:r>
      </w:hyperlink>
      <w:r>
        <w:t xml:space="preserve">.</w:t>
      </w:r>
    </w:p>
    <w:bookmarkEnd w:id="213"/>
    <w:bookmarkStart w:id="214"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14"/>
    <w:bookmarkStart w:id="215"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15"/>
    <w:bookmarkStart w:id="216"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16"/>
    <w:bookmarkStart w:id="217"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17"/>
    <w:bookmarkStart w:id="219"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18">
        <w:r>
          <w:rPr>
            <w:rStyle w:val="Hyperlink"/>
          </w:rPr>
          <w:t xml:space="preserve">https://doi.org/10.1006/jhev.1994.1037</w:t>
        </w:r>
      </w:hyperlink>
      <w:r>
        <w:t xml:space="preserve">.</w:t>
      </w:r>
    </w:p>
    <w:bookmarkEnd w:id="219"/>
    <w:bookmarkStart w:id="221"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20">
        <w:r>
          <w:rPr>
            <w:rStyle w:val="Hyperlink"/>
          </w:rPr>
          <w:t xml:space="preserve">https://doi.org/10.1017/aaq.2024.1</w:t>
        </w:r>
      </w:hyperlink>
      <w:r>
        <w:t xml:space="preserve">.</w:t>
      </w:r>
    </w:p>
    <w:bookmarkEnd w:id="221"/>
    <w:bookmarkStart w:id="222"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22"/>
    <w:bookmarkStart w:id="224"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3">
        <w:r>
          <w:rPr>
            <w:rStyle w:val="Hyperlink"/>
          </w:rPr>
          <w:t xml:space="preserve">https://doi.org/10.1086/651661</w:t>
        </w:r>
      </w:hyperlink>
      <w:r>
        <w:t xml:space="preserve">.</w:t>
      </w:r>
    </w:p>
    <w:bookmarkEnd w:id="224"/>
    <w:bookmarkStart w:id="225"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25"/>
    <w:bookmarkStart w:id="226" w:name="ref-williams_1954"/>
    <w:p>
      <w:pPr>
        <w:pStyle w:val="Bibliography"/>
      </w:pPr>
      <w:r>
        <w:t xml:space="preserve">Williams, Stephen. 1954. An Archeological Study of the Mississippian Culture in Southeast Missouri. PhD thesis, Yale University, New Haven.</w:t>
      </w:r>
    </w:p>
    <w:bookmarkEnd w:id="226"/>
    <w:bookmarkStart w:id="227"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227"/>
    <w:bookmarkStart w:id="229"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28">
        <w:r>
          <w:rPr>
            <w:rStyle w:val="Hyperlink"/>
          </w:rPr>
          <w:t xml:space="preserve">https://doi.org/10.1093/genetics/28.2.114</w:t>
        </w:r>
      </w:hyperlink>
      <w:r>
        <w:t xml:space="preserve">.</w:t>
      </w:r>
    </w:p>
    <w:bookmarkEnd w:id="229"/>
    <w:bookmarkStart w:id="231"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30">
        <w:r>
          <w:rPr>
            <w:rStyle w:val="Hyperlink"/>
          </w:rPr>
          <w:t xml:space="preserve">https://doi.org/10.1111/j.1469-1809.1949.tb02451.x</w:t>
        </w:r>
      </w:hyperlink>
      <w:r>
        <w:t xml:space="preserve">.</w:t>
      </w:r>
    </w:p>
    <w:bookmarkEnd w:id="231"/>
    <w:bookmarkStart w:id="233"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32">
        <w:r>
          <w:rPr>
            <w:rStyle w:val="Hyperlink"/>
          </w:rPr>
          <w:t xml:space="preserve">https://doi.org/10.1017/ehs.2023.5</w:t>
        </w:r>
      </w:hyperlink>
      <w:r>
        <w:t xml:space="preserve">.</w:t>
      </w:r>
    </w:p>
    <w:bookmarkEnd w:id="233"/>
    <w:bookmarkEnd w:id="234"/>
    <w:bookmarkEnd w:id="235"/>
    <w:bookmarkEnd w:id="2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155" Target="https://doi.org/10.1006/jaar.1997.0314" TargetMode="External" /><Relationship Type="http://schemas.openxmlformats.org/officeDocument/2006/relationships/hyperlink" Id="rId218" Target="https://doi.org/10.1006/jhev.1994.1037" TargetMode="External" /><Relationship Type="http://schemas.openxmlformats.org/officeDocument/2006/relationships/hyperlink" Id="rId106" Target="https://doi.org/10.1007/s10814-007-9013-z" TargetMode="External" /><Relationship Type="http://schemas.openxmlformats.org/officeDocument/2006/relationships/hyperlink" Id="rId185" Target="https://doi.org/10.1007/s10816-018-9364-4" TargetMode="External" /><Relationship Type="http://schemas.openxmlformats.org/officeDocument/2006/relationships/hyperlink" Id="rId90" Target="https://doi.org/10.1007/s10816-022-09599-x" TargetMode="External" /><Relationship Type="http://schemas.openxmlformats.org/officeDocument/2006/relationships/hyperlink" Id="rId86" Target="https://doi.org/10.1007/s10816-023-09613-w" TargetMode="External" /><Relationship Type="http://schemas.openxmlformats.org/officeDocument/2006/relationships/hyperlink" Id="rId121"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2" Target="https://doi.org/10.1016/j.evolhumbehav.2014.09.006" TargetMode="External" /><Relationship Type="http://schemas.openxmlformats.org/officeDocument/2006/relationships/hyperlink" Id="rId104"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50" Target="https://doi.org/10.1016/j.jas.2010.05.015" TargetMode="External" /><Relationship Type="http://schemas.openxmlformats.org/officeDocument/2006/relationships/hyperlink" Id="rId183" Target="https://doi.org/10.1016/j.jas.2012.04.040" TargetMode="External" /><Relationship Type="http://schemas.openxmlformats.org/officeDocument/2006/relationships/hyperlink" Id="rId92" Target="https://doi.org/10.1016/j.jas.2014.07.014" TargetMode="External" /><Relationship Type="http://schemas.openxmlformats.org/officeDocument/2006/relationships/hyperlink" Id="rId159" Target="https://doi.org/10.1016/j.jas.2021.105412" TargetMode="External" /><Relationship Type="http://schemas.openxmlformats.org/officeDocument/2006/relationships/hyperlink" Id="rId134" Target="https://doi.org/10.1016/j.jtbi.2013.03.006" TargetMode="External" /><Relationship Type="http://schemas.openxmlformats.org/officeDocument/2006/relationships/hyperlink" Id="rId210" Target="https://doi.org/10.1016/j.jtbi.2016.04.024" TargetMode="External" /><Relationship Type="http://schemas.openxmlformats.org/officeDocument/2006/relationships/hyperlink" Id="rId201"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3" Target="https://doi.org/10.1017/S0140525X1400106X" TargetMode="External" /><Relationship Type="http://schemas.openxmlformats.org/officeDocument/2006/relationships/hyperlink" Id="rId124" Target="https://doi.org/10.1017/aap.2021.10" TargetMode="External" /><Relationship Type="http://schemas.openxmlformats.org/officeDocument/2006/relationships/hyperlink" Id="rId220" Target="https://doi.org/10.1017/aaq.2024.1" TargetMode="External" /><Relationship Type="http://schemas.openxmlformats.org/officeDocument/2006/relationships/hyperlink" Id="rId232" Target="https://doi.org/10.1017/ehs.2023.5" TargetMode="External" /><Relationship Type="http://schemas.openxmlformats.org/officeDocument/2006/relationships/hyperlink" Id="rId94" Target="https://doi.org/10.1038/srep39122" TargetMode="External" /><Relationship Type="http://schemas.openxmlformats.org/officeDocument/2006/relationships/hyperlink" Id="rId205"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8"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7" Target="https://doi.org/10.1073/pnas.1818346116" TargetMode="External" /><Relationship Type="http://schemas.openxmlformats.org/officeDocument/2006/relationships/hyperlink" Id="rId111" Target="https://doi.org/10.1073/pnas.2418106121" TargetMode="External" /><Relationship Type="http://schemas.openxmlformats.org/officeDocument/2006/relationships/hyperlink" Id="rId169" Target="https://doi.org/10.1080/20548923.2018.1504490" TargetMode="External" /><Relationship Type="http://schemas.openxmlformats.org/officeDocument/2006/relationships/hyperlink" Id="rId223" Target="https://doi.org/10.1086/651661" TargetMode="External" /><Relationship Type="http://schemas.openxmlformats.org/officeDocument/2006/relationships/hyperlink" Id="rId194" Target="https://doi.org/10.1086/674873" TargetMode="External" /><Relationship Type="http://schemas.openxmlformats.org/officeDocument/2006/relationships/hyperlink" Id="rId228" Target="https://doi.org/10.1093/genetics/28.2.114" TargetMode="External" /><Relationship Type="http://schemas.openxmlformats.org/officeDocument/2006/relationships/hyperlink" Id="rId136" Target="https://doi.org/10.1098/rsif.2015.0905" TargetMode="External" /><Relationship Type="http://schemas.openxmlformats.org/officeDocument/2006/relationships/hyperlink" Id="rId138"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9" Target="https://doi.org/10.1098/rstb.2016.0426" TargetMode="External" /><Relationship Type="http://schemas.openxmlformats.org/officeDocument/2006/relationships/hyperlink" Id="rId230" Target="https://doi.org/10.1111/j.1469-1809.1949.tb02451.x" TargetMode="External" /><Relationship Type="http://schemas.openxmlformats.org/officeDocument/2006/relationships/hyperlink" Id="rId131" Target="https://doi.org/10.1111/j.1558-5646.2007.00310.x" TargetMode="External" /><Relationship Type="http://schemas.openxmlformats.org/officeDocument/2006/relationships/hyperlink" Id="rId192" Target="https://doi.org/10.1126/science.1170165" TargetMode="External" /><Relationship Type="http://schemas.openxmlformats.org/officeDocument/2006/relationships/hyperlink" Id="rId140"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3" Target="https://doi.org/10.1371/journal.pone.0124942" TargetMode="External" /><Relationship Type="http://schemas.openxmlformats.org/officeDocument/2006/relationships/hyperlink" Id="rId147" Target="https://doi.org/10.1371/journal.pone.0250690" TargetMode="External" /><Relationship Type="http://schemas.openxmlformats.org/officeDocument/2006/relationships/hyperlink" Id="rId190" Target="https://doi.org/10.1525/aa.1953.55.5.02a00030" TargetMode="External" /><Relationship Type="http://schemas.openxmlformats.org/officeDocument/2006/relationships/hyperlink" Id="rId117" Target="https://doi.org/10.1525/aa.2001.103.4.992" TargetMode="External" /><Relationship Type="http://schemas.openxmlformats.org/officeDocument/2006/relationships/hyperlink" Id="rId109" Target="https://doi.org/10.1534/genetics.113.158220" TargetMode="External" /><Relationship Type="http://schemas.openxmlformats.org/officeDocument/2006/relationships/hyperlink" Id="rId129"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3" Target="https://doi.org/10.2307/2694529" TargetMode="External" /><Relationship Type="http://schemas.openxmlformats.org/officeDocument/2006/relationships/hyperlink" Id="rId96" Target="https://doi.org/10.2307/278341" TargetMode="External" /><Relationship Type="http://schemas.openxmlformats.org/officeDocument/2006/relationships/hyperlink" Id="rId181" Target="https://doi.org/10.2307/279066" TargetMode="External" /><Relationship Type="http://schemas.openxmlformats.org/officeDocument/2006/relationships/hyperlink" Id="rId98"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9" Target="https://doi.org/10.2307/4128416" TargetMode="External" /><Relationship Type="http://schemas.openxmlformats.org/officeDocument/2006/relationships/hyperlink" Id="rId198" Target="https://doi.org/10.7183/0002-7316.76.1.163" TargetMode="External" /><Relationship Type="http://schemas.openxmlformats.org/officeDocument/2006/relationships/hyperlink" Id="rId196"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5" Target="https://doi.org/10.1006/jaar.1997.0314" TargetMode="External" /><Relationship Type="http://schemas.openxmlformats.org/officeDocument/2006/relationships/hyperlink" Id="rId218" Target="https://doi.org/10.1006/jhev.1994.1037" TargetMode="External" /><Relationship Type="http://schemas.openxmlformats.org/officeDocument/2006/relationships/hyperlink" Id="rId106" Target="https://doi.org/10.1007/s10814-007-9013-z" TargetMode="External" /><Relationship Type="http://schemas.openxmlformats.org/officeDocument/2006/relationships/hyperlink" Id="rId185" Target="https://doi.org/10.1007/s10816-018-9364-4" TargetMode="External" /><Relationship Type="http://schemas.openxmlformats.org/officeDocument/2006/relationships/hyperlink" Id="rId90" Target="https://doi.org/10.1007/s10816-022-09599-x" TargetMode="External" /><Relationship Type="http://schemas.openxmlformats.org/officeDocument/2006/relationships/hyperlink" Id="rId86" Target="https://doi.org/10.1007/s10816-023-09613-w" TargetMode="External" /><Relationship Type="http://schemas.openxmlformats.org/officeDocument/2006/relationships/hyperlink" Id="rId121"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2" Target="https://doi.org/10.1016/j.evolhumbehav.2014.09.006" TargetMode="External" /><Relationship Type="http://schemas.openxmlformats.org/officeDocument/2006/relationships/hyperlink" Id="rId104"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50" Target="https://doi.org/10.1016/j.jas.2010.05.015" TargetMode="External" /><Relationship Type="http://schemas.openxmlformats.org/officeDocument/2006/relationships/hyperlink" Id="rId183" Target="https://doi.org/10.1016/j.jas.2012.04.040" TargetMode="External" /><Relationship Type="http://schemas.openxmlformats.org/officeDocument/2006/relationships/hyperlink" Id="rId92" Target="https://doi.org/10.1016/j.jas.2014.07.014" TargetMode="External" /><Relationship Type="http://schemas.openxmlformats.org/officeDocument/2006/relationships/hyperlink" Id="rId159" Target="https://doi.org/10.1016/j.jas.2021.105412" TargetMode="External" /><Relationship Type="http://schemas.openxmlformats.org/officeDocument/2006/relationships/hyperlink" Id="rId134" Target="https://doi.org/10.1016/j.jtbi.2013.03.006" TargetMode="External" /><Relationship Type="http://schemas.openxmlformats.org/officeDocument/2006/relationships/hyperlink" Id="rId210" Target="https://doi.org/10.1016/j.jtbi.2016.04.024" TargetMode="External" /><Relationship Type="http://schemas.openxmlformats.org/officeDocument/2006/relationships/hyperlink" Id="rId201"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3" Target="https://doi.org/10.1017/S0140525X1400106X" TargetMode="External" /><Relationship Type="http://schemas.openxmlformats.org/officeDocument/2006/relationships/hyperlink" Id="rId124" Target="https://doi.org/10.1017/aap.2021.10" TargetMode="External" /><Relationship Type="http://schemas.openxmlformats.org/officeDocument/2006/relationships/hyperlink" Id="rId220" Target="https://doi.org/10.1017/aaq.2024.1" TargetMode="External" /><Relationship Type="http://schemas.openxmlformats.org/officeDocument/2006/relationships/hyperlink" Id="rId232" Target="https://doi.org/10.1017/ehs.2023.5" TargetMode="External" /><Relationship Type="http://schemas.openxmlformats.org/officeDocument/2006/relationships/hyperlink" Id="rId94" Target="https://doi.org/10.1038/srep39122" TargetMode="External" /><Relationship Type="http://schemas.openxmlformats.org/officeDocument/2006/relationships/hyperlink" Id="rId205"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8"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7" Target="https://doi.org/10.1073/pnas.1818346116" TargetMode="External" /><Relationship Type="http://schemas.openxmlformats.org/officeDocument/2006/relationships/hyperlink" Id="rId111" Target="https://doi.org/10.1073/pnas.2418106121" TargetMode="External" /><Relationship Type="http://schemas.openxmlformats.org/officeDocument/2006/relationships/hyperlink" Id="rId169" Target="https://doi.org/10.1080/20548923.2018.1504490" TargetMode="External" /><Relationship Type="http://schemas.openxmlformats.org/officeDocument/2006/relationships/hyperlink" Id="rId223" Target="https://doi.org/10.1086/651661" TargetMode="External" /><Relationship Type="http://schemas.openxmlformats.org/officeDocument/2006/relationships/hyperlink" Id="rId194" Target="https://doi.org/10.1086/674873" TargetMode="External" /><Relationship Type="http://schemas.openxmlformats.org/officeDocument/2006/relationships/hyperlink" Id="rId228" Target="https://doi.org/10.1093/genetics/28.2.114" TargetMode="External" /><Relationship Type="http://schemas.openxmlformats.org/officeDocument/2006/relationships/hyperlink" Id="rId136" Target="https://doi.org/10.1098/rsif.2015.0905" TargetMode="External" /><Relationship Type="http://schemas.openxmlformats.org/officeDocument/2006/relationships/hyperlink" Id="rId138"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9" Target="https://doi.org/10.1098/rstb.2016.0426" TargetMode="External" /><Relationship Type="http://schemas.openxmlformats.org/officeDocument/2006/relationships/hyperlink" Id="rId230" Target="https://doi.org/10.1111/j.1469-1809.1949.tb02451.x" TargetMode="External" /><Relationship Type="http://schemas.openxmlformats.org/officeDocument/2006/relationships/hyperlink" Id="rId131" Target="https://doi.org/10.1111/j.1558-5646.2007.00310.x" TargetMode="External" /><Relationship Type="http://schemas.openxmlformats.org/officeDocument/2006/relationships/hyperlink" Id="rId192" Target="https://doi.org/10.1126/science.1170165" TargetMode="External" /><Relationship Type="http://schemas.openxmlformats.org/officeDocument/2006/relationships/hyperlink" Id="rId140"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3" Target="https://doi.org/10.1371/journal.pone.0124942" TargetMode="External" /><Relationship Type="http://schemas.openxmlformats.org/officeDocument/2006/relationships/hyperlink" Id="rId147" Target="https://doi.org/10.1371/journal.pone.0250690" TargetMode="External" /><Relationship Type="http://schemas.openxmlformats.org/officeDocument/2006/relationships/hyperlink" Id="rId190" Target="https://doi.org/10.1525/aa.1953.55.5.02a00030" TargetMode="External" /><Relationship Type="http://schemas.openxmlformats.org/officeDocument/2006/relationships/hyperlink" Id="rId117" Target="https://doi.org/10.1525/aa.2001.103.4.992" TargetMode="External" /><Relationship Type="http://schemas.openxmlformats.org/officeDocument/2006/relationships/hyperlink" Id="rId109" Target="https://doi.org/10.1534/genetics.113.158220" TargetMode="External" /><Relationship Type="http://schemas.openxmlformats.org/officeDocument/2006/relationships/hyperlink" Id="rId129"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3" Target="https://doi.org/10.2307/2694529" TargetMode="External" /><Relationship Type="http://schemas.openxmlformats.org/officeDocument/2006/relationships/hyperlink" Id="rId96" Target="https://doi.org/10.2307/278341" TargetMode="External" /><Relationship Type="http://schemas.openxmlformats.org/officeDocument/2006/relationships/hyperlink" Id="rId181" Target="https://doi.org/10.2307/279066" TargetMode="External" /><Relationship Type="http://schemas.openxmlformats.org/officeDocument/2006/relationships/hyperlink" Id="rId98"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9" Target="https://doi.org/10.2307/4128416" TargetMode="External" /><Relationship Type="http://schemas.openxmlformats.org/officeDocument/2006/relationships/hyperlink" Id="rId198" Target="https://doi.org/10.7183/0002-7316.76.1.163" TargetMode="External" /><Relationship Type="http://schemas.openxmlformats.org/officeDocument/2006/relationships/hyperlink" Id="rId196"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2026-06-19T01:35:45Z</dcterms:created>
  <dcterms:modified xsi:type="dcterms:W3CDTF">2026-06-19T01:35:45Z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