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50.png" ContentType="image/png"/>
  <Override PartName="/word/media/rId18.png" ContentType="image/png"/>
  <Override PartName="/word/media/rId22.png" ContentType="image/png"/>
  <Override PartName="/word/media/rId31.png" ContentType="image/png"/>
  <Override PartName="/word/media/rId34.png" ContentType="image/png"/>
  <Override PartName="/word/media/rId37.png" ContentType="image/png"/>
  <Override PartName="/word/media/rId40.png" ContentType="image/png"/>
  <Override PartName="/word/media/rId53.png" ContentType="image/png"/>
  <Override PartName="/word/media/rId47.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2"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nearby than to distant neighbors record a bounded society. While the validity of phases has been questioned, the rationale for assuming these units is rarely tested or evaluated. Neutral transmission produces the same clustering with no bounded groups since drift concentrates similar styles nearby.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que los conjuntos más similares a sus vecinos cercanos que a los distantes registran una sociedad delimitada. Aunque la validez de las fases ha sido cuestionada, la justificación para asumir estas unidades rara vez se pone a prueba o se evalúa.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cuenca del St. Francis como en los conjuntos del sureste de Misuri, la estructura se reproduce mediante deriva y no requiere grupos delimitados, y en el conjunto del valle la deriva genera muchos menos grupos coherentes de los que distingue el esquema de fases nombradas. Encontramos que Parkin, a menudo considerada el centro de una entidad política, es un puente de transmisión más que una capital. Evaluada directamente frente a las demás fases nombradas, la fase Parkin muestra a lo sumo una señal débil en el límite de lo que predice la deriva.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among these units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This chiefdom is inferred to have drawn tribute from the smaller villages around it, an argument based on its position on agriculturally poor soil, which required surrounding communities to provide it with provisions</w:t>
      </w:r>
      <w:r>
        <w:t xml:space="preserve"> </w:t>
      </w:r>
      <w:r>
        <w:t xml:space="preserve">(Phyllis A. Morse 1990)</w:t>
      </w:r>
      <w:r>
        <w:t xml:space="preserve">. That interpretation is a specific claim about social structure in which the Parkin phase is treated as a bounded, hierarchically organized society with Parkin at its apex.</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a landscape of competing peer communities as with a centralized and consolidated hierarchy</w:t>
      </w:r>
      <w:r>
        <w:t xml:space="preserve"> </w:t>
      </w:r>
      <w:r>
        <w:t xml:space="preserve">(King and Freer 1995; Rees 2001)</w:t>
      </w:r>
      <w:r>
        <w:t xml:space="preserve">. The 16th-century historical chronicles describe Casqui and its neighbor Pacaha in open conflict, a relationship interpreted both as rivalry between competing peers and as a ranked order in which Casqui stood below Pacaha. Thus, if Parkin is indeed Casqui, the chronicles do not, by themselves, establish a single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The record shows no evidence of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The answer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goes beyond the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therefore, built into the unit before any independent evidence of hierarchy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social-learning networks, the spatial and temporal structure of decorated-class frequencies reflects the structure of past interaction.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an imagined moment behind it.</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an equifinality, the same pattern reached by different processes, that defeats one-signature inference</w:t>
      </w:r>
      <w:r>
        <w:t xml:space="preserve"> </w:t>
      </w:r>
      <w:r>
        <w:t xml:space="preserve">(Barrett 2019; Crema et al. 2016; Kandler and Shennan 2015; Mesoudi 2021)</w:t>
      </w:r>
      <w:r>
        <w:t xml:space="preserve">. We therefore compare the two processes in a generative manner. We simulate neutral spatial drift and bounded groups on the real coordinate layout of the assemblages and ask which reproduces the observed structure, using four transmission signatures, departure from neutral copying, breakdown of frequency-seriation coherence, between-group variance, and spatial assortativity, as diagnostics of whether interaction has closed rather than as a stand-alone test. Because an archaeological assemblage is time-averaged and sampled to varying depth, a signature can register a difference that is an artifact of sampling rather than of transmission, so we calibrate the comparison to the record by a signal-recovery experiment: into synthetic assemblages matched to the real number, sample sizes, and time-averaging we inject a known signal of tunable strength and measure how strong a real boundary would have to be to register. Only a calibrated comparison can license the conclusion that an absence of group structure is real rather than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Parkin as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carry. Hence, the phase is a continuous interaction structured by where sites sit rather than a closed group with a boundary, and Parkin is a transmission bridge across orderings rather than the core of one. Third, we widen the test to the other late-period phases of the valley and ask whether any decorated-ceramic boundary exists.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and Parkin is best understood as a prominent node in a continuous interaction field rather than the capital of a polity.</w:t>
      </w:r>
    </w:p>
    <w:bookmarkEnd w:id="14"/>
    <w:bookmarkStart w:id="17"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We take a materialist approach to cultural transmission, which frames the question differently from how the central-valley record is usually interpreted. Archaeologists are trained to think with bounded units, the phase, the polity, the society, discrete entities with members and edges, and to interpret a cluster of similar assemblages as one of them. We treat transmission instead as a continuous and variable field of copying events among potters, a field with no intrinsic edges, in which interaction falls off with distance and learning can be more local in some places and times than in others. On this view, a group is not a thing with a boundary but a region where transmission has thickened, and similarity is a matter of degree set by how copying is distributed across space. That field can also close off by degree, interaction narrowing until potters copy mostly within a subset and rarely outside it, producing something that looks like the bounded groups archaeologists think with. The difficulty with the phase is that ordinary interaction already makes nearby assemblages more alike than distant ones, even without distance, so clusters by themselves prove nothing. What would mark a real bounded group is closure beyond what distance predicts, and that excess is the signal we test for.</w:t>
      </w:r>
    </w:p>
    <w:p>
      <w:pPr>
        <w:pStyle w:val="BodyText"/>
      </w:pPr>
      <w:r>
        <w:t xml:space="preserve">The phase concept gives the central-valley record its social structure. A phase is formed operationally as a set of assemblages that seriate together and cluster in space. It is interpreted, however, as a social entity equivalent to a bounded, interacting community, on the premise that assemblages are more alike within a phase than across its edges, thereby recording who interacted with whom</w:t>
      </w:r>
      <w:r>
        <w:t xml:space="preserve"> </w:t>
      </w:r>
      <w:r>
        <w:t xml:space="preserve">(McNutt 1996; Morse and Morse 1983; Phillips et al. 1951; Williams 1954)</w:t>
      </w:r>
      <w:r>
        <w:t xml:space="preserve">. The premise is not arbitrary. Under the neutral transmission model, it would hold if learning were confined within social boundaries, so that decoration drifted in separate pools and diverged between them. The difficulty is that the same pattern arises with no boundary at all when interaction declines with distance, because spatially structured drift concentrates similarity among near neighbors, the isolation-by-distance expectation for cultural similarity</w:t>
      </w:r>
      <w:r>
        <w:t xml:space="preserve"> </w:t>
      </w:r>
      <w:r>
        <w:t xml:space="preserve">(Lipo et al. 2021; Neiman 1995; Shennan et al. 2015)</w:t>
      </w:r>
      <w:r>
        <w:t xml:space="preserve">. The question the ceramic record must answer is the operational one: does the similarity structure record bounded interaction, or spatially structured drift? Throughout, we call decoration that is transmitted preferentially within a group and diverges between groups a marker, rather than a neutral style drifting in a single shared pool. A marker is the ceramic expression, the empirical proxy, of interaction closing into a bounded group, so the drift-versus-groups question is equivalently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Decorated ceramics record the structure of social interaction because stylistic variants are copied between potters along social-learning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Eerkens and Lipo 2005; Neiman 1995)</w:t>
      </w:r>
      <w:r>
        <w:t xml:space="preserve">. Neutral style is the null condition: assemblages drawn from a single interacting community share one drifting pool, and their decorated-class frequencies admit a single battleship-curve seriation</w:t>
      </w:r>
      <w:r>
        <w:t xml:space="preserve"> </w:t>
      </w:r>
      <w:r>
        <w:t xml:space="preserve">(Lipo et al. 2015)</w:t>
      </w:r>
      <w:r>
        <w:t xml:space="preserve">. Assortment, the tendency for like to learn from like, so that interaction sorts into distinct groups, changes this.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and the discriminating signal, where it survives, lies in the rare-variant tail of the frequency distribution rather than in its common classes</w:t>
      </w:r>
      <w:r>
        <w:t xml:space="preserve"> </w:t>
      </w:r>
      <w:r>
        <w:t xml:space="preserve">(Carrignon et al. 2019; Kandler et al. 2017; Mesoudi 2021; O’Dwyer and Kandler 2017)</w:t>
      </w:r>
      <w:r>
        <w:t xml:space="preserve">.</w:t>
      </w:r>
      <w:r>
        <w:t xml:space="preserve"> </w:t>
      </w:r>
      <w:r>
        <w:t xml:space="preserve">### The central Mississippi Valley case and two competing hypotheses</w:t>
      </w:r>
    </w:p>
    <w:p>
      <w:pPr>
        <w:pStyle w:val="BodyText"/>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St-Francis-type towns along the St. Francis and Tyronza rivers, dominated by the Parkin site, a roughly 17-acre palisaded center with a platform mound rising more than 6 m that the De Soto chronicles place as the seat of the paramount of Casqui</w:t>
      </w:r>
      <w:r>
        <w:t xml:space="preserve"> </w:t>
      </w:r>
      <w:r>
        <w:t xml:space="preserve">(Dye and Cox 1990; Mitchem 2001; Phyllis A. Morse 1990)</w:t>
      </w:r>
      <w:r>
        <w:t xml:space="preserve">. Based on this information, Parkin’s location on agriculturally poor soil suggests that it drew tribute from smaller villages, a hallmark of an emerging chiefly hierarchy</w:t>
      </w:r>
      <w:r>
        <w:t xml:space="preserve"> </w:t>
      </w:r>
      <w:r>
        <w:t xml:space="preserve">(Phyllis A. 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et al. 2024; Cobb and Butler 2002)</w:t>
      </w:r>
      <w:r>
        <w:t xml:space="preserve">. The second interpretation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a landscape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cannot be separated by settlement morphology alone. They can be separated by determining whether the transmission record shows interaction closing into bounded groups, which is the test we now construct.</w:t>
      </w:r>
    </w:p>
    <w:bookmarkEnd w:id="16"/>
    <w:bookmarkEnd w:id="17"/>
    <w:bookmarkStart w:id="21" w:name="Xe1cc53abb112c2b395e3beee2af5ceb0aad4bed"/>
    <w:p>
      <w:pPr>
        <w:pStyle w:val="Heading2"/>
      </w:pPr>
      <w:r>
        <w:t xml:space="preserve">Distinguishing true group structure from spatially structured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a potter can learn a design from anyone she encounters, near or far, so styles circulate through one connected population. Interaction closes when that circulation narrows: potters come to copy mostly from others inside their own group and rarely from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the test sets out to measure, and in the synthetic experiments below, we tune it as a parameter,</w:t>
      </w:r>
      <w:r>
        <w:t xml:space="preserve"> </w:t>
      </w:r>
      <w:r>
        <w:rPr>
          <w:i/>
          <w:iCs/>
        </w:rPr>
        <w:t xml:space="preserve">s</w:t>
      </w:r>
      <w:r>
        <w:t xml:space="preserve">, from 0 (pure drift, no closure) to 1 (strong, sharply bounded groups). The four signatures are each a different consequence of closure, and we state each first in plain terms before naming its formal measure.</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an assemblage’s diversity agree.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Each yields an estimate of the same underlying transmission parameter, and under random copying, the two estimates coincide. Conformity, in which potters disproportionately copy whatever is already common, is a process that will concentrate frequency to a few ceramic classes.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 Sampling error certainly needs to be accounted for. Classical practice, however, ignores the most valuable aspect of the method: a</w:t>
      </w:r>
      <w:r>
        <w:t xml:space="preserve"> </w:t>
      </w:r>
      <w:r>
        <w:rPr>
          <w:i/>
          <w:iCs/>
        </w:rPr>
        <w:t xml:space="preserve">failure to seriate together</w:t>
      </w:r>
      <w:r>
        <w:t xml:space="preserve"> </w:t>
      </w:r>
      <w:r>
        <w:t xml:space="preserve">tells us when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applied to cultural transmission where between-group variation in socially learned traits routinely exceeds its genetic counterpart</w:t>
      </w:r>
      <w:r>
        <w:t xml:space="preserve"> </w:t>
      </w:r>
      <w:r>
        <w:t xml:space="preserve">(Bell et al. 2009)</w:t>
      </w:r>
      <w:r>
        <w:t xml:space="preserve">, computed here on Gini-Simpson diversity, the chance that two sherds drawn at random from a assemblage are of different classes. F_ST is the share of the total diversity that is due to differences between groups rather than to variation within them. When every assemblage draws on one shared, drifting pool of styles, between-group differences are small and F_ST sits near zero.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generates between-group variance on its own. Subpopulations retain different amounts of diversity depending on their size and connectivity: small or sparsely connected areas drift to depleted, idiosyncratic repertoires, while larger, well-connected ones stay richer. The resulting differences appear as distinct interacting groups even though they are produced by spatial position alone</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pairs of assemblages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it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 linked movement of these two measures cannot separate a real interaction group from drift. Therefore, we do not depend on these signatures alone. Instead, we compare the two processes generatively by simulating each one, neutral spatial drift and bounded groups alike, using the real geography of the deposits. Using the data from the simulations, we ask which reproduces the observed structure, treating the signatures as diagnostics of where each process leaves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a process drive, and an open circle (○) that leaves it flat. The process columns give the idealized discrimination logic: under smooth, deterministic processes, only a bounded interaction group drives all four, and each alternative drives a characteristic subset, the pattern an idealized simulation confirms (Figure S4).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S5). Stochastic drift thus reproduces the same two-signature pattern as environmental patchiness, so a positive result on either signature cannot by itself separate a bounded group from drift or patchiness. The final column reports the recovery experiment (Figure 4). At this record’s 29 time-averaged assemblages, only cultural F_ST registers an injected-closure signal, and even then, it must be compared against the stochastic-drift null rather than zero. Seriation-coherence breakdown, which only a bounded group drives in principle, is the cleanest discriminator on paper yet undetectable here. The four signatures are therefore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make the central difficulty explicit. Smooth, deterministic isolation by distance produces only a raw decay of similarity with distance, and the distance-controlled boundary excess is near zero under it, so it drives none of the four signatures. Stochastic neutral drift on a finite network is less forgiving. It generates patchy divergence that raises cultural F_ST and registers as a positive boundary excess in the absence of a social boundary, the mimicry that the record-matched controls expose directly (Results, Figure S5).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so on idealized data, genuine convergence would take the form of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converge trivially. As a consequence, we validate the test using simulated assemblages before applying it to confirm that convergence arises only when interactions close into a bounded group and not under any mimic. We also use the simulation to assess whether the four signatures are tightly correlated under such closure yet nearly independent under the mimics, so their joint movement is informative rather than automatic. The use of convergence logic has an archaeological precedent. Neiman</w:t>
      </w:r>
      <w:r>
        <w:t xml:space="preserve"> </w:t>
      </w:r>
      <w:r>
        <w:t xml:space="preserve">(1995)</w:t>
      </w:r>
      <w:r>
        <w:t xml:space="preserve"> </w:t>
      </w:r>
      <w:r>
        <w:t xml:space="preserve">showed that two independently derived, theory-grounded measures of the same ceramic data, within-assemblage diversity and between-assemblage distance, converge on the same inference about past interaction. We generalize that two-measure agreement and apply it to our four. Whether all four signatures, or only some, can actually do so on a record like ours is a separate question that we settle by calibrating the test directly to synthetic data matched to the Parkin assemblages.</w:t>
      </w:r>
    </w:p>
    <w:p>
      <w:pPr>
        <w:pStyle w:val="BodyText"/>
      </w:pPr>
      <w:r>
        <w:t xml:space="preserve">Below, we describe the procedures, their methods, and outcomes. Figure 2 previews what the test distinguishes, the sharp structure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19" name="Picture"/>
            <a:graphic>
              <a:graphicData uri="http://schemas.openxmlformats.org/drawingml/2006/picture">
                <pic:pic>
                  <pic:nvPicPr>
                    <pic:cNvPr descr="../../figures/fig2_concept.png" id="20" name="Picture"/>
                    <pic:cNvPicPr>
                      <a:picLocks noChangeArrowheads="1" noChangeAspect="1"/>
                    </pic:cNvPicPr>
                  </pic:nvPicPr>
                  <pic:blipFill>
                    <a:blip r:embed="rId18"/>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so that no single time-point statistic can be.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of which is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1"/>
    <w:bookmarkStart w:id="30" w:name="materials-and-methods"/>
    <w:p>
      <w:pPr>
        <w:pStyle w:val="Heading2"/>
      </w:pPr>
      <w:r>
        <w:t xml:space="preserve">Materials and methods</w:t>
      </w:r>
    </w:p>
    <w:bookmarkStart w:id="25" w:name="data"/>
    <w:p>
      <w:pPr>
        <w:pStyle w:val="Heading3"/>
      </w:pPr>
      <w:r>
        <w:t xml:space="preserve">Data</w:t>
      </w:r>
    </w:p>
    <w:p>
      <w:pPr>
        <w:pStyle w:val="FirstParagraph"/>
      </w:pPr>
      <w:r>
        <w:t xml:space="preserve">The ceramic data are the decorated-class counts compiled by Phillips, Ford, and Griffin</w:t>
      </w:r>
      <w:r>
        <w:t xml:space="preserve"> </w:t>
      </w:r>
      <w:r>
        <w:t xml:space="preserve">(1951)</w:t>
      </w:r>
      <w:r>
        <w:t xml:space="preserve"> </w:t>
      </w:r>
      <w:r>
        <w:t xml:space="preserve">for the Lower Mississippi Survey, an assemblage-by-class matrix of 266 surface assemblages from the central valley</w:t>
      </w:r>
      <w:r>
        <w:t xml:space="preserve"> </w:t>
      </w:r>
      <w:r>
        <w:t xml:space="preserve">(Lipo 2001)</w:t>
      </w:r>
      <w:r>
        <w:t xml:space="preserve">. Each decorated class is a unit of measurement that the analyst defines to capture stylistic variation, not a native category assumed in advance. We restrict the analysis to the St. Francis basin of northeastern Arkansas, the setting of Parkin, defined hydrologically as the assemblages within 20 km of the St. Francis, Tyronza, and L’Anguille drainage (Figure 1). This yields 29 decorated assemblages for the transmission analysis and 92 sites for the settlement comparison.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therefore,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assemblages, so each aggregate pottery over the use-life of its deposit, and such aggregation distorts diversity and neutrality statistics in proportion to the mean lifetime of the variants</w:t>
      </w:r>
      <w:r>
        <w:t xml:space="preserve"> </w:t>
      </w:r>
      <w:r>
        <w:t xml:space="preserve">(Madsen 2012; Miller-Atkins and Premo 2018)</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w:t>
      </w:r>
      <w:r>
        <w:t xml:space="preserve"> </w:t>
      </w:r>
      <w:r>
        <w:t xml:space="preserve">(2001)</w:t>
      </w:r>
      <w:r>
        <w:t xml:space="preserve"> </w:t>
      </w:r>
      <w:r>
        <w:t xml:space="preserve">compilation yields 109 determinations for the central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pooled median calibrated ages correlate with seriation position at Spearman +0.70 (n = 5, 27 dates pooled), an improvement on the +0.50 of the single-date anchors, with four of the five sites in calendar order and one late-dated site departing from it. The axis, therefore, tracks calendar time, but imperfectly. The trajectory we test is an ordinal measure,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3" name="Picture"/>
            <a:graphic>
              <a:graphicData uri="http://schemas.openxmlformats.org/drawingml/2006/picture">
                <pic:pic>
                  <pic:nvPicPr>
                    <pic:cNvPr descr="../../figures/fig3_ca_ordination.png" id="24" name="Picture"/>
                    <pic:cNvPicPr>
                      <a:picLocks noChangeArrowheads="1" noChangeAspect="1"/>
                    </pic:cNvPicPr>
                  </pic:nvPicPr>
                  <pic:blipFill>
                    <a:blip r:embed="rId22"/>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5"/>
    <w:bookmarkStart w:id="26"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classes, using the Ewens sampling formula</w:t>
      </w:r>
      <w:r>
        <w:t xml:space="preserve"> </w:t>
      </w:r>
      <w:r>
        <w:t xml:space="preserve">(1972)</w:t>
      </w:r>
      <w:r>
        <w:t xml:space="preserve"> </w:t>
      </w:r>
      <w:r>
        <w:t xml:space="preserve">to estimate the number of classes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(Dunnell 1970; Graves and Cachola-Abad 1996; Lipo et al. 1997, 2015)</w:t>
      </w:r>
      <w:r>
        <w:t xml:space="preserve">. A set of assemblages is co-seriable if some ordering renders every decorated class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classes: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w:t>
      </w:r>
      <w:r>
        <w:t xml:space="preserve"> </w:t>
      </w:r>
      <w:r>
        <w:t xml:space="preserve">(Brainerd 1951; Robinson 1951)</w:t>
      </w:r>
      <w:r>
        <w:t xml:space="preserve">, a standard index ranging from 0 to 200 that indicates how alike two assemblages are in their class proportions, for every pair of assemblages. We tested its association with inter-site distance by a Mantel</w:t>
      </w:r>
      <w:r>
        <w:t xml:space="preserve"> </w:t>
      </w:r>
      <w:r>
        <w:t xml:space="preserve">(1967)</w:t>
      </w:r>
      <w:r>
        <w:t xml:space="preserve"> </w:t>
      </w:r>
      <w:r>
        <w:t xml:space="preserve">permutation test, which asks whether two distance matrices, here ceramic dissimilarity and geographic distance, are related.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interpreted. Assemblage sample size trends with seriation position, and several of the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6"/>
    <w:bookmarkStart w:id="27" w:name="criterion-validation-by-simulation"/>
    <w:p>
      <w:pPr>
        <w:pStyle w:val="Heading3"/>
      </w:pPr>
      <w:r>
        <w:t xml:space="preserve">Criterion validation by simulation</w:t>
      </w:r>
    </w:p>
    <w:p>
      <w:pPr>
        <w:pStyle w:val="FirstParagraph"/>
      </w:pPr>
      <w:r>
        <w:t xml:space="preserve">The argument uses four simulations, each answering a different question. An idealized validation tests whether the four signatures, in principle, separate a bounded interaction group from its three mimics on large, clean synthetic assemblages (Figure S4). A record-matched recovery test assesses which signatures can detect a known, injected closure at the real record’s sample sizes and time-averaging (Figure 4). A positive control test, which generative process, neutral spatial drift, or bounded groups, reproduces the structure observed in the basin (Figure S5). A forward demonstration runs neutral drift on the real site geography with no boundary imposed, counts how many phase-like groups it produces, and checks whether the named phases exceed that number (Figures 8 and 9). The first two establish what the test can resolve on a record of this size; the second two identify which process the data match. We describe the validation and recovery here and the two drift simulations in the next subsection.</w:t>
      </w:r>
    </w:p>
    <w:p>
      <w:pPr>
        <w:pStyle w:val="BodyText"/>
      </w:pPr>
      <w:r>
        <w:t xml:space="preserve">We validated the test in two stages. The first establishes the principle. A generative model copies decorated variants under neutral transmission, the random-copying process in which learners reproduce variants in proportion to their current frequency</w:t>
      </w:r>
      <w:r>
        <w:t xml:space="preserve"> </w:t>
      </w:r>
      <w:r>
        <w:t xml:space="preserve">(Bentley et al. 2004; Neiman 1995)</w:t>
      </w:r>
      <w:r>
        <w:t xml:space="preserve">, with three tunable controls: the between-group divergence of class profiles, the strength of within-group conformity, and a spatial rule placing group profiles on the landscape. Four generators instantiate the four idealized processes of Table 1, the bounded group and its three mimics</w:t>
      </w:r>
      <w:r>
        <w:t xml:space="preserve"> </w:t>
      </w:r>
      <w:r>
        <w:t xml:space="preserve">(Mesoudi 2021)</w:t>
      </w:r>
      <w:r>
        <w:t xml:space="preserve">. Run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The recovery test is generative: we built synthetic pottery records in which we controlled whether group structure was emerging, dialed from none to strong, and then asked whether our four measures could see it. The synthetic records were matched to the real ones: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injected a known group-closure signal of tunable strength s (between-group divergence and within-group conformity rising together along the sequence to a maximum of s), and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Assemblage sample size trends with seriation position (Spearman rho = +0.59), and several signatures are size-sensitive so that a size-dependent estimator can rise or fall along the axis through sampling alone. We therefore subsample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7"/>
    <w:bookmarkStart w:id="28"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under a fixed innovation rate, with deposition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(1954)</w:t>
      </w:r>
      <w:r>
        <w:t xml:space="preserve">, digitized from the survey tables. We georeferenced both the Phillips-Ford-Griffin and the Williams assemblages using their Lower Mississippi Survey grid designations against the digitized survey point files, so that the two regions share a single coordinate frame. Decorated classes were harmonized between the two typologies, both rooted in the Phillips-Ford-Griffin framework, into a common vocabulary, and the between-region comparison was run both on all decorated classes and on the classes shared by the two typologies (Supplemental Text).</w:t>
      </w:r>
    </w:p>
    <w:p>
      <w:pPr>
        <w:pStyle w:val="BodyText"/>
      </w:pPr>
      <w:r>
        <w:t xml:space="preserve">The same neutral-drift model is also run forward to produce the phase-like groups of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across 500 runs,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8"/>
    <w:bookmarkStart w:id="29"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And we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29"/>
    <w:bookmarkEnd w:id="30"/>
    <w:bookmarkStart w:id="43"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while drift and the other mimics each move only a characteristic subset.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The injected strength s runs from 0 (pure drift) to 1 (strong,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2" name="Picture"/>
            <a:graphic>
              <a:graphicData uri="http://schemas.openxmlformats.org/drawingml/2006/picture">
                <pic:pic>
                  <pic:nvPicPr>
                    <pic:cNvPr descr="../../figures/fig4_recovery.png" id="33" name="Picture"/>
                    <pic:cNvPicPr>
                      <a:picLocks noChangeArrowheads="1" noChangeAspect="1"/>
                    </pic:cNvPicPr>
                  </pic:nvPicPr>
                  <pic:blipFill>
                    <a:blip r:embed="rId31"/>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every assemblage is trimmed to a common sherd count by subsampling, cultural F_ST falls from a raw +0.60 to +0.01. Its uncertainty range runs from no closure to a moderate signal, so it is uninformative rather than a resolved positive. The neutrality departure is likewise size-sensitive (its raw -0.94 only weakens to -0.83 under size control). The recovery shows that it does not track closure in either direction here, so it, too, cannot be interpreted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The result is therefore not only that no bounded group is detectable, but that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5" name="Picture"/>
            <a:graphic>
              <a:graphicData uri="http://schemas.openxmlformats.org/drawingml/2006/picture">
                <pic:pic>
                  <pic:nvPicPr>
                    <pic:cNvPr descr="../../figures/fig5_empirical_trajectory.png" id="36" name="Picture"/>
                    <pic:cNvPicPr>
                      <a:picLocks noChangeArrowheads="1" noChangeAspect="1"/>
                    </pic:cNvPicPr>
                  </pic:nvPicPr>
                  <pic:blipFill>
                    <a:blip r:embed="rId34"/>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and the more diverse assemblages are the more central ones, the pattern drift produces in a single shared community (Figure S1)</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 decaying over distance and the record’s time-averaging imposed, and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predicting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w:t>
      </w:r>
      <w:r>
        <w:t xml:space="preserve"> </w:t>
      </w:r>
      <w:r>
        <w:t xml:space="preserve">(1998)</w:t>
      </w:r>
      <w:r>
        <w:t xml:space="preserve"> </w:t>
      </w:r>
      <w:r>
        <w:t xml:space="preserve">cluster analysis and ordination of the southeast-Missouri assemblages that define the regional phases found them failing as both groups and classes, with assemblages assigned to statistical clusters at random rather than segregating by phase.</w:t>
      </w:r>
    </w:p>
    <w:p>
      <w:pPr>
        <w:pStyle w:val="BodyText"/>
      </w:pPr>
      <w:r>
        <w:t xml:space="preserve">What it means for assemblages to be co-seriable is central to this signature, and the deterministic method is stricter than the seriations most archaeologists have in mind. In conventional practice, an analyst can almost always arrange a set of assemblages into an order in which class frequencies more or less rise and fall, treating the places where a class breaks that pattern as noise to be tolerated by eye. Deterministic frequency seriation removes that tolerance. It accepts an ordering only when every decorated class is at once unimodal, rising to a single peak and then falling away, and continuous, changing without an abrupt jump. It treats any break in a class’s rise and fall as disqualifying that ordering unless the break is small enough to be explained by sampling error in the counts</w:t>
      </w:r>
      <w:r>
        <w:t xml:space="preserve"> </w:t>
      </w:r>
      <w:r>
        <w:t xml:space="preserve">(Dunnell 1970; Lipo et al. 2015)</w:t>
      </w:r>
      <w:r>
        <w:t xml:space="preserve">. Where a conventional seriation would accept one rough ordering and move on, the deterministic method asks whether even one ordering can satisfy every class at once, and reports when none can. A single community drawing on a shared, drifting pool of designs meets that requirement under a single ordering. When learning is partitioned among groups, each with its own rise and fall of styles, no single ordering can hold every class unimodal at once, and the assemblages resolve into several mutually incompatible orderings. The departures a conventional seriation would dismiss as minor irregularities are, interpreted this way, the signature of more than one interaction community, and the number of maximal co-seriable groups, with the count of any one assemblage joins, measures that fragmentation directly</w:t>
      </w:r>
      <w:r>
        <w:t xml:space="preserve"> </w:t>
      </w:r>
      <w:r>
        <w:t xml:space="preserve">(Lipo et al. 1997)</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We interpret it differently: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8" name="Picture"/>
            <a:graphic>
              <a:graphicData uri="http://schemas.openxmlformats.org/drawingml/2006/picture">
                <pic:pic>
                  <pic:nvPicPr>
                    <pic:cNvPr descr="../../figures/fig6_idss_structure.png" id="39" name="Picture"/>
                    <pic:cNvPicPr>
                      <a:picLocks noChangeArrowheads="1" noChangeAspect="1"/>
                    </pic:cNvPicPr>
                  </pic:nvPicPr>
                  <pic:blipFill>
                    <a:blip r:embed="rId37"/>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Phyllis A. Morse 1990)</w:t>
      </w:r>
      <w:r>
        <w:t xml:space="preserve">, so we base the settlement comparison on recorded mound height rather than on mound area. Parkin’s roughly 17-acre site area would make it the largest center in the basin. That figure, however, is the total site area rather than the basal mound area on which the other sites are measured, so we treat it as indicative only.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1" name="Picture"/>
            <a:graphic>
              <a:graphicData uri="http://schemas.openxmlformats.org/drawingml/2006/picture">
                <pic:pic>
                  <pic:nvPicPr>
                    <pic:cNvPr descr="../../figures/fig7_ranksize.png" id="42" name="Picture"/>
                    <pic:cNvPicPr>
                      <a:picLocks noChangeArrowheads="1" noChangeAspect="1"/>
                    </pic:cNvPicPr>
                  </pic:nvPicPr>
                  <pic:blipFill>
                    <a:blip r:embed="rId40"/>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conclusion.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treat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3"/>
    <w:bookmarkStart w:id="56"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capacity-linked chert hoes was decentralized, with their exchange following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assemblages resemble their near neighbors more than their distant ones.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The decoupling has an independent precedent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whose number grows with geographic extent; restoring the staggered deposition ages collapses the count toward two time-defined groups, because assemblages caught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therefore, subdivide the valley more finely than the transmission structure supports. Where culture history draws seven bounded societies, drift on the geography yields at most a handful of coherent groupings, so most of the phase boundaries mark divisions a continuous interaction field does not carry. Whether any single named phase exceeds this drift expectation is a question we can now pose one phase at a time. That spatial and population structure, not population size, governs how drift partitions diversity in finite structured populations is established in both the cultural-transmission and population-genetics literatures</w:t>
      </w:r>
      <w:r>
        <w:t xml:space="preserve"> </w:t>
      </w:r>
      <w:r>
        <w:t xml:space="preserve">(Barton 1996; Premo 2016; Schneider et al. 2016; Wright 1943)</w:t>
      </w:r>
      <w:r>
        <w:t xml:space="preserve">. A localized neutral process is readily mistaken for biased transmission when diversity is taken at face value</w:t>
      </w:r>
      <w:r>
        <w:t xml:space="preserve"> </w:t>
      </w:r>
      <w:r>
        <w:t xml:space="preserve">(Premo and Scholnick 2011)</w:t>
      </w:r>
      <w:r>
        <w:t xml:space="preserve">. Structure shapes diversity under selective dynamics as well, through a different mechanism of maintenance and recombination</w:t>
      </w:r>
      <w:r>
        <w:t xml:space="preserve"> </w:t>
      </w:r>
      <w:r>
        <w:t xml:space="preserve">(Derex et al. 2018; Derex and Boyd 2016; Saxer et al. 2009)</w:t>
      </w:r>
      <w:r>
        <w:t xml:space="preserve">. The result is not contingent on a tuned parameter set. Across 432 runs spanning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S7 and S8).</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is whether the between-group cultural F_ST across the Parkin-versus-others partition exceeds the drift null. It sits at the extreme upper tail of the null and survives most single-site deletions. The contrast is nonetheless small: the null’s own tail reaches past it, and time-averaging, which deflates between-group variance, is not modeled in the null (Figure 9C, 9D). It is therefore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 title="" id="45" name="Picture"/>
            <a:graphic>
              <a:graphicData uri="http://schemas.openxmlformats.org/drawingml/2006/picture">
                <pic:pic>
                  <pic:nvPicPr>
                    <pic:cNvPr descr="../../figures/fig_lmv_drift_groups.png" id="46" name="Picture"/>
                    <pic:cNvPicPr>
                      <a:picLocks noChangeArrowheads="1" noChangeAspect="1"/>
                    </pic:cNvPicPr>
                  </pic:nvPicPr>
                  <pic:blipFill>
                    <a:blip r:embed="rId44"/>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8" name="Picture"/>
            <a:graphic>
              <a:graphicData uri="http://schemas.openxmlformats.org/drawingml/2006/picture">
                <pic:pic>
                  <pic:nvPicPr>
                    <pic:cNvPr descr="../../figures/figS8_basin_pullout.png" id="49" name="Picture"/>
                    <pic:cNvPicPr>
                      <a:picLocks noChangeArrowheads="1" noChangeAspect="1"/>
                    </pic:cNvPicPr>
                  </pic:nvPicPr>
                  <pic:blipFill>
                    <a:blip r:embed="rId47"/>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as well explained by control of movement and communication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drift-versus-groups comparison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subsampling every assemblage to a common count, which collapses the raw F_ST trend from +0.60 to +0.01. We calibrated the test on synthetic data matched to the record, in which F_ST recovers a moderate-strength closure (s of about 0.5, rising to 0.7 once the record’s time-averaging is imposed), while maintaining a false-positive rate of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that a record of 29 time-averaged assemblages is underpowered to resolve. We state the claim at that bound rather than beyond it. The other three signatures do not track closure reliably here. The neutral departure fails because it is non-monotonic in conformity and sensitive to sample size. The spatial boundary fails because the data support too few spatial clusters, and seriation coherence responds only weakly. We report them as corroboration rather than as independent confirmations. This reduction is a property of the record. When a known closure signal is injected instead through a within-group conformity pathway or a non-spatially-organized social-fragmentation pathway, neither the neutral nor the seriation signature recovers it either, so the three weak signatures fail at this resolution regardless of how closure is produced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Saying so is what licenses interpreting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interpreted as social, which signatures a given record can support and how strong a closure each could detect. On the Parkin record, it shows the test reducing to its single most robust component, cultural F_ST. We are explicit about what that costs. Had F_ST shown a positive trend, it alone could not have separated a real group from environmental patchiness, which also drives between-group variance (Table 1). On a positive result,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resists the drift interpretation, if only faintly, and deserves to be named rather than buried. The single place in the valley that carries a faint signal of structure beyond drift is the Parkin phase, and Parkin is the one monumental node, the largest mound, the palisade, the confluence position, the candidate Casqui. A center beginning to differentiate as a distinct node, rather than a finished bounded group, would leave just such a signal. This is what the origination stage of the two-regime model predicts: a local return generates a group-beneficial pattern at a node before assortment becomes binding and propagates into higher-level structure, with contact and the protohistoric depopulation truncating the sequence before it could consolidate. We do not claim this happened. The contrast is small, the drift null reaches past it, and the time-averaged surface record of eight Parkin-phase assemblages cannot support the claim. The possibility that Parkin was an incipient node nonetheless warrants direct investigation with data classes the present record lacks: stratified, excavated assemblages with independent radiocarbon, to test whether the differentiation grows through time rather than holding flat; compositional and petrographic sourcing of the ceramics, to test whether production and exchange were localizing on the center; and the non-ceramic lines,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to show whether economic and social differentiation track the ceramic hint or run independent of it. Whether Parkin was beginning to pull away from its neighbors, or sits where drift on the river network happens to concentrate interaction, is a question this record raises but cannot settle.</w:t>
      </w:r>
    </w:p>
    <w:p>
      <w:pPr>
        <w:pStyle w:val="BodyText"/>
      </w:pPr>
      <w:r>
        <w:t xml:space="preserve">The test also extends beyond the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Therefore,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separating into clusters. Between the two regions, a genuine discontinuity does appear. Across the roughly 50 km gap separating the central-valley and lower-valley assemblage clusters, decorated similarity declines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early-to-middle Mississippian, and the distinctive lower-valley classes are late</w:t>
      </w:r>
      <w:r>
        <w:t xml:space="preserve"> </w:t>
      </w:r>
      <w:r>
        <w:t xml:space="preserve">(Phillips 1970; Williams 1954)</w:t>
      </w:r>
      <w:r>
        <w:t xml:space="preserve">. The step at the boundary therefore cannot be separated from the early-to-late turnover of the repertoire with time-averaged surface assemblages. Resolving whether the inter-regional boundary is synchronic and social or a chronological succession would require independent radiocarbon control on the central-valley assemblages that the present compilation lacks. A second confound compounds the first. The lower-valley assemblages were collected and classified by Ford, later by Phillips, Ford, and Griffin. In contrast, the central-valley assemblages were collected and classified separately by Williams, so the two blocks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of the central Mississippi Valley: the southeast-Missouri survey of Williams (CMV, blue) and the lower-valley St. Francis basin Parkin-phase assemblages (LMV, orange), with the gap between the two clusters of assemblage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51" name="Picture"/>
            <a:graphic>
              <a:graphicData uri="http://schemas.openxmlformats.org/drawingml/2006/picture">
                <pic:pic>
                  <pic:nvPicPr>
                    <pic:cNvPr descr="../../figures/fig1_regional.png" id="52" name="Picture"/>
                    <pic:cNvPicPr>
                      <a:picLocks noChangeArrowheads="1" noChangeAspect="1"/>
                    </pic:cNvPicPr>
                  </pic:nvPicPr>
                  <pic:blipFill>
                    <a:blip r:embed="rId50"/>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assemblages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 title="" id="54" name="Picture"/>
            <a:graphic>
              <a:graphicData uri="http://schemas.openxmlformats.org/drawingml/2006/picture">
                <pic:pic>
                  <pic:nvPicPr>
                    <pic:cNvPr descr="../../figures/fig9_within_region.png" id="55" name="Picture"/>
                    <pic:cNvPicPr>
                      <a:picLocks noChangeArrowheads="1" noChangeAspect="1"/>
                    </pic:cNvPicPr>
                  </pic:nvPicPr>
                  <pic:blipFill>
                    <a:blip r:embed="rId53"/>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56"/>
    <w:bookmarkStart w:id="57"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No line of evidence, settlement, exchange, or ceramic transmission marks it as the apex of a polity. The greater similarity among nearby assemblages that defines the phase is reproduced by neutral drift on the basin’s geography, the ordinary residue of continuous interaction structured by where sites sit.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the discipline should weigh: a similarity cluster is not by itself a society, and before a phase is interpreted as a social group, the record must be shown able to tell a real interaction boundary from drift on geography.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7"/>
    <w:bookmarkStart w:id="58"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8"/>
    <w:bookmarkStart w:id="241" w:name="references"/>
    <w:p>
      <w:pPr>
        <w:pStyle w:val="Heading2"/>
      </w:pPr>
      <w:r>
        <w:t xml:space="preserve">References</w:t>
      </w:r>
    </w:p>
    <w:bookmarkStart w:id="240" w:name="refs"/>
    <w:bookmarkStart w:id="59"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59"/>
    <w:bookmarkStart w:id="61"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0">
        <w:r>
          <w:rPr>
            <w:rStyle w:val="Hyperlink"/>
          </w:rPr>
          <w:t xml:space="preserve">https://doi.org/10.1016/j.jaa.2006.08.002</w:t>
        </w:r>
      </w:hyperlink>
      <w:r>
        <w:t xml:space="preserve">.</w:t>
      </w:r>
    </w:p>
    <w:bookmarkEnd w:id="61"/>
    <w:bookmarkStart w:id="63"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2">
        <w:r>
          <w:rPr>
            <w:rStyle w:val="Hyperlink"/>
          </w:rPr>
          <w:t xml:space="preserve">https://doi.org/10.1016/j.beproc.2018.01.011</w:t>
        </w:r>
      </w:hyperlink>
      <w:r>
        <w:t xml:space="preserve">.</w:t>
      </w:r>
    </w:p>
    <w:bookmarkEnd w:id="63"/>
    <w:bookmarkStart w:id="65"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4">
        <w:r>
          <w:rPr>
            <w:rStyle w:val="Hyperlink"/>
          </w:rPr>
          <w:t xml:space="preserve">https://doi.org/10.1098/rstb.1996.0073</w:t>
        </w:r>
      </w:hyperlink>
      <w:r>
        <w:t xml:space="preserve">.</w:t>
      </w:r>
    </w:p>
    <w:bookmarkEnd w:id="65"/>
    <w:bookmarkStart w:id="66"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6"/>
    <w:bookmarkStart w:id="68"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7">
        <w:r>
          <w:rPr>
            <w:rStyle w:val="Hyperlink"/>
          </w:rPr>
          <w:t xml:space="preserve">https://doi.org/10.2307/3557066</w:t>
        </w:r>
      </w:hyperlink>
      <w:r>
        <w:t xml:space="preserve">.</w:t>
      </w:r>
    </w:p>
    <w:bookmarkEnd w:id="68"/>
    <w:bookmarkStart w:id="70"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69">
        <w:r>
          <w:rPr>
            <w:rStyle w:val="Hyperlink"/>
          </w:rPr>
          <w:t xml:space="preserve">https://doi.org/10.1017/S0094837300026907</w:t>
        </w:r>
      </w:hyperlink>
      <w:r>
        <w:t xml:space="preserve">.</w:t>
      </w:r>
    </w:p>
    <w:bookmarkEnd w:id="70"/>
    <w:bookmarkStart w:id="72"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1">
        <w:r>
          <w:rPr>
            <w:rStyle w:val="Hyperlink"/>
          </w:rPr>
          <w:t xml:space="preserve">https://doi.org/10.1073/pnas.0903232106</w:t>
        </w:r>
      </w:hyperlink>
      <w:r>
        <w:t xml:space="preserve">.</w:t>
      </w:r>
    </w:p>
    <w:bookmarkEnd w:id="72"/>
    <w:bookmarkStart w:id="74"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3">
        <w:r>
          <w:rPr>
            <w:rStyle w:val="Hyperlink"/>
          </w:rPr>
          <w:t xml:space="preserve">https://doi.org/10.1371/journal.pone.0003057</w:t>
        </w:r>
      </w:hyperlink>
      <w:r>
        <w:t xml:space="preserve">.</w:t>
      </w:r>
    </w:p>
    <w:bookmarkEnd w:id="74"/>
    <w:bookmarkStart w:id="76"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5">
        <w:r>
          <w:rPr>
            <w:rStyle w:val="Hyperlink"/>
          </w:rPr>
          <w:t xml:space="preserve">https://doi.org/10.1098/rspb.2004.2746</w:t>
        </w:r>
      </w:hyperlink>
      <w:r>
        <w:t xml:space="preserve">.</w:t>
      </w:r>
    </w:p>
    <w:bookmarkEnd w:id="76"/>
    <w:bookmarkStart w:id="77"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7"/>
    <w:bookmarkStart w:id="79"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8">
        <w:r>
          <w:rPr>
            <w:rStyle w:val="Hyperlink"/>
          </w:rPr>
          <w:t xml:space="preserve">https://doi.org/10.2307/2694206</w:t>
        </w:r>
      </w:hyperlink>
      <w:r>
        <w:t xml:space="preserve">.</w:t>
      </w:r>
    </w:p>
    <w:bookmarkEnd w:id="79"/>
    <w:bookmarkStart w:id="80"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0"/>
    <w:bookmarkStart w:id="82"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1">
        <w:r>
          <w:rPr>
            <w:rStyle w:val="Hyperlink"/>
          </w:rPr>
          <w:t xml:space="preserve">https://doi.org/10.1057/s41599-019-0295-9</w:t>
        </w:r>
      </w:hyperlink>
      <w:r>
        <w:t xml:space="preserve">.</w:t>
      </w:r>
    </w:p>
    <w:bookmarkEnd w:id="82"/>
    <w:bookmarkStart w:id="83"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3"/>
    <w:bookmarkStart w:id="84"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84"/>
    <w:bookmarkStart w:id="86" w:name="ref-cobb_etal_2024"/>
    <w:p>
      <w:pPr>
        <w:pStyle w:val="Bibliography"/>
      </w:pPr>
      <w:r>
        <w:t xml:space="preserve">Cobb, Charles R., Anthony M. Krus, Aaron Deter-Wolf, Kevin E. Smith, Edmond A. Boudreaux, and Brad R. Lieb. 2024. The Beginning of the End: Abandonment Micro-Histories in the</w:t>
      </w:r>
      <w:r>
        <w:t xml:space="preserve"> </w:t>
      </w:r>
      <w:r>
        <w:t xml:space="preserve">Mississippian</w:t>
      </w:r>
      <w:r>
        <w:t xml:space="preserve"> </w:t>
      </w:r>
      <w:r>
        <w:t xml:space="preserve">Vacant</w:t>
      </w:r>
      <w:r>
        <w:t xml:space="preserve"> </w:t>
      </w:r>
      <w:r>
        <w:t xml:space="preserve">Quarter</w:t>
      </w:r>
      <w:r>
        <w:t xml:space="preserve">.</w:t>
      </w:r>
      <w:r>
        <w:t xml:space="preserve"> </w:t>
      </w:r>
      <w:r>
        <w:rPr>
          <w:i/>
          <w:iCs/>
        </w:rPr>
        <w:t xml:space="preserve">Journal of Archaeological Method and Theory</w:t>
      </w:r>
      <w:r>
        <w:t xml:space="preserve"> </w:t>
      </w:r>
      <w:r>
        <w:t xml:space="preserve">31:619–643.</w:t>
      </w:r>
      <w:r>
        <w:t xml:space="preserve"> </w:t>
      </w:r>
      <w:hyperlink r:id="rId85">
        <w:r>
          <w:rPr>
            <w:rStyle w:val="Hyperlink"/>
          </w:rPr>
          <w:t xml:space="preserve">https://doi.org/10.1007/s10816-023-09613-w</w:t>
        </w:r>
      </w:hyperlink>
      <w:r>
        <w:t xml:space="preserve">.</w:t>
      </w:r>
    </w:p>
    <w:bookmarkEnd w:id="86"/>
    <w:bookmarkStart w:id="88"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7">
        <w:r>
          <w:rPr>
            <w:rStyle w:val="Hyperlink"/>
          </w:rPr>
          <w:t xml:space="preserve">https://doi.org/10.1057/s41599-020-00635-3</w:t>
        </w:r>
      </w:hyperlink>
      <w:r>
        <w:t xml:space="preserve">.</w:t>
      </w:r>
    </w:p>
    <w:bookmarkEnd w:id="88"/>
    <w:bookmarkStart w:id="90"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9">
        <w:r>
          <w:rPr>
            <w:rStyle w:val="Hyperlink"/>
          </w:rPr>
          <w:t xml:space="preserve">https://doi.org/10.1007/s10816-022-09599-x</w:t>
        </w:r>
      </w:hyperlink>
      <w:r>
        <w:t xml:space="preserve">.</w:t>
      </w:r>
    </w:p>
    <w:bookmarkEnd w:id="90"/>
    <w:bookmarkStart w:id="92"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91">
        <w:r>
          <w:rPr>
            <w:rStyle w:val="Hyperlink"/>
          </w:rPr>
          <w:t xml:space="preserve">https://doi.org/10.1016/j.jas.2014.07.014</w:t>
        </w:r>
      </w:hyperlink>
      <w:r>
        <w:t xml:space="preserve">.</w:t>
      </w:r>
    </w:p>
    <w:bookmarkEnd w:id="92"/>
    <w:bookmarkStart w:id="94"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3">
        <w:r>
          <w:rPr>
            <w:rStyle w:val="Hyperlink"/>
          </w:rPr>
          <w:t xml:space="preserve">https://doi.org/10.1038/srep39122</w:t>
        </w:r>
      </w:hyperlink>
      <w:r>
        <w:t xml:space="preserve">.</w:t>
      </w:r>
    </w:p>
    <w:bookmarkEnd w:id="94"/>
    <w:bookmarkStart w:id="96"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95">
        <w:r>
          <w:rPr>
            <w:rStyle w:val="Hyperlink"/>
          </w:rPr>
          <w:t xml:space="preserve">https://doi.org/10.1371/journal.pone.0041010</w:t>
        </w:r>
      </w:hyperlink>
      <w:r>
        <w:t xml:space="preserve">.</w:t>
      </w:r>
    </w:p>
    <w:bookmarkEnd w:id="96"/>
    <w:bookmarkStart w:id="98" w:name="ref-derex_boyd_2016"/>
    <w:p>
      <w:pPr>
        <w:pStyle w:val="Bibliography"/>
      </w:pPr>
      <w:r>
        <w:t xml:space="preserve">Derex, Maxime, and Robert Boyd. 2016. Partial Connectivity Increases Cultural Accumulation Within Groups.</w:t>
      </w:r>
      <w:r>
        <w:t xml:space="preserve"> </w:t>
      </w:r>
      <w:r>
        <w:rPr>
          <w:i/>
          <w:iCs/>
        </w:rPr>
        <w:t xml:space="preserve">Proceedings of the National Academy of Sciences</w:t>
      </w:r>
      <w:r>
        <w:t xml:space="preserve"> </w:t>
      </w:r>
      <w:r>
        <w:t xml:space="preserve">113(11):2982–2987.</w:t>
      </w:r>
      <w:r>
        <w:t xml:space="preserve"> </w:t>
      </w:r>
      <w:hyperlink r:id="rId97">
        <w:r>
          <w:rPr>
            <w:rStyle w:val="Hyperlink"/>
          </w:rPr>
          <w:t xml:space="preserve">https://doi.org/10.1073/pnas.1518798113</w:t>
        </w:r>
      </w:hyperlink>
      <w:r>
        <w:t xml:space="preserve">.</w:t>
      </w:r>
    </w:p>
    <w:bookmarkEnd w:id="98"/>
    <w:bookmarkStart w:id="100" w:name="ref-derex_perreault_boyd_2018"/>
    <w:p>
      <w:pPr>
        <w:pStyle w:val="Bibliography"/>
      </w:pPr>
      <w:r>
        <w:t xml:space="preserve">Derex, Maxime, Charles Perreault, and Robert Boyd. 2018. Divide and Conquer: Intermediate Levels of Population Fragmentation Maximize Cultural Accumulation.</w:t>
      </w:r>
      <w:r>
        <w:t xml:space="preserve"> </w:t>
      </w:r>
      <w:r>
        <w:rPr>
          <w:i/>
          <w:iCs/>
        </w:rPr>
        <w:t xml:space="preserve">Philosophical Transactions of the Royal Society B</w:t>
      </w:r>
      <w:r>
        <w:t xml:space="preserve"> </w:t>
      </w:r>
      <w:r>
        <w:t xml:space="preserve">373(1743):20170062.</w:t>
      </w:r>
      <w:r>
        <w:t xml:space="preserve"> </w:t>
      </w:r>
      <w:hyperlink r:id="rId99">
        <w:r>
          <w:rPr>
            <w:rStyle w:val="Hyperlink"/>
          </w:rPr>
          <w:t xml:space="preserve">https://doi.org/10.1098/rstb.2017.0062</w:t>
        </w:r>
      </w:hyperlink>
      <w:r>
        <w:t xml:space="preserve">.</w:t>
      </w:r>
    </w:p>
    <w:bookmarkEnd w:id="100"/>
    <w:bookmarkStart w:id="102"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01">
        <w:r>
          <w:rPr>
            <w:rStyle w:val="Hyperlink"/>
          </w:rPr>
          <w:t xml:space="preserve">https://doi.org/10.2307/278341</w:t>
        </w:r>
      </w:hyperlink>
      <w:r>
        <w:t xml:space="preserve">.</w:t>
      </w:r>
    </w:p>
    <w:bookmarkEnd w:id="102"/>
    <w:bookmarkStart w:id="104"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103">
        <w:r>
          <w:rPr>
            <w:rStyle w:val="Hyperlink"/>
          </w:rPr>
          <w:t xml:space="preserve">https://doi.org/10.2307/279244</w:t>
        </w:r>
      </w:hyperlink>
      <w:r>
        <w:t xml:space="preserve">.</w:t>
      </w:r>
    </w:p>
    <w:bookmarkEnd w:id="104"/>
    <w:bookmarkStart w:id="105"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05"/>
    <w:bookmarkStart w:id="106"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06"/>
    <w:bookmarkStart w:id="107"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7"/>
    <w:bookmarkStart w:id="109"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8">
        <w:r>
          <w:rPr>
            <w:rStyle w:val="Hyperlink"/>
          </w:rPr>
          <w:t xml:space="preserve">https://doi.org/10.1016/j.jaa.2005.08.001</w:t>
        </w:r>
      </w:hyperlink>
      <w:r>
        <w:t xml:space="preserve">.</w:t>
      </w:r>
    </w:p>
    <w:bookmarkEnd w:id="109"/>
    <w:bookmarkStart w:id="111"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10">
        <w:r>
          <w:rPr>
            <w:rStyle w:val="Hyperlink"/>
          </w:rPr>
          <w:t xml:space="preserve">https://doi.org/10.1007/s10814-007-9013-z</w:t>
        </w:r>
      </w:hyperlink>
      <w:r>
        <w:t xml:space="preserve">.</w:t>
      </w:r>
    </w:p>
    <w:bookmarkEnd w:id="111"/>
    <w:bookmarkStart w:id="112"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12"/>
    <w:bookmarkStart w:id="114"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13">
        <w:r>
          <w:rPr>
            <w:rStyle w:val="Hyperlink"/>
          </w:rPr>
          <w:t xml:space="preserve">https://doi.org/10.1534/genetics.113.158220</w:t>
        </w:r>
      </w:hyperlink>
      <w:r>
        <w:t xml:space="preserve">.</w:t>
      </w:r>
    </w:p>
    <w:bookmarkEnd w:id="114"/>
    <w:bookmarkStart w:id="116"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15">
        <w:r>
          <w:rPr>
            <w:rStyle w:val="Hyperlink"/>
          </w:rPr>
          <w:t xml:space="preserve">https://doi.org/10.1073/pnas.2418106121</w:t>
        </w:r>
      </w:hyperlink>
      <w:r>
        <w:t xml:space="preserve">.</w:t>
      </w:r>
    </w:p>
    <w:bookmarkEnd w:id="116"/>
    <w:bookmarkStart w:id="117"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7"/>
    <w:bookmarkStart w:id="118"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18"/>
    <w:bookmarkStart w:id="119"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9"/>
    <w:bookmarkStart w:id="120"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20"/>
    <w:bookmarkStart w:id="122"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21">
        <w:r>
          <w:rPr>
            <w:rStyle w:val="Hyperlink"/>
          </w:rPr>
          <w:t xml:space="preserve">https://doi.org/10.1525/aa.2001.103.4.992</w:t>
        </w:r>
      </w:hyperlink>
      <w:r>
        <w:t xml:space="preserve">.</w:t>
      </w:r>
    </w:p>
    <w:bookmarkEnd w:id="122"/>
    <w:bookmarkStart w:id="124"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23">
        <w:r>
          <w:rPr>
            <w:rStyle w:val="Hyperlink"/>
          </w:rPr>
          <w:t xml:space="preserve">https://doi.org/10.2307/4128416</w:t>
        </w:r>
      </w:hyperlink>
      <w:r>
        <w:t xml:space="preserve">.</w:t>
      </w:r>
    </w:p>
    <w:bookmarkEnd w:id="124"/>
    <w:bookmarkStart w:id="126"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25">
        <w:r>
          <w:rPr>
            <w:rStyle w:val="Hyperlink"/>
          </w:rPr>
          <w:t xml:space="preserve">https://doi.org/10.1016/S1090-5138(98)00018-X</w:t>
        </w:r>
      </w:hyperlink>
      <w:r>
        <w:t xml:space="preserve">.</w:t>
      </w:r>
    </w:p>
    <w:bookmarkEnd w:id="126"/>
    <w:bookmarkStart w:id="127"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7"/>
    <w:bookmarkStart w:id="129"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8">
        <w:r>
          <w:rPr>
            <w:rStyle w:val="Hyperlink"/>
          </w:rPr>
          <w:t xml:space="preserve">https://doi.org/10.1017/aap.2021.10</w:t>
        </w:r>
      </w:hyperlink>
      <w:r>
        <w:t xml:space="preserve">.</w:t>
      </w:r>
    </w:p>
    <w:bookmarkEnd w:id="129"/>
    <w:bookmarkStart w:id="130"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30"/>
    <w:bookmarkStart w:id="131"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31"/>
    <w:bookmarkStart w:id="132"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32"/>
    <w:bookmarkStart w:id="134"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33">
        <w:r>
          <w:rPr>
            <w:rStyle w:val="Hyperlink"/>
          </w:rPr>
          <w:t xml:space="preserve">https://doi.org/10.1666/05070.1</w:t>
        </w:r>
      </w:hyperlink>
      <w:r>
        <w:t xml:space="preserve">.</w:t>
      </w:r>
    </w:p>
    <w:bookmarkEnd w:id="134"/>
    <w:bookmarkStart w:id="136"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35">
        <w:r>
          <w:rPr>
            <w:rStyle w:val="Hyperlink"/>
          </w:rPr>
          <w:t xml:space="preserve">https://doi.org/10.1111/j.1558-5646.2007.00310.x</w:t>
        </w:r>
      </w:hyperlink>
      <w:r>
        <w:t xml:space="preserve">.</w:t>
      </w:r>
    </w:p>
    <w:bookmarkEnd w:id="136"/>
    <w:bookmarkStart w:id="137"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7"/>
    <w:bookmarkStart w:id="139"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8">
        <w:r>
          <w:rPr>
            <w:rStyle w:val="Hyperlink"/>
          </w:rPr>
          <w:t xml:space="preserve">https://doi.org/10.1016/j.jtbi.2013.03.006</w:t>
        </w:r>
      </w:hyperlink>
      <w:r>
        <w:t xml:space="preserve">.</w:t>
      </w:r>
    </w:p>
    <w:bookmarkEnd w:id="139"/>
    <w:bookmarkStart w:id="141"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40">
        <w:r>
          <w:rPr>
            <w:rStyle w:val="Hyperlink"/>
          </w:rPr>
          <w:t xml:space="preserve">https://doi.org/10.1098/rsif.2015.0905</w:t>
        </w:r>
      </w:hyperlink>
      <w:r>
        <w:t xml:space="preserve">.</w:t>
      </w:r>
    </w:p>
    <w:bookmarkEnd w:id="141"/>
    <w:bookmarkStart w:id="143"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42">
        <w:r>
          <w:rPr>
            <w:rStyle w:val="Hyperlink"/>
          </w:rPr>
          <w:t xml:space="preserve">https://doi.org/10.1098/rsos.170949</w:t>
        </w:r>
      </w:hyperlink>
      <w:r>
        <w:t xml:space="preserve">.</w:t>
      </w:r>
    </w:p>
    <w:bookmarkEnd w:id="143"/>
    <w:bookmarkStart w:id="145"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44">
        <w:r>
          <w:rPr>
            <w:rStyle w:val="Hyperlink"/>
          </w:rPr>
          <w:t xml:space="preserve">https://doi.org/10.1146/annurev-ecolsys-110512-135838</w:t>
        </w:r>
      </w:hyperlink>
      <w:r>
        <w:t xml:space="preserve">.</w:t>
      </w:r>
    </w:p>
    <w:bookmarkEnd w:id="145"/>
    <w:bookmarkStart w:id="146"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6"/>
    <w:bookmarkStart w:id="148"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7">
        <w:r>
          <w:rPr>
            <w:rStyle w:val="Hyperlink"/>
          </w:rPr>
          <w:t xml:space="preserve">https://doi.org/10.2307/2694529</w:t>
        </w:r>
      </w:hyperlink>
      <w:r>
        <w:t xml:space="preserve">.</w:t>
      </w:r>
    </w:p>
    <w:bookmarkEnd w:id="148"/>
    <w:bookmarkStart w:id="149"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9"/>
    <w:bookmarkStart w:id="150"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50"/>
    <w:bookmarkStart w:id="152"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51">
        <w:r>
          <w:rPr>
            <w:rStyle w:val="Hyperlink"/>
          </w:rPr>
          <w:t xml:space="preserve">https://doi.org/10.1371/journal.pone.0250690</w:t>
        </w:r>
      </w:hyperlink>
      <w:r>
        <w:t xml:space="preserve">.</w:t>
      </w:r>
    </w:p>
    <w:bookmarkEnd w:id="152"/>
    <w:bookmarkStart w:id="153"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53"/>
    <w:bookmarkStart w:id="155"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54">
        <w:r>
          <w:rPr>
            <w:rStyle w:val="Hyperlink"/>
          </w:rPr>
          <w:t xml:space="preserve">https://doi.org/10.1016/j.jas.2010.05.015</w:t>
        </w:r>
      </w:hyperlink>
      <w:r>
        <w:t xml:space="preserve">.</w:t>
      </w:r>
    </w:p>
    <w:bookmarkEnd w:id="155"/>
    <w:bookmarkStart w:id="157"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6">
        <w:r>
          <w:rPr>
            <w:rStyle w:val="Hyperlink"/>
          </w:rPr>
          <w:t xml:space="preserve">https://doi.org/10.1371/journal.pone.0124942</w:t>
        </w:r>
      </w:hyperlink>
      <w:r>
        <w:t xml:space="preserve">.</w:t>
      </w:r>
    </w:p>
    <w:bookmarkEnd w:id="157"/>
    <w:bookmarkStart w:id="159"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8">
        <w:r>
          <w:rPr>
            <w:rStyle w:val="Hyperlink"/>
          </w:rPr>
          <w:t xml:space="preserve">https://doi.org/10.1006/jaar.1997.0314</w:t>
        </w:r>
      </w:hyperlink>
      <w:r>
        <w:t xml:space="preserve">.</w:t>
      </w:r>
    </w:p>
    <w:bookmarkEnd w:id="159"/>
    <w:bookmarkStart w:id="161"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60">
        <w:r>
          <w:rPr>
            <w:rStyle w:val="Hyperlink"/>
          </w:rPr>
          <w:t xml:space="preserve">https://doi.org/10.1073/pnas.1818346116</w:t>
        </w:r>
      </w:hyperlink>
      <w:r>
        <w:t xml:space="preserve">.</w:t>
      </w:r>
    </w:p>
    <w:bookmarkEnd w:id="161"/>
    <w:bookmarkStart w:id="163"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62">
        <w:r>
          <w:rPr>
            <w:rStyle w:val="Hyperlink"/>
          </w:rPr>
          <w:t xml:space="preserve">https://doi.org/10.1016/j.jas.2021.105412</w:t>
        </w:r>
      </w:hyperlink>
      <w:r>
        <w:t xml:space="preserve">.</w:t>
      </w:r>
    </w:p>
    <w:bookmarkEnd w:id="163"/>
    <w:bookmarkStart w:id="164" w:name="ref-madsen_2012"/>
    <w:p>
      <w:pPr>
        <w:pStyle w:val="Bibliography"/>
      </w:pPr>
      <w:r>
        <w:t xml:space="preserve">Madsen, Mark E. 2012. Neutral Cultural Transmission in Time-Averaged Archaeological Assemblages. arXiv preprint arXiv:1204.2043 [physics.soc-ph].</w:t>
      </w:r>
    </w:p>
    <w:bookmarkEnd w:id="164"/>
    <w:bookmarkStart w:id="165"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5"/>
    <w:bookmarkStart w:id="166"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6"/>
    <w:bookmarkStart w:id="167"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7"/>
    <w:bookmarkStart w:id="168"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8"/>
    <w:bookmarkStart w:id="169"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9"/>
    <w:bookmarkStart w:id="170"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70"/>
    <w:bookmarkStart w:id="171"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71"/>
    <w:bookmarkStart w:id="173"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72">
        <w:r>
          <w:rPr>
            <w:rStyle w:val="Hyperlink"/>
          </w:rPr>
          <w:t xml:space="preserve">https://doi.org/10.1080/20548923.2018.1504490</w:t>
        </w:r>
      </w:hyperlink>
      <w:r>
        <w:t xml:space="preserve">.</w:t>
      </w:r>
    </w:p>
    <w:bookmarkEnd w:id="173"/>
    <w:bookmarkStart w:id="174"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74"/>
    <w:bookmarkStart w:id="175"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5"/>
    <w:bookmarkStart w:id="176"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6"/>
    <w:bookmarkStart w:id="177"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7"/>
    <w:bookmarkStart w:id="178"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8"/>
    <w:bookmarkStart w:id="179"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9"/>
    <w:bookmarkStart w:id="180"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80"/>
    <w:bookmarkStart w:id="182"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81">
        <w:r>
          <w:rPr>
            <w:rStyle w:val="Hyperlink"/>
          </w:rPr>
          <w:t xml:space="preserve">https://doi.org/10.1098/rstb.2016.0426</w:t>
        </w:r>
      </w:hyperlink>
      <w:r>
        <w:t xml:space="preserve">.</w:t>
      </w:r>
    </w:p>
    <w:bookmarkEnd w:id="182"/>
    <w:bookmarkStart w:id="184"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83">
        <w:r>
          <w:rPr>
            <w:rStyle w:val="Hyperlink"/>
          </w:rPr>
          <w:t xml:space="preserve">https://doi.org/10.2307/279066</w:t>
        </w:r>
      </w:hyperlink>
      <w:r>
        <w:t xml:space="preserve">.</w:t>
      </w:r>
    </w:p>
    <w:bookmarkEnd w:id="184"/>
    <w:bookmarkStart w:id="186"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5">
        <w:r>
          <w:rPr>
            <w:rStyle w:val="Hyperlink"/>
          </w:rPr>
          <w:t xml:space="preserve">https://doi.org/10.1016/j.jas.2012.04.040</w:t>
        </w:r>
      </w:hyperlink>
      <w:r>
        <w:t xml:space="preserve">.</w:t>
      </w:r>
    </w:p>
    <w:bookmarkEnd w:id="186"/>
    <w:bookmarkStart w:id="188"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7">
        <w:r>
          <w:rPr>
            <w:rStyle w:val="Hyperlink"/>
          </w:rPr>
          <w:t xml:space="preserve">https://doi.org/10.1007/s10816-018-9364-4</w:t>
        </w:r>
      </w:hyperlink>
      <w:r>
        <w:t xml:space="preserve">.</w:t>
      </w:r>
    </w:p>
    <w:bookmarkEnd w:id="188"/>
    <w:bookmarkStart w:id="189"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9"/>
    <w:bookmarkStart w:id="190"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90"/>
    <w:bookmarkStart w:id="191"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91"/>
    <w:bookmarkStart w:id="193"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92">
        <w:r>
          <w:rPr>
            <w:rStyle w:val="Hyperlink"/>
          </w:rPr>
          <w:t xml:space="preserve">https://doi.org/10.1525/aa.1953.55.5.02a00030</w:t>
        </w:r>
      </w:hyperlink>
      <w:r>
        <w:t xml:space="preserve">.</w:t>
      </w:r>
    </w:p>
    <w:bookmarkEnd w:id="193"/>
    <w:bookmarkStart w:id="195"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4">
        <w:r>
          <w:rPr>
            <w:rStyle w:val="Hyperlink"/>
          </w:rPr>
          <w:t xml:space="preserve">https://doi.org/10.1126/science.1170165</w:t>
        </w:r>
      </w:hyperlink>
      <w:r>
        <w:t xml:space="preserve">.</w:t>
      </w:r>
    </w:p>
    <w:bookmarkEnd w:id="195"/>
    <w:bookmarkStart w:id="197"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6">
        <w:r>
          <w:rPr>
            <w:rStyle w:val="Hyperlink"/>
          </w:rPr>
          <w:t xml:space="preserve">https://doi.org/10.1086/674873</w:t>
        </w:r>
      </w:hyperlink>
      <w:r>
        <w:t xml:space="preserve">.</w:t>
      </w:r>
    </w:p>
    <w:bookmarkEnd w:id="197"/>
    <w:bookmarkStart w:id="199"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8">
        <w:r>
          <w:rPr>
            <w:rStyle w:val="Hyperlink"/>
          </w:rPr>
          <w:t xml:space="preserve">https://doi.org/10.7183/0002-7316.81.4.605</w:t>
        </w:r>
      </w:hyperlink>
      <w:r>
        <w:t xml:space="preserve">.</w:t>
      </w:r>
    </w:p>
    <w:bookmarkEnd w:id="199"/>
    <w:bookmarkStart w:id="201"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200">
        <w:r>
          <w:rPr>
            <w:rStyle w:val="Hyperlink"/>
          </w:rPr>
          <w:t xml:space="preserve">https://doi.org/10.7183/0002-7316.76.1.163</w:t>
        </w:r>
      </w:hyperlink>
      <w:r>
        <w:t xml:space="preserve">.</w:t>
      </w:r>
    </w:p>
    <w:bookmarkEnd w:id="201"/>
    <w:bookmarkStart w:id="202"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202"/>
    <w:bookmarkStart w:id="204"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3">
        <w:r>
          <w:rPr>
            <w:rStyle w:val="Hyperlink"/>
          </w:rPr>
          <w:t xml:space="preserve">https://doi.org/10.1017/RDC.2020.41</w:t>
        </w:r>
      </w:hyperlink>
      <w:r>
        <w:t xml:space="preserve">.</w:t>
      </w:r>
    </w:p>
    <w:bookmarkEnd w:id="204"/>
    <w:bookmarkStart w:id="206"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5">
        <w:r>
          <w:rPr>
            <w:rStyle w:val="Hyperlink"/>
          </w:rPr>
          <w:t xml:space="preserve">https://doi.org/10.1017/S0140525X1400106X</w:t>
        </w:r>
      </w:hyperlink>
      <w:r>
        <w:t xml:space="preserve">.</w:t>
      </w:r>
    </w:p>
    <w:bookmarkEnd w:id="206"/>
    <w:bookmarkStart w:id="208"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7">
        <w:r>
          <w:rPr>
            <w:rStyle w:val="Hyperlink"/>
          </w:rPr>
          <w:t xml:space="preserve">https://doi.org/10.1057/s41599-019-0260-7</w:t>
        </w:r>
      </w:hyperlink>
      <w:r>
        <w:t xml:space="preserve">.</w:t>
      </w:r>
    </w:p>
    <w:bookmarkEnd w:id="208"/>
    <w:bookmarkStart w:id="209"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9"/>
    <w:bookmarkStart w:id="210"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10"/>
    <w:bookmarkStart w:id="212" w:name="ref-saxer_doebeli_travisano_2009"/>
    <w:p>
      <w:pPr>
        <w:pStyle w:val="Bibliography"/>
      </w:pPr>
      <w:r>
        <w:t xml:space="preserve">Saxer, Gerda, Michael Doebeli, and Michael Travisano. 2009. Spatial Structure Leads to Ecological Breakdown and Loss of Diversity.</w:t>
      </w:r>
      <w:r>
        <w:t xml:space="preserve"> </w:t>
      </w:r>
      <w:r>
        <w:rPr>
          <w:i/>
          <w:iCs/>
        </w:rPr>
        <w:t xml:space="preserve">Proceedings of the Royal Society B: Biological Sciences</w:t>
      </w:r>
      <w:r>
        <w:t xml:space="preserve"> </w:t>
      </w:r>
      <w:r>
        <w:t xml:space="preserve">276(1664):2065–2070.</w:t>
      </w:r>
      <w:r>
        <w:t xml:space="preserve"> </w:t>
      </w:r>
      <w:hyperlink r:id="rId211">
        <w:r>
          <w:rPr>
            <w:rStyle w:val="Hyperlink"/>
          </w:rPr>
          <w:t xml:space="preserve">https://doi.org/10.1098/rspb.2008.1827</w:t>
        </w:r>
      </w:hyperlink>
      <w:r>
        <w:t xml:space="preserve">.</w:t>
      </w:r>
    </w:p>
    <w:bookmarkEnd w:id="212"/>
    <w:bookmarkStart w:id="214"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213">
        <w:r>
          <w:rPr>
            <w:rStyle w:val="Hyperlink"/>
          </w:rPr>
          <w:t xml:space="preserve">https://doi.org/10.1038/nature08227</w:t>
        </w:r>
      </w:hyperlink>
      <w:r>
        <w:t xml:space="preserve">.</w:t>
      </w:r>
    </w:p>
    <w:bookmarkEnd w:id="214"/>
    <w:bookmarkStart w:id="215"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15"/>
    <w:bookmarkStart w:id="217"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16">
        <w:r>
          <w:rPr>
            <w:rStyle w:val="Hyperlink"/>
          </w:rPr>
          <w:t xml:space="preserve">https://doi.org/10.1016/j.jtbi.2016.04.024</w:t>
        </w:r>
      </w:hyperlink>
      <w:r>
        <w:t xml:space="preserve">.</w:t>
      </w:r>
    </w:p>
    <w:bookmarkEnd w:id="217"/>
    <w:bookmarkStart w:id="219"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8">
        <w:r>
          <w:rPr>
            <w:rStyle w:val="Hyperlink"/>
          </w:rPr>
          <w:t xml:space="preserve">https://doi.org/10.1016/j.evolhumbehav.2014.09.006</w:t>
        </w:r>
      </w:hyperlink>
      <w:r>
        <w:t xml:space="preserve">.</w:t>
      </w:r>
    </w:p>
    <w:bookmarkEnd w:id="219"/>
    <w:bookmarkStart w:id="220"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20"/>
    <w:bookmarkStart w:id="221"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21"/>
    <w:bookmarkStart w:id="222"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22"/>
    <w:bookmarkStart w:id="223"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23"/>
    <w:bookmarkStart w:id="225"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24">
        <w:r>
          <w:rPr>
            <w:rStyle w:val="Hyperlink"/>
          </w:rPr>
          <w:t xml:space="preserve">https://doi.org/10.1006/jhev.1994.1037</w:t>
        </w:r>
      </w:hyperlink>
      <w:r>
        <w:t xml:space="preserve">.</w:t>
      </w:r>
    </w:p>
    <w:bookmarkEnd w:id="225"/>
    <w:bookmarkStart w:id="227"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26">
        <w:r>
          <w:rPr>
            <w:rStyle w:val="Hyperlink"/>
          </w:rPr>
          <w:t xml:space="preserve">https://doi.org/10.1017/aaq.2024.1</w:t>
        </w:r>
      </w:hyperlink>
      <w:r>
        <w:t xml:space="preserve">.</w:t>
      </w:r>
    </w:p>
    <w:bookmarkEnd w:id="227"/>
    <w:bookmarkStart w:id="228"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8"/>
    <w:bookmarkStart w:id="230"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9">
        <w:r>
          <w:rPr>
            <w:rStyle w:val="Hyperlink"/>
          </w:rPr>
          <w:t xml:space="preserve">https://doi.org/10.1086/651661</w:t>
        </w:r>
      </w:hyperlink>
      <w:r>
        <w:t xml:space="preserve">.</w:t>
      </w:r>
    </w:p>
    <w:bookmarkEnd w:id="230"/>
    <w:bookmarkStart w:id="231"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31"/>
    <w:bookmarkStart w:id="232" w:name="ref-williams_1954"/>
    <w:p>
      <w:pPr>
        <w:pStyle w:val="Bibliography"/>
      </w:pPr>
      <w:r>
        <w:t xml:space="preserve">Williams, Stephen. 1954. An Archeological Study of the Mississippian Culture in Southeast Missouri. PhD thesis, Yale University, New Haven.</w:t>
      </w:r>
    </w:p>
    <w:bookmarkEnd w:id="232"/>
    <w:bookmarkStart w:id="233"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33"/>
    <w:bookmarkStart w:id="235"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34">
        <w:r>
          <w:rPr>
            <w:rStyle w:val="Hyperlink"/>
          </w:rPr>
          <w:t xml:space="preserve">https://doi.org/10.1093/genetics/28.2.114</w:t>
        </w:r>
      </w:hyperlink>
      <w:r>
        <w:t xml:space="preserve">.</w:t>
      </w:r>
    </w:p>
    <w:bookmarkEnd w:id="235"/>
    <w:bookmarkStart w:id="237"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36">
        <w:r>
          <w:rPr>
            <w:rStyle w:val="Hyperlink"/>
          </w:rPr>
          <w:t xml:space="preserve">https://doi.org/10.1111/j.1469-1809.1949.tb02451.x</w:t>
        </w:r>
      </w:hyperlink>
      <w:r>
        <w:t xml:space="preserve">.</w:t>
      </w:r>
    </w:p>
    <w:bookmarkEnd w:id="237"/>
    <w:bookmarkStart w:id="239"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38">
        <w:r>
          <w:rPr>
            <w:rStyle w:val="Hyperlink"/>
          </w:rPr>
          <w:t xml:space="preserve">https://doi.org/10.1017/ehs.2023.5</w:t>
        </w:r>
      </w:hyperlink>
      <w:r>
        <w:t xml:space="preserve">.</w:t>
      </w:r>
    </w:p>
    <w:bookmarkEnd w:id="239"/>
    <w:bookmarkEnd w:id="240"/>
    <w:bookmarkEnd w:id="241"/>
    <w:bookmarkEnd w:id="2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50" Target="media/rId50.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hyperlink" Id="rId158" Target="https://doi.org/10.1006/jaar.1997.0314" TargetMode="External" /><Relationship Type="http://schemas.openxmlformats.org/officeDocument/2006/relationships/hyperlink" Id="rId224" Target="https://doi.org/10.1006/jhev.1994.1037" TargetMode="External" /><Relationship Type="http://schemas.openxmlformats.org/officeDocument/2006/relationships/hyperlink" Id="rId110" Target="https://doi.org/10.1007/s10814-007-9013-z" TargetMode="External" /><Relationship Type="http://schemas.openxmlformats.org/officeDocument/2006/relationships/hyperlink" Id="rId187" Target="https://doi.org/10.1007/s10816-018-9364-4" TargetMode="External" /><Relationship Type="http://schemas.openxmlformats.org/officeDocument/2006/relationships/hyperlink" Id="rId89" Target="https://doi.org/10.1007/s10816-022-09599-x" TargetMode="External" /><Relationship Type="http://schemas.openxmlformats.org/officeDocument/2006/relationships/hyperlink" Id="rId85" Target="https://doi.org/10.1007/s10816-023-09613-w" TargetMode="External" /><Relationship Type="http://schemas.openxmlformats.org/officeDocument/2006/relationships/hyperlink" Id="rId125" Target="https://doi.org/10.1016/S1090-5138(98)00018-X" TargetMode="External" /><Relationship Type="http://schemas.openxmlformats.org/officeDocument/2006/relationships/hyperlink" Id="rId62" Target="https://doi.org/10.1016/j.beproc.2018.01.011" TargetMode="External" /><Relationship Type="http://schemas.openxmlformats.org/officeDocument/2006/relationships/hyperlink" Id="rId218" Target="https://doi.org/10.1016/j.evolhumbehav.2014.09.006" TargetMode="External" /><Relationship Type="http://schemas.openxmlformats.org/officeDocument/2006/relationships/hyperlink" Id="rId108" Target="https://doi.org/10.1016/j.jaa.2005.08.001" TargetMode="External" /><Relationship Type="http://schemas.openxmlformats.org/officeDocument/2006/relationships/hyperlink" Id="rId60" Target="https://doi.org/10.1016/j.jaa.2006.08.002" TargetMode="External" /><Relationship Type="http://schemas.openxmlformats.org/officeDocument/2006/relationships/hyperlink" Id="rId154" Target="https://doi.org/10.1016/j.jas.2010.05.015" TargetMode="External" /><Relationship Type="http://schemas.openxmlformats.org/officeDocument/2006/relationships/hyperlink" Id="rId185" Target="https://doi.org/10.1016/j.jas.2012.04.040" TargetMode="External" /><Relationship Type="http://schemas.openxmlformats.org/officeDocument/2006/relationships/hyperlink" Id="rId91" Target="https://doi.org/10.1016/j.jas.2014.07.014" TargetMode="External" /><Relationship Type="http://schemas.openxmlformats.org/officeDocument/2006/relationships/hyperlink" Id="rId162" Target="https://doi.org/10.1016/j.jas.2021.105412" TargetMode="External" /><Relationship Type="http://schemas.openxmlformats.org/officeDocument/2006/relationships/hyperlink" Id="rId138" Target="https://doi.org/10.1016/j.jtbi.2013.03.006" TargetMode="External" /><Relationship Type="http://schemas.openxmlformats.org/officeDocument/2006/relationships/hyperlink" Id="rId216" Target="https://doi.org/10.1016/j.jtbi.2016.04.024" TargetMode="External" /><Relationship Type="http://schemas.openxmlformats.org/officeDocument/2006/relationships/hyperlink" Id="rId203" Target="https://doi.org/10.1017/RDC.2020.41" TargetMode="External" /><Relationship Type="http://schemas.openxmlformats.org/officeDocument/2006/relationships/hyperlink" Id="rId69" Target="https://doi.org/10.1017/S0094837300026907" TargetMode="External" /><Relationship Type="http://schemas.openxmlformats.org/officeDocument/2006/relationships/hyperlink" Id="rId205" Target="https://doi.org/10.1017/S0140525X1400106X" TargetMode="External" /><Relationship Type="http://schemas.openxmlformats.org/officeDocument/2006/relationships/hyperlink" Id="rId128" Target="https://doi.org/10.1017/aap.2021.10" TargetMode="External" /><Relationship Type="http://schemas.openxmlformats.org/officeDocument/2006/relationships/hyperlink" Id="rId226" Target="https://doi.org/10.1017/aaq.2024.1" TargetMode="External" /><Relationship Type="http://schemas.openxmlformats.org/officeDocument/2006/relationships/hyperlink" Id="rId238" Target="https://doi.org/10.1017/ehs.2023.5" TargetMode="External" /><Relationship Type="http://schemas.openxmlformats.org/officeDocument/2006/relationships/hyperlink" Id="rId213" Target="https://doi.org/10.1038/nature08227" TargetMode="External" /><Relationship Type="http://schemas.openxmlformats.org/officeDocument/2006/relationships/hyperlink" Id="rId93" Target="https://doi.org/10.1038/srep39122" TargetMode="External" /><Relationship Type="http://schemas.openxmlformats.org/officeDocument/2006/relationships/hyperlink" Id="rId207" Target="https://doi.org/10.1057/s41599-019-0260-7" TargetMode="External" /><Relationship Type="http://schemas.openxmlformats.org/officeDocument/2006/relationships/hyperlink" Id="rId81" Target="https://doi.org/10.1057/s41599-019-0295-9" TargetMode="External" /><Relationship Type="http://schemas.openxmlformats.org/officeDocument/2006/relationships/hyperlink" Id="rId87" Target="https://doi.org/10.1057/s41599-020-00635-3" TargetMode="External" /><Relationship Type="http://schemas.openxmlformats.org/officeDocument/2006/relationships/hyperlink" Id="rId71" Target="https://doi.org/10.1073/pnas.0903232106" TargetMode="External" /><Relationship Type="http://schemas.openxmlformats.org/officeDocument/2006/relationships/hyperlink" Id="rId97" Target="https://doi.org/10.1073/pnas.1518798113" TargetMode="External" /><Relationship Type="http://schemas.openxmlformats.org/officeDocument/2006/relationships/hyperlink" Id="rId160" Target="https://doi.org/10.1073/pnas.1818346116" TargetMode="External" /><Relationship Type="http://schemas.openxmlformats.org/officeDocument/2006/relationships/hyperlink" Id="rId115" Target="https://doi.org/10.1073/pnas.2418106121" TargetMode="External" /><Relationship Type="http://schemas.openxmlformats.org/officeDocument/2006/relationships/hyperlink" Id="rId172" Target="https://doi.org/10.1080/20548923.2018.1504490" TargetMode="External" /><Relationship Type="http://schemas.openxmlformats.org/officeDocument/2006/relationships/hyperlink" Id="rId229" Target="https://doi.org/10.1086/651661" TargetMode="External" /><Relationship Type="http://schemas.openxmlformats.org/officeDocument/2006/relationships/hyperlink" Id="rId196" Target="https://doi.org/10.1086/674873" TargetMode="External" /><Relationship Type="http://schemas.openxmlformats.org/officeDocument/2006/relationships/hyperlink" Id="rId234" Target="https://doi.org/10.1093/genetics/28.2.114" TargetMode="External" /><Relationship Type="http://schemas.openxmlformats.org/officeDocument/2006/relationships/hyperlink" Id="rId140" Target="https://doi.org/10.1098/rsif.2015.0905" TargetMode="External" /><Relationship Type="http://schemas.openxmlformats.org/officeDocument/2006/relationships/hyperlink" Id="rId142" Target="https://doi.org/10.1098/rsos.170949" TargetMode="External" /><Relationship Type="http://schemas.openxmlformats.org/officeDocument/2006/relationships/hyperlink" Id="rId75" Target="https://doi.org/10.1098/rspb.2004.2746" TargetMode="External" /><Relationship Type="http://schemas.openxmlformats.org/officeDocument/2006/relationships/hyperlink" Id="rId211" Target="https://doi.org/10.1098/rspb.2008.1827" TargetMode="External" /><Relationship Type="http://schemas.openxmlformats.org/officeDocument/2006/relationships/hyperlink" Id="rId64" Target="https://doi.org/10.1098/rstb.1996.0073" TargetMode="External" /><Relationship Type="http://schemas.openxmlformats.org/officeDocument/2006/relationships/hyperlink" Id="rId181" Target="https://doi.org/10.1098/rstb.2016.0426" TargetMode="External" /><Relationship Type="http://schemas.openxmlformats.org/officeDocument/2006/relationships/hyperlink" Id="rId99" Target="https://doi.org/10.1098/rstb.2017.0062" TargetMode="External" /><Relationship Type="http://schemas.openxmlformats.org/officeDocument/2006/relationships/hyperlink" Id="rId236" Target="https://doi.org/10.1111/j.1469-1809.1949.tb02451.x" TargetMode="External" /><Relationship Type="http://schemas.openxmlformats.org/officeDocument/2006/relationships/hyperlink" Id="rId135" Target="https://doi.org/10.1111/j.1558-5646.2007.00310.x" TargetMode="External" /><Relationship Type="http://schemas.openxmlformats.org/officeDocument/2006/relationships/hyperlink" Id="rId194" Target="https://doi.org/10.1126/science.1170165" TargetMode="External" /><Relationship Type="http://schemas.openxmlformats.org/officeDocument/2006/relationships/hyperlink" Id="rId144" Target="https://doi.org/10.1146/annurev-ecolsys-110512-135838" TargetMode="External" /><Relationship Type="http://schemas.openxmlformats.org/officeDocument/2006/relationships/hyperlink" Id="rId73" Target="https://doi.org/10.1371/journal.pone.0003057" TargetMode="External" /><Relationship Type="http://schemas.openxmlformats.org/officeDocument/2006/relationships/hyperlink" Id="rId95" Target="https://doi.org/10.1371/journal.pone.0041010" TargetMode="External" /><Relationship Type="http://schemas.openxmlformats.org/officeDocument/2006/relationships/hyperlink" Id="rId156" Target="https://doi.org/10.1371/journal.pone.0124942" TargetMode="External" /><Relationship Type="http://schemas.openxmlformats.org/officeDocument/2006/relationships/hyperlink" Id="rId151" Target="https://doi.org/10.1371/journal.pone.0250690" TargetMode="External" /><Relationship Type="http://schemas.openxmlformats.org/officeDocument/2006/relationships/hyperlink" Id="rId192" Target="https://doi.org/10.1525/aa.1953.55.5.02a00030" TargetMode="External" /><Relationship Type="http://schemas.openxmlformats.org/officeDocument/2006/relationships/hyperlink" Id="rId121" Target="https://doi.org/10.1525/aa.2001.103.4.992" TargetMode="External" /><Relationship Type="http://schemas.openxmlformats.org/officeDocument/2006/relationships/hyperlink" Id="rId113" Target="https://doi.org/10.1534/genetics.113.158220" TargetMode="External" /><Relationship Type="http://schemas.openxmlformats.org/officeDocument/2006/relationships/hyperlink" Id="rId133" Target="https://doi.org/10.1666/05070.1" TargetMode="External" /><Relationship Type="http://schemas.openxmlformats.org/officeDocument/2006/relationships/hyperlink" Id="rId78" Target="https://doi.org/10.2307/2694206" TargetMode="External" /><Relationship Type="http://schemas.openxmlformats.org/officeDocument/2006/relationships/hyperlink" Id="rId147" Target="https://doi.org/10.2307/2694529" TargetMode="External" /><Relationship Type="http://schemas.openxmlformats.org/officeDocument/2006/relationships/hyperlink" Id="rId101" Target="https://doi.org/10.2307/278341" TargetMode="External" /><Relationship Type="http://schemas.openxmlformats.org/officeDocument/2006/relationships/hyperlink" Id="rId183" Target="https://doi.org/10.2307/279066" TargetMode="External" /><Relationship Type="http://schemas.openxmlformats.org/officeDocument/2006/relationships/hyperlink" Id="rId103" Target="https://doi.org/10.2307/279244" TargetMode="External" /><Relationship Type="http://schemas.openxmlformats.org/officeDocument/2006/relationships/hyperlink" Id="rId67" Target="https://doi.org/10.2307/3557066" TargetMode="External" /><Relationship Type="http://schemas.openxmlformats.org/officeDocument/2006/relationships/hyperlink" Id="rId123" Target="https://doi.org/10.2307/4128416" TargetMode="External" /><Relationship Type="http://schemas.openxmlformats.org/officeDocument/2006/relationships/hyperlink" Id="rId200" Target="https://doi.org/10.7183/0002-7316.76.1.163" TargetMode="External" /><Relationship Type="http://schemas.openxmlformats.org/officeDocument/2006/relationships/hyperlink" Id="rId198"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8" Target="https://doi.org/10.1006/jaar.1997.0314" TargetMode="External" /><Relationship Type="http://schemas.openxmlformats.org/officeDocument/2006/relationships/hyperlink" Id="rId224" Target="https://doi.org/10.1006/jhev.1994.1037" TargetMode="External" /><Relationship Type="http://schemas.openxmlformats.org/officeDocument/2006/relationships/hyperlink" Id="rId110" Target="https://doi.org/10.1007/s10814-007-9013-z" TargetMode="External" /><Relationship Type="http://schemas.openxmlformats.org/officeDocument/2006/relationships/hyperlink" Id="rId187" Target="https://doi.org/10.1007/s10816-018-9364-4" TargetMode="External" /><Relationship Type="http://schemas.openxmlformats.org/officeDocument/2006/relationships/hyperlink" Id="rId89" Target="https://doi.org/10.1007/s10816-022-09599-x" TargetMode="External" /><Relationship Type="http://schemas.openxmlformats.org/officeDocument/2006/relationships/hyperlink" Id="rId85" Target="https://doi.org/10.1007/s10816-023-09613-w" TargetMode="External" /><Relationship Type="http://schemas.openxmlformats.org/officeDocument/2006/relationships/hyperlink" Id="rId125" Target="https://doi.org/10.1016/S1090-5138(98)00018-X" TargetMode="External" /><Relationship Type="http://schemas.openxmlformats.org/officeDocument/2006/relationships/hyperlink" Id="rId62" Target="https://doi.org/10.1016/j.beproc.2018.01.011" TargetMode="External" /><Relationship Type="http://schemas.openxmlformats.org/officeDocument/2006/relationships/hyperlink" Id="rId218" Target="https://doi.org/10.1016/j.evolhumbehav.2014.09.006" TargetMode="External" /><Relationship Type="http://schemas.openxmlformats.org/officeDocument/2006/relationships/hyperlink" Id="rId108" Target="https://doi.org/10.1016/j.jaa.2005.08.001" TargetMode="External" /><Relationship Type="http://schemas.openxmlformats.org/officeDocument/2006/relationships/hyperlink" Id="rId60" Target="https://doi.org/10.1016/j.jaa.2006.08.002" TargetMode="External" /><Relationship Type="http://schemas.openxmlformats.org/officeDocument/2006/relationships/hyperlink" Id="rId154" Target="https://doi.org/10.1016/j.jas.2010.05.015" TargetMode="External" /><Relationship Type="http://schemas.openxmlformats.org/officeDocument/2006/relationships/hyperlink" Id="rId185" Target="https://doi.org/10.1016/j.jas.2012.04.040" TargetMode="External" /><Relationship Type="http://schemas.openxmlformats.org/officeDocument/2006/relationships/hyperlink" Id="rId91" Target="https://doi.org/10.1016/j.jas.2014.07.014" TargetMode="External" /><Relationship Type="http://schemas.openxmlformats.org/officeDocument/2006/relationships/hyperlink" Id="rId162" Target="https://doi.org/10.1016/j.jas.2021.105412" TargetMode="External" /><Relationship Type="http://schemas.openxmlformats.org/officeDocument/2006/relationships/hyperlink" Id="rId138" Target="https://doi.org/10.1016/j.jtbi.2013.03.006" TargetMode="External" /><Relationship Type="http://schemas.openxmlformats.org/officeDocument/2006/relationships/hyperlink" Id="rId216" Target="https://doi.org/10.1016/j.jtbi.2016.04.024" TargetMode="External" /><Relationship Type="http://schemas.openxmlformats.org/officeDocument/2006/relationships/hyperlink" Id="rId203" Target="https://doi.org/10.1017/RDC.2020.41" TargetMode="External" /><Relationship Type="http://schemas.openxmlformats.org/officeDocument/2006/relationships/hyperlink" Id="rId69" Target="https://doi.org/10.1017/S0094837300026907" TargetMode="External" /><Relationship Type="http://schemas.openxmlformats.org/officeDocument/2006/relationships/hyperlink" Id="rId205" Target="https://doi.org/10.1017/S0140525X1400106X" TargetMode="External" /><Relationship Type="http://schemas.openxmlformats.org/officeDocument/2006/relationships/hyperlink" Id="rId128" Target="https://doi.org/10.1017/aap.2021.10" TargetMode="External" /><Relationship Type="http://schemas.openxmlformats.org/officeDocument/2006/relationships/hyperlink" Id="rId226" Target="https://doi.org/10.1017/aaq.2024.1" TargetMode="External" /><Relationship Type="http://schemas.openxmlformats.org/officeDocument/2006/relationships/hyperlink" Id="rId238" Target="https://doi.org/10.1017/ehs.2023.5" TargetMode="External" /><Relationship Type="http://schemas.openxmlformats.org/officeDocument/2006/relationships/hyperlink" Id="rId213" Target="https://doi.org/10.1038/nature08227" TargetMode="External" /><Relationship Type="http://schemas.openxmlformats.org/officeDocument/2006/relationships/hyperlink" Id="rId93" Target="https://doi.org/10.1038/srep39122" TargetMode="External" /><Relationship Type="http://schemas.openxmlformats.org/officeDocument/2006/relationships/hyperlink" Id="rId207" Target="https://doi.org/10.1057/s41599-019-0260-7" TargetMode="External" /><Relationship Type="http://schemas.openxmlformats.org/officeDocument/2006/relationships/hyperlink" Id="rId81" Target="https://doi.org/10.1057/s41599-019-0295-9" TargetMode="External" /><Relationship Type="http://schemas.openxmlformats.org/officeDocument/2006/relationships/hyperlink" Id="rId87" Target="https://doi.org/10.1057/s41599-020-00635-3" TargetMode="External" /><Relationship Type="http://schemas.openxmlformats.org/officeDocument/2006/relationships/hyperlink" Id="rId71" Target="https://doi.org/10.1073/pnas.0903232106" TargetMode="External" /><Relationship Type="http://schemas.openxmlformats.org/officeDocument/2006/relationships/hyperlink" Id="rId97" Target="https://doi.org/10.1073/pnas.1518798113" TargetMode="External" /><Relationship Type="http://schemas.openxmlformats.org/officeDocument/2006/relationships/hyperlink" Id="rId160" Target="https://doi.org/10.1073/pnas.1818346116" TargetMode="External" /><Relationship Type="http://schemas.openxmlformats.org/officeDocument/2006/relationships/hyperlink" Id="rId115" Target="https://doi.org/10.1073/pnas.2418106121" TargetMode="External" /><Relationship Type="http://schemas.openxmlformats.org/officeDocument/2006/relationships/hyperlink" Id="rId172" Target="https://doi.org/10.1080/20548923.2018.1504490" TargetMode="External" /><Relationship Type="http://schemas.openxmlformats.org/officeDocument/2006/relationships/hyperlink" Id="rId229" Target="https://doi.org/10.1086/651661" TargetMode="External" /><Relationship Type="http://schemas.openxmlformats.org/officeDocument/2006/relationships/hyperlink" Id="rId196" Target="https://doi.org/10.1086/674873" TargetMode="External" /><Relationship Type="http://schemas.openxmlformats.org/officeDocument/2006/relationships/hyperlink" Id="rId234" Target="https://doi.org/10.1093/genetics/28.2.114" TargetMode="External" /><Relationship Type="http://schemas.openxmlformats.org/officeDocument/2006/relationships/hyperlink" Id="rId140" Target="https://doi.org/10.1098/rsif.2015.0905" TargetMode="External" /><Relationship Type="http://schemas.openxmlformats.org/officeDocument/2006/relationships/hyperlink" Id="rId142" Target="https://doi.org/10.1098/rsos.170949" TargetMode="External" /><Relationship Type="http://schemas.openxmlformats.org/officeDocument/2006/relationships/hyperlink" Id="rId75" Target="https://doi.org/10.1098/rspb.2004.2746" TargetMode="External" /><Relationship Type="http://schemas.openxmlformats.org/officeDocument/2006/relationships/hyperlink" Id="rId211" Target="https://doi.org/10.1098/rspb.2008.1827" TargetMode="External" /><Relationship Type="http://schemas.openxmlformats.org/officeDocument/2006/relationships/hyperlink" Id="rId64" Target="https://doi.org/10.1098/rstb.1996.0073" TargetMode="External" /><Relationship Type="http://schemas.openxmlformats.org/officeDocument/2006/relationships/hyperlink" Id="rId181" Target="https://doi.org/10.1098/rstb.2016.0426" TargetMode="External" /><Relationship Type="http://schemas.openxmlformats.org/officeDocument/2006/relationships/hyperlink" Id="rId99" Target="https://doi.org/10.1098/rstb.2017.0062" TargetMode="External" /><Relationship Type="http://schemas.openxmlformats.org/officeDocument/2006/relationships/hyperlink" Id="rId236" Target="https://doi.org/10.1111/j.1469-1809.1949.tb02451.x" TargetMode="External" /><Relationship Type="http://schemas.openxmlformats.org/officeDocument/2006/relationships/hyperlink" Id="rId135" Target="https://doi.org/10.1111/j.1558-5646.2007.00310.x" TargetMode="External" /><Relationship Type="http://schemas.openxmlformats.org/officeDocument/2006/relationships/hyperlink" Id="rId194" Target="https://doi.org/10.1126/science.1170165" TargetMode="External" /><Relationship Type="http://schemas.openxmlformats.org/officeDocument/2006/relationships/hyperlink" Id="rId144" Target="https://doi.org/10.1146/annurev-ecolsys-110512-135838" TargetMode="External" /><Relationship Type="http://schemas.openxmlformats.org/officeDocument/2006/relationships/hyperlink" Id="rId73" Target="https://doi.org/10.1371/journal.pone.0003057" TargetMode="External" /><Relationship Type="http://schemas.openxmlformats.org/officeDocument/2006/relationships/hyperlink" Id="rId95" Target="https://doi.org/10.1371/journal.pone.0041010" TargetMode="External" /><Relationship Type="http://schemas.openxmlformats.org/officeDocument/2006/relationships/hyperlink" Id="rId156" Target="https://doi.org/10.1371/journal.pone.0124942" TargetMode="External" /><Relationship Type="http://schemas.openxmlformats.org/officeDocument/2006/relationships/hyperlink" Id="rId151" Target="https://doi.org/10.1371/journal.pone.0250690" TargetMode="External" /><Relationship Type="http://schemas.openxmlformats.org/officeDocument/2006/relationships/hyperlink" Id="rId192" Target="https://doi.org/10.1525/aa.1953.55.5.02a00030" TargetMode="External" /><Relationship Type="http://schemas.openxmlformats.org/officeDocument/2006/relationships/hyperlink" Id="rId121" Target="https://doi.org/10.1525/aa.2001.103.4.992" TargetMode="External" /><Relationship Type="http://schemas.openxmlformats.org/officeDocument/2006/relationships/hyperlink" Id="rId113" Target="https://doi.org/10.1534/genetics.113.158220" TargetMode="External" /><Relationship Type="http://schemas.openxmlformats.org/officeDocument/2006/relationships/hyperlink" Id="rId133" Target="https://doi.org/10.1666/05070.1" TargetMode="External" /><Relationship Type="http://schemas.openxmlformats.org/officeDocument/2006/relationships/hyperlink" Id="rId78" Target="https://doi.org/10.2307/2694206" TargetMode="External" /><Relationship Type="http://schemas.openxmlformats.org/officeDocument/2006/relationships/hyperlink" Id="rId147" Target="https://doi.org/10.2307/2694529" TargetMode="External" /><Relationship Type="http://schemas.openxmlformats.org/officeDocument/2006/relationships/hyperlink" Id="rId101" Target="https://doi.org/10.2307/278341" TargetMode="External" /><Relationship Type="http://schemas.openxmlformats.org/officeDocument/2006/relationships/hyperlink" Id="rId183" Target="https://doi.org/10.2307/279066" TargetMode="External" /><Relationship Type="http://schemas.openxmlformats.org/officeDocument/2006/relationships/hyperlink" Id="rId103" Target="https://doi.org/10.2307/279244" TargetMode="External" /><Relationship Type="http://schemas.openxmlformats.org/officeDocument/2006/relationships/hyperlink" Id="rId67" Target="https://doi.org/10.2307/3557066" TargetMode="External" /><Relationship Type="http://schemas.openxmlformats.org/officeDocument/2006/relationships/hyperlink" Id="rId123" Target="https://doi.org/10.2307/4128416" TargetMode="External" /><Relationship Type="http://schemas.openxmlformats.org/officeDocument/2006/relationships/hyperlink" Id="rId200" Target="https://doi.org/10.7183/0002-7316.76.1.163" TargetMode="External" /><Relationship Type="http://schemas.openxmlformats.org/officeDocument/2006/relationships/hyperlink" Id="rId198"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2026-06-16T17:54:05Z</dcterms:created>
  <dcterms:modified xsi:type="dcterms:W3CDTF">2026-06-16T17:54:05Z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