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4" w:name="X757ac3863136f413ebdeb6ccdb42db7e9103cf9"/>
    <w:p>
      <w:pPr>
        <w:pStyle w:val="Heading1"/>
      </w:pPr>
      <w:r>
        <w:t xml:space="preserve">Are the phases real? Distinguishing bounded interaction groups from spatially structured drift in lower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lower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Williams’s southeast-Missouri phases,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inferior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con tamaños de muestra pequeños y con el promediado temporal del registro mediante un experimento de recuperación de señal. Tanto en la cuenca del St. Francis, como en las fases del sureste de Misuri de Williams,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the HydroRIVERS river network (Lehner and Grill 2013), with line width scaled by flow order so the Mississippi main stem reads as the heaviest line.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the HydroRIVERS river network</w:t>
      </w:r>
      <w:r>
        <w:t xml:space="preserve"> </w:t>
      </w:r>
      <w:r>
        <w:t xml:space="preserve">(Lehner and Grill 2013)</w:t>
      </w:r>
      <w:r>
        <w:t xml:space="preserve">, with line width scaled by flow order so the Mississippi main stem reads as the heaviest line.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lower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five steps. First, we examine where the phase concept comes from and how Parkin came to be recognized as a center, since that reading is inherited from the unit rather than established on its own evidence. Second, we develop a theoretical basis for detecting structure among interacting populations, one in which a group is a region of locally intensified copying rather than a bounded type. Third, we select theory-grounded signatures that can register whether a set of decorated ceramic type frequencies carries the structure that closed groups would leave. Fourth, we develop methods matched to the quality of the archaeological record, whose assemblages are time-averaged rather than synchronic snapshots, so that each signature is tested against the resolution the deposits actually preserve. Finally, we assess the decorated-ceramic record of the lower Mississippi Valley, first the St. Francis basin Parkin phase and then the independently defined southeast-Missouri phases of Williams.</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adopt the population thinking of Mayr</w:t>
      </w:r>
      <w:r>
        <w:t xml:space="preserve"> </w:t>
      </w:r>
      <w:r>
        <w:t xml:space="preserve">(1959)</w:t>
      </w:r>
      <w:r>
        <w:t xml:space="preserve">, introduced to archaeology by Dunnell</w:t>
      </w:r>
      <w:r>
        <w:t xml:space="preserve"> </w:t>
      </w:r>
      <w:r>
        <w:t xml:space="preserve">(1980)</w:t>
      </w:r>
      <w:r>
        <w:t xml:space="preserve">, which frames the question differently from the way the lower Mississippi Valley record is usually read. Archaeologists often treat the past as made of bounded units, the phase, the polity, the society, each a discrete entity with members and edges, and read a cluster of similar assemblages as one such unit. That is typological thinking, in which the type is the real object and the variation among assemblages is noise around it. Population thinking reverses that priority, treating variation among individuals as reality and the type as an abstraction derived from it. We therefore treat transmission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also a matter of degree.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(see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The first signature,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The second signature, 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Each class’s departure from a single peak, or a break in its continuity, is assessed against bootstrap confidence intervals for the class frequencies, so it counts as a real break only when it exceeds the sampling error. Small, sparsely sampled assemblages have wider intervals and admit more orderings. We report the number and size of these groups and, for each assemblage, the number of distinct groups it joins.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for each assemblage pair</w:t>
      </w:r>
      <w:r>
        <w:t xml:space="preserve"> </w:t>
      </w:r>
      <w:r>
        <w:t xml:space="preserve">(Brainerd 1951; Robinson 1951)</w:t>
      </w:r>
      <w:r>
        <w:t xml:space="preserve">, a standard index ranging from 0 to 200 based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a bounded interaction group and its three mimics, environmental patchiness, aggregated signaling, and smooth distance-limited drift</w:t>
      </w:r>
      <w:r>
        <w:t xml:space="preserve"> </w:t>
      </w:r>
      <w:r>
        <w:t xml:space="preserve">(Mesoudi 2021)</w:t>
      </w:r>
      <w:r>
        <w:t xml:space="preserve">. We ran the simulation blind through the four-signature procedure across 500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The idealized validation uses large, clean assemblages and shows what the test can do in principle, not what it can do on a record like ours.</w:t>
      </w:r>
    </w:p>
    <w:p>
      <w:pPr>
        <w:pStyle w:val="BodyText"/>
      </w:pPr>
      <w:r>
        <w:t xml:space="preserve">The record-matched recovery builds synthetic pottery records in which we control whether group structure is emerging, varied from none to strong, and ask whether our four measures can detect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first is that assemblage size trends with seriation position, as noted above, so that a size-dependent estimator can move along the axis through sampling alone. We subsample every assemblage, synthetic and real, to a common count before scoring. The second is time-averaging, which we reproduce by blending adjacent-bin production within a window. Our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Within a run, innovation enters at a constant per-generation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(6 to 24 km), between-node mixing rate (0.02 to 0.20), and innovation rate (0.005 to 0.02 per learner per generation), and report the full sweep (see the Supplemental Text) rather than a single setting. To extend the test to a second, independently constructed phase scheme,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placing the two regions in a single coordinate frame. We then applied the same within-region structure test to Williams’s assemblages, restricting the analysis to Mississippian classes and scoring the between-cluster cultural F_ST against the drift and bounded-groups nulls on the southeast-Missouri coordinates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should also leave non-ceramic traces. We assembled two further lines, one genuinely independent of the ceramic data (the lithic exchange economy) and one that shares its collection substrate (settlement organization).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different combinations and configurations.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signature.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lower Mississippi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all but one of the runs,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weak: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been detected.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dated proveniences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same conclusion holds beyond the St. Francis basin, in southeast Missouri (Figure 10). Williams</w:t>
      </w:r>
      <w:r>
        <w:t xml:space="preserve"> </w:t>
      </w:r>
      <w:r>
        <w:t xml:space="preserve">(1954)</w:t>
      </w:r>
      <w:r>
        <w:t xml:space="preserve"> </w:t>
      </w:r>
      <w:r>
        <w:t xml:space="preserve">divided the southeast-Missouri lowlands into four Mississippian phases, and Fox</w:t>
      </w:r>
      <w:r>
        <w:t xml:space="preserve"> </w:t>
      </w:r>
      <w:r>
        <w:t xml:space="preserve">(1998)</w:t>
      </w:r>
      <w:r>
        <w:t xml:space="preserve"> </w:t>
      </w:r>
      <w:r>
        <w:t xml:space="preserve">showed, by Brainerd-Robinson similarity and cluster analysis, that those phases hold up as neither groups nor classes. Applied to the same assemblages, the transmission test reaches that verdict by a different route. The within-region structure is drift-consistent; the between-cluster cultural F_ST is at the neutral-drift level and far below the bounded-groups expectation; and the assemblages intermix rather than separating into clusters (Figure 11). Williams’s phases, like the named phases of the lower valley, are arbitrary divisions of a continuous field structured by geography and time, not bounded interaction groups. The conclusion is not peculiar to one phase scheme. A culture-history phase is not, by itself, a real social unit.</w:t>
      </w:r>
    </w:p>
    <w:p>
      <w:pPr>
        <w:pStyle w:val="CaptionedFigure"/>
      </w:pPr>
      <w:r>
        <w:drawing>
          <wp:inline>
            <wp:extent cx="4572000" cy="5251704"/>
            <wp:effectExtent b="0" l="0" r="0" t="0"/>
            <wp:docPr descr="Figure 10. Regional setting of the two-phase schemes.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 (Lehner and Grill 2013), with line width scaled by flow order so the Mississippi main stem reads as the heaviest line. State boundaries and the North America locator inset are from Natural Earth."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two-phase schemes.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w:t>
      </w:r>
      <w:r>
        <w:t xml:space="preserve"> </w:t>
      </w:r>
      <w:r>
        <w:t xml:space="preserve">(Lehner and Grill 2013)</w:t>
      </w:r>
      <w:r>
        <w:t xml:space="preserve">, with line width scaled by flow order so the Mississippi main stem reads as the heaviest line. State boundaries and the North America locator inset are from Natural Earth.</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lower Mississippi 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The same test, applied to Williams’s southeast-Missouri phases, a second and independently built phase scheme, returns the same verdict. They too dissolve into spatially structured drift.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3" w:name="references"/>
    <w:p>
      <w:pPr>
        <w:pStyle w:val="Heading2"/>
      </w:pPr>
      <w:r>
        <w:t xml:space="preserve">References</w:t>
      </w:r>
    </w:p>
    <w:bookmarkStart w:id="232"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1"/>
    <w:bookmarkStart w:id="112"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2"/>
    <w:bookmarkStart w:id="113"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3"/>
    <w:bookmarkStart w:id="11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4">
        <w:r>
          <w:rPr>
            <w:rStyle w:val="Hyperlink"/>
          </w:rPr>
          <w:t xml:space="preserve">https://doi.org/10.1525/aa.2001.103.4.992</w:t>
        </w:r>
      </w:hyperlink>
      <w:r>
        <w:t xml:space="preserve">.</w:t>
      </w:r>
    </w:p>
    <w:bookmarkEnd w:id="115"/>
    <w:bookmarkStart w:id="117"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6">
        <w:r>
          <w:rPr>
            <w:rStyle w:val="Hyperlink"/>
          </w:rPr>
          <w:t xml:space="preserve">https://doi.org/10.2307/4128416</w:t>
        </w:r>
      </w:hyperlink>
      <w:r>
        <w:t xml:space="preserve">.</w:t>
      </w:r>
    </w:p>
    <w:bookmarkEnd w:id="117"/>
    <w:bookmarkStart w:id="119"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8">
        <w:r>
          <w:rPr>
            <w:rStyle w:val="Hyperlink"/>
          </w:rPr>
          <w:t xml:space="preserve">https://doi.org/10.1016/S1090-5138(98)00018-X</w:t>
        </w:r>
      </w:hyperlink>
      <w:r>
        <w:t xml:space="preserve">.</w:t>
      </w:r>
    </w:p>
    <w:bookmarkEnd w:id="119"/>
    <w:bookmarkStart w:id="120"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0"/>
    <w:bookmarkStart w:id="122"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1">
        <w:r>
          <w:rPr>
            <w:rStyle w:val="Hyperlink"/>
          </w:rPr>
          <w:t xml:space="preserve">https://doi.org/10.1017/aap.2021.10</w:t>
        </w:r>
      </w:hyperlink>
      <w:r>
        <w:t xml:space="preserve">.</w:t>
      </w:r>
    </w:p>
    <w:bookmarkEnd w:id="122"/>
    <w:bookmarkStart w:id="123"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3"/>
    <w:bookmarkStart w:id="124"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4"/>
    <w:bookmarkStart w:id="125"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5"/>
    <w:bookmarkStart w:id="127"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6">
        <w:r>
          <w:rPr>
            <w:rStyle w:val="Hyperlink"/>
          </w:rPr>
          <w:t xml:space="preserve">https://doi.org/10.1666/05070.1</w:t>
        </w:r>
      </w:hyperlink>
      <w:r>
        <w:t xml:space="preserve">.</w:t>
      </w:r>
    </w:p>
    <w:bookmarkEnd w:id="127"/>
    <w:bookmarkStart w:id="129"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8">
        <w:r>
          <w:rPr>
            <w:rStyle w:val="Hyperlink"/>
          </w:rPr>
          <w:t xml:space="preserve">https://doi.org/10.1111/j.1558-5646.2007.00310.x</w:t>
        </w:r>
      </w:hyperlink>
      <w:r>
        <w:t xml:space="preserve">.</w:t>
      </w:r>
    </w:p>
    <w:bookmarkEnd w:id="129"/>
    <w:bookmarkStart w:id="130"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0"/>
    <w:bookmarkStart w:id="132"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1">
        <w:r>
          <w:rPr>
            <w:rStyle w:val="Hyperlink"/>
          </w:rPr>
          <w:t xml:space="preserve">https://doi.org/10.1016/j.jtbi.2013.03.006</w:t>
        </w:r>
      </w:hyperlink>
      <w:r>
        <w:t xml:space="preserve">.</w:t>
      </w:r>
    </w:p>
    <w:bookmarkEnd w:id="132"/>
    <w:bookmarkStart w:id="134"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3">
        <w:r>
          <w:rPr>
            <w:rStyle w:val="Hyperlink"/>
          </w:rPr>
          <w:t xml:space="preserve">https://doi.org/10.1098/rsif.2015.0905</w:t>
        </w:r>
      </w:hyperlink>
      <w:r>
        <w:t xml:space="preserve">.</w:t>
      </w:r>
    </w:p>
    <w:bookmarkEnd w:id="134"/>
    <w:bookmarkStart w:id="136"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5">
        <w:r>
          <w:rPr>
            <w:rStyle w:val="Hyperlink"/>
          </w:rPr>
          <w:t xml:space="preserve">https://doi.org/10.1098/rsos.170949</w:t>
        </w:r>
      </w:hyperlink>
      <w:r>
        <w:t xml:space="preserve">.</w:t>
      </w:r>
    </w:p>
    <w:bookmarkEnd w:id="136"/>
    <w:bookmarkStart w:id="138"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7">
        <w:r>
          <w:rPr>
            <w:rStyle w:val="Hyperlink"/>
          </w:rPr>
          <w:t xml:space="preserve">https://doi.org/10.1146/annurev-ecolsys-110512-135838</w:t>
        </w:r>
      </w:hyperlink>
      <w:r>
        <w:t xml:space="preserve">.</w:t>
      </w:r>
    </w:p>
    <w:bookmarkEnd w:id="138"/>
    <w:bookmarkStart w:id="139"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9"/>
    <w:bookmarkStart w:id="141"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0">
        <w:r>
          <w:rPr>
            <w:rStyle w:val="Hyperlink"/>
          </w:rPr>
          <w:t xml:space="preserve">https://doi.org/10.2307/2694529</w:t>
        </w:r>
      </w:hyperlink>
      <w:r>
        <w:t xml:space="preserve">.</w:t>
      </w:r>
    </w:p>
    <w:bookmarkEnd w:id="141"/>
    <w:bookmarkStart w:id="142"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142"/>
    <w:bookmarkStart w:id="1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3"/>
    <w:bookmarkStart w:id="1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4"/>
    <w:bookmarkStart w:id="1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5">
        <w:r>
          <w:rPr>
            <w:rStyle w:val="Hyperlink"/>
          </w:rPr>
          <w:t xml:space="preserve">https://doi.org/10.1371/journal.pone.0250690</w:t>
        </w:r>
      </w:hyperlink>
      <w:r>
        <w:t xml:space="preserve">.</w:t>
      </w:r>
    </w:p>
    <w:bookmarkEnd w:id="146"/>
    <w:bookmarkStart w:id="1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7"/>
    <w:bookmarkStart w:id="1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8">
        <w:r>
          <w:rPr>
            <w:rStyle w:val="Hyperlink"/>
          </w:rPr>
          <w:t xml:space="preserve">https://doi.org/10.1016/j.jas.2010.05.015</w:t>
        </w:r>
      </w:hyperlink>
      <w:r>
        <w:t xml:space="preserve">.</w:t>
      </w:r>
    </w:p>
    <w:bookmarkEnd w:id="149"/>
    <w:bookmarkStart w:id="1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0"/>
    <w:bookmarkStart w:id="1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1">
        <w:r>
          <w:rPr>
            <w:rStyle w:val="Hyperlink"/>
          </w:rPr>
          <w:t xml:space="preserve">https://doi.org/10.1371/journal.pone.0124942</w:t>
        </w:r>
      </w:hyperlink>
      <w:r>
        <w:t xml:space="preserve">.</w:t>
      </w:r>
    </w:p>
    <w:bookmarkEnd w:id="152"/>
    <w:bookmarkStart w:id="1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3">
        <w:r>
          <w:rPr>
            <w:rStyle w:val="Hyperlink"/>
          </w:rPr>
          <w:t xml:space="preserve">https://doi.org/10.1006/jaar.1997.0314</w:t>
        </w:r>
      </w:hyperlink>
      <w:r>
        <w:t xml:space="preserve">.</w:t>
      </w:r>
    </w:p>
    <w:bookmarkEnd w:id="154"/>
    <w:bookmarkStart w:id="1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5">
        <w:r>
          <w:rPr>
            <w:rStyle w:val="Hyperlink"/>
          </w:rPr>
          <w:t xml:space="preserve">https://doi.org/10.1073/pnas.1818346116</w:t>
        </w:r>
      </w:hyperlink>
      <w:r>
        <w:t xml:space="preserve">.</w:t>
      </w:r>
    </w:p>
    <w:bookmarkEnd w:id="156"/>
    <w:bookmarkStart w:id="1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7">
        <w:r>
          <w:rPr>
            <w:rStyle w:val="Hyperlink"/>
          </w:rPr>
          <w:t xml:space="preserve">https://doi.org/10.1016/j.jas.2021.105412</w:t>
        </w:r>
      </w:hyperlink>
      <w:r>
        <w:t xml:space="preserve">.</w:t>
      </w:r>
    </w:p>
    <w:bookmarkEnd w:id="158"/>
    <w:bookmarkStart w:id="159" w:name="ref-madsen_2012"/>
    <w:p>
      <w:pPr>
        <w:pStyle w:val="Bibliography"/>
      </w:pPr>
      <w:r>
        <w:t xml:space="preserve">Madsen, Mark E. 2012. Neutral Cultural Transmission in Time-Averaged Archaeological Assemblages. arXiv preprint arXiv:1204.2043 [physics.soc-ph].</w:t>
      </w:r>
    </w:p>
    <w:bookmarkEnd w:id="159"/>
    <w:bookmarkStart w:id="1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0"/>
    <w:bookmarkStart w:id="1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165"/>
    <w:bookmarkStart w:id="16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6"/>
    <w:bookmarkStart w:id="16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7"/>
    <w:bookmarkStart w:id="16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8">
        <w:r>
          <w:rPr>
            <w:rStyle w:val="Hyperlink"/>
          </w:rPr>
          <w:t xml:space="preserve">https://doi.org/10.1080/20548923.2018.1504490</w:t>
        </w:r>
      </w:hyperlink>
      <w:r>
        <w:t xml:space="preserve">.</w:t>
      </w:r>
    </w:p>
    <w:bookmarkEnd w:id="169"/>
    <w:bookmarkStart w:id="17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0"/>
    <w:bookmarkStart w:id="17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1"/>
    <w:bookmarkStart w:id="172"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2"/>
    <w:bookmarkStart w:id="173"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3"/>
    <w:bookmarkStart w:id="174"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4"/>
    <w:bookmarkStart w:id="175"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5"/>
    <w:bookmarkStart w:id="17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6"/>
    <w:bookmarkStart w:id="177"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7"/>
    <w:bookmarkStart w:id="179"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8">
        <w:r>
          <w:rPr>
            <w:rStyle w:val="Hyperlink"/>
          </w:rPr>
          <w:t xml:space="preserve">https://doi.org/10.1098/rstb.2016.0426</w:t>
        </w:r>
      </w:hyperlink>
      <w:r>
        <w:t xml:space="preserve">.</w:t>
      </w:r>
    </w:p>
    <w:bookmarkEnd w:id="179"/>
    <w:bookmarkStart w:id="181"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0">
        <w:r>
          <w:rPr>
            <w:rStyle w:val="Hyperlink"/>
          </w:rPr>
          <w:t xml:space="preserve">https://doi.org/10.2307/279066</w:t>
        </w:r>
      </w:hyperlink>
      <w:r>
        <w:t xml:space="preserve">.</w:t>
      </w:r>
    </w:p>
    <w:bookmarkEnd w:id="181"/>
    <w:bookmarkStart w:id="183"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2">
        <w:r>
          <w:rPr>
            <w:rStyle w:val="Hyperlink"/>
          </w:rPr>
          <w:t xml:space="preserve">https://doi.org/10.1016/j.jas.2012.04.040</w:t>
        </w:r>
      </w:hyperlink>
      <w:r>
        <w:t xml:space="preserve">.</w:t>
      </w:r>
    </w:p>
    <w:bookmarkEnd w:id="183"/>
    <w:bookmarkStart w:id="185"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4">
        <w:r>
          <w:rPr>
            <w:rStyle w:val="Hyperlink"/>
          </w:rPr>
          <w:t xml:space="preserve">https://doi.org/10.1007/s10816-018-9364-4</w:t>
        </w:r>
      </w:hyperlink>
      <w:r>
        <w:t xml:space="preserve">.</w:t>
      </w:r>
    </w:p>
    <w:bookmarkEnd w:id="185"/>
    <w:bookmarkStart w:id="186"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6"/>
    <w:bookmarkStart w:id="187"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7"/>
    <w:bookmarkStart w:id="188"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8"/>
    <w:bookmarkStart w:id="190"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9">
        <w:r>
          <w:rPr>
            <w:rStyle w:val="Hyperlink"/>
          </w:rPr>
          <w:t xml:space="preserve">https://doi.org/10.1525/aa.1953.55.5.02a00030</w:t>
        </w:r>
      </w:hyperlink>
      <w:r>
        <w:t xml:space="preserve">.</w:t>
      </w:r>
    </w:p>
    <w:bookmarkEnd w:id="190"/>
    <w:bookmarkStart w:id="192"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1">
        <w:r>
          <w:rPr>
            <w:rStyle w:val="Hyperlink"/>
          </w:rPr>
          <w:t xml:space="preserve">https://doi.org/10.1126/science.1170165</w:t>
        </w:r>
      </w:hyperlink>
      <w:r>
        <w:t xml:space="preserve">.</w:t>
      </w:r>
    </w:p>
    <w:bookmarkEnd w:id="192"/>
    <w:bookmarkStart w:id="194"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3">
        <w:r>
          <w:rPr>
            <w:rStyle w:val="Hyperlink"/>
          </w:rPr>
          <w:t xml:space="preserve">https://doi.org/10.1086/674873</w:t>
        </w:r>
      </w:hyperlink>
      <w:r>
        <w:t xml:space="preserve">.</w:t>
      </w:r>
    </w:p>
    <w:bookmarkEnd w:id="194"/>
    <w:bookmarkStart w:id="196"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5">
        <w:r>
          <w:rPr>
            <w:rStyle w:val="Hyperlink"/>
          </w:rPr>
          <w:t xml:space="preserve">https://doi.org/10.7183/0002-7316.81.4.605</w:t>
        </w:r>
      </w:hyperlink>
      <w:r>
        <w:t xml:space="preserve">.</w:t>
      </w:r>
    </w:p>
    <w:bookmarkEnd w:id="196"/>
    <w:bookmarkStart w:id="198"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7">
        <w:r>
          <w:rPr>
            <w:rStyle w:val="Hyperlink"/>
          </w:rPr>
          <w:t xml:space="preserve">https://doi.org/10.7183/0002-7316.76.1.163</w:t>
        </w:r>
      </w:hyperlink>
      <w:r>
        <w:t xml:space="preserve">.</w:t>
      </w:r>
    </w:p>
    <w:bookmarkEnd w:id="198"/>
    <w:bookmarkStart w:id="199"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9"/>
    <w:bookmarkStart w:id="201"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0">
        <w:r>
          <w:rPr>
            <w:rStyle w:val="Hyperlink"/>
          </w:rPr>
          <w:t xml:space="preserve">https://doi.org/10.1017/RDC.2020.41</w:t>
        </w:r>
      </w:hyperlink>
      <w:r>
        <w:t xml:space="preserve">.</w:t>
      </w:r>
    </w:p>
    <w:bookmarkEnd w:id="201"/>
    <w:bookmarkStart w:id="203"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2">
        <w:r>
          <w:rPr>
            <w:rStyle w:val="Hyperlink"/>
          </w:rPr>
          <w:t xml:space="preserve">https://doi.org/10.1017/S0140525X1400106X</w:t>
        </w:r>
      </w:hyperlink>
      <w:r>
        <w:t xml:space="preserve">.</w:t>
      </w:r>
    </w:p>
    <w:bookmarkEnd w:id="203"/>
    <w:bookmarkStart w:id="205"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4">
        <w:r>
          <w:rPr>
            <w:rStyle w:val="Hyperlink"/>
          </w:rPr>
          <w:t xml:space="preserve">https://doi.org/10.1057/s41599-019-0260-7</w:t>
        </w:r>
      </w:hyperlink>
      <w:r>
        <w:t xml:space="preserve">.</w:t>
      </w:r>
    </w:p>
    <w:bookmarkEnd w:id="205"/>
    <w:bookmarkStart w:id="206"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6"/>
    <w:bookmarkStart w:id="207"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7"/>
    <w:bookmarkStart w:id="208"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8"/>
    <w:bookmarkStart w:id="210"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9">
        <w:r>
          <w:rPr>
            <w:rStyle w:val="Hyperlink"/>
          </w:rPr>
          <w:t xml:space="preserve">https://doi.org/10.1016/j.jtbi.2016.04.024</w:t>
        </w:r>
      </w:hyperlink>
      <w:r>
        <w:t xml:space="preserve">.</w:t>
      </w:r>
    </w:p>
    <w:bookmarkEnd w:id="210"/>
    <w:bookmarkStart w:id="212"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1">
        <w:r>
          <w:rPr>
            <w:rStyle w:val="Hyperlink"/>
          </w:rPr>
          <w:t xml:space="preserve">https://doi.org/10.1016/j.evolhumbehav.2014.09.006</w:t>
        </w:r>
      </w:hyperlink>
      <w:r>
        <w:t xml:space="preserve">.</w:t>
      </w:r>
    </w:p>
    <w:bookmarkEnd w:id="212"/>
    <w:bookmarkStart w:id="213"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3"/>
    <w:bookmarkStart w:id="214"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4"/>
    <w:bookmarkStart w:id="215"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5"/>
    <w:bookmarkStart w:id="216"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6"/>
    <w:bookmarkStart w:id="218"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7">
        <w:r>
          <w:rPr>
            <w:rStyle w:val="Hyperlink"/>
          </w:rPr>
          <w:t xml:space="preserve">https://doi.org/10.1006/jhev.1994.1037</w:t>
        </w:r>
      </w:hyperlink>
      <w:r>
        <w:t xml:space="preserve">.</w:t>
      </w:r>
    </w:p>
    <w:bookmarkEnd w:id="218"/>
    <w:bookmarkStart w:id="220"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9">
        <w:r>
          <w:rPr>
            <w:rStyle w:val="Hyperlink"/>
          </w:rPr>
          <w:t xml:space="preserve">https://doi.org/10.1017/aaq.2024.1</w:t>
        </w:r>
      </w:hyperlink>
      <w:r>
        <w:t xml:space="preserve">.</w:t>
      </w:r>
    </w:p>
    <w:bookmarkEnd w:id="220"/>
    <w:bookmarkStart w:id="221"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1"/>
    <w:bookmarkStart w:id="223"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2">
        <w:r>
          <w:rPr>
            <w:rStyle w:val="Hyperlink"/>
          </w:rPr>
          <w:t xml:space="preserve">https://doi.org/10.1086/651661</w:t>
        </w:r>
      </w:hyperlink>
      <w:r>
        <w:t xml:space="preserve">.</w:t>
      </w:r>
    </w:p>
    <w:bookmarkEnd w:id="223"/>
    <w:bookmarkStart w:id="224"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4"/>
    <w:bookmarkStart w:id="225" w:name="ref-williams_1954"/>
    <w:p>
      <w:pPr>
        <w:pStyle w:val="Bibliography"/>
      </w:pPr>
      <w:r>
        <w:t xml:space="preserve">Williams, Stephen. 1954. An Archeological Study of the Mississippian Culture in Southeast Missouri. PhD thesis, Yale University, New Haven.</w:t>
      </w:r>
    </w:p>
    <w:bookmarkEnd w:id="225"/>
    <w:bookmarkStart w:id="227"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6">
        <w:r>
          <w:rPr>
            <w:rStyle w:val="Hyperlink"/>
          </w:rPr>
          <w:t xml:space="preserve">https://doi.org/10.1093/genetics/28.2.114</w:t>
        </w:r>
      </w:hyperlink>
      <w:r>
        <w:t xml:space="preserve">.</w:t>
      </w:r>
    </w:p>
    <w:bookmarkEnd w:id="227"/>
    <w:bookmarkStart w:id="229"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8">
        <w:r>
          <w:rPr>
            <w:rStyle w:val="Hyperlink"/>
          </w:rPr>
          <w:t xml:space="preserve">https://doi.org/10.1111/j.1469-1809.1949.tb02451.x</w:t>
        </w:r>
      </w:hyperlink>
      <w:r>
        <w:t xml:space="preserve">.</w:t>
      </w:r>
    </w:p>
    <w:bookmarkEnd w:id="229"/>
    <w:bookmarkStart w:id="231"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0">
        <w:r>
          <w:rPr>
            <w:rStyle w:val="Hyperlink"/>
          </w:rPr>
          <w:t xml:space="preserve">https://doi.org/10.1017/ehs.2023.5</w:t>
        </w:r>
      </w:hyperlink>
      <w:r>
        <w:t xml:space="preserve">.</w:t>
      </w:r>
    </w:p>
    <w:bookmarkEnd w:id="231"/>
    <w:bookmarkEnd w:id="232"/>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3" Target="https://doi.org/10.1006/jaar.1997.0314" TargetMode="External" /><Relationship Type="http://schemas.openxmlformats.org/officeDocument/2006/relationships/hyperlink" Id="rId217"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4"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1"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2"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9" Target="https://doi.org/10.1016/j.jtbi.2016.04.024" TargetMode="External" /><Relationship Type="http://schemas.openxmlformats.org/officeDocument/2006/relationships/hyperlink" Id="rId200"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2"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9" Target="https://doi.org/10.1017/aaq.2024.1" TargetMode="External" /><Relationship Type="http://schemas.openxmlformats.org/officeDocument/2006/relationships/hyperlink" Id="rId230"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4"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8" Target="https://doi.org/10.1080/20548923.2018.1504490" TargetMode="External" /><Relationship Type="http://schemas.openxmlformats.org/officeDocument/2006/relationships/hyperlink" Id="rId222" Target="https://doi.org/10.1086/651661" TargetMode="External" /><Relationship Type="http://schemas.openxmlformats.org/officeDocument/2006/relationships/hyperlink" Id="rId193" Target="https://doi.org/10.1086/674873" TargetMode="External" /><Relationship Type="http://schemas.openxmlformats.org/officeDocument/2006/relationships/hyperlink" Id="rId226"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8" Target="https://doi.org/10.1098/rstb.2016.0426" TargetMode="External" /><Relationship Type="http://schemas.openxmlformats.org/officeDocument/2006/relationships/hyperlink" Id="rId228"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91"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9"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80"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7" Target="https://doi.org/10.7183/0002-7316.76.1.163" TargetMode="External" /><Relationship Type="http://schemas.openxmlformats.org/officeDocument/2006/relationships/hyperlink" Id="rId195"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6/jaar.1997.0314" TargetMode="External" /><Relationship Type="http://schemas.openxmlformats.org/officeDocument/2006/relationships/hyperlink" Id="rId217"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4"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1"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2"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9" Target="https://doi.org/10.1016/j.jtbi.2016.04.024" TargetMode="External" /><Relationship Type="http://schemas.openxmlformats.org/officeDocument/2006/relationships/hyperlink" Id="rId200"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2"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9" Target="https://doi.org/10.1017/aaq.2024.1" TargetMode="External" /><Relationship Type="http://schemas.openxmlformats.org/officeDocument/2006/relationships/hyperlink" Id="rId230"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4"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8" Target="https://doi.org/10.1080/20548923.2018.1504490" TargetMode="External" /><Relationship Type="http://schemas.openxmlformats.org/officeDocument/2006/relationships/hyperlink" Id="rId222" Target="https://doi.org/10.1086/651661" TargetMode="External" /><Relationship Type="http://schemas.openxmlformats.org/officeDocument/2006/relationships/hyperlink" Id="rId193" Target="https://doi.org/10.1086/674873" TargetMode="External" /><Relationship Type="http://schemas.openxmlformats.org/officeDocument/2006/relationships/hyperlink" Id="rId226"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8" Target="https://doi.org/10.1098/rstb.2016.0426" TargetMode="External" /><Relationship Type="http://schemas.openxmlformats.org/officeDocument/2006/relationships/hyperlink" Id="rId228"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91"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9"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80"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7" Target="https://doi.org/10.7183/0002-7316.76.1.163" TargetMode="External" /><Relationship Type="http://schemas.openxmlformats.org/officeDocument/2006/relationships/hyperlink" Id="rId195"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2026-06-20T10:08:15Z</dcterms:created>
  <dcterms:modified xsi:type="dcterms:W3CDTF">2026-06-20T10:08:15Z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docs/manuscript/references.bib</vt:lpwstr>
  </property>
  <property fmtid="{D5CDD505-2E9C-101B-9397-08002B2CF9AE}" pid="3" name="csl">
    <vt:lpwstr>docs/manuscript/american-antiquity.csl</vt:lpwstr>
  </property>
</Properties>
</file>