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7.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5"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 (1996b) 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w:t>
      </w:r>
      <w:r>
        <w:t xml:space="preserve"> </w:t>
      </w:r>
      <w:r>
        <w:t xml:space="preserve">(1996b)</w:t>
      </w:r>
      <w:r>
        <w:t xml:space="preserve"> </w:t>
      </w:r>
      <w:r>
        <w:t xml:space="preserve">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The detectable discrimination, therefore,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as well as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blurring of time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aimless wobble of unbiased copying or the directed change a deliberate marker would exhibit. Seven of the nine testable classes appear to be simple wobble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3"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29 basin assemblages, with copying that decays with along-waterway distance and no boundary imposed, and the structure of the phase concept reads as a society reappears on its own</w:t>
      </w:r>
      <w:r>
        <w:t xml:space="preserve"> </w:t>
      </w:r>
      <w:r>
        <w:t xml:space="preserve">(Lipo et al. 2021)</w:t>
      </w:r>
      <w:r>
        <w:t xml:space="preserve">. The deposits are not contemporaneous, which is why they can be seriated at all and why some carry more of the late classes than others, so each synthetic assemblage is drawn time-transgressively at the run-time that matches its seriation position and accumulated over a window rather than read from a single instant. When repeated across 500 realizations, the model yields not a single partition but a distribution of them, so membership in Parkin’s group is a probability rather than a fact (Figure 8). Holding time fixed to isolate the spatial signal, that probability falls off smoothly with river distance from Parkin (Figure 8A): nearby assemblages usually share their emergent community and distant ones usually do not, ranging from about 0.70 to 0.17 with no assemblage a certain member or non-member, a graded field rather than the bounded set a phase map implies. Restoring the staggered deposition ages removes even that gradient, because assemblages caught at different points in the sequence carry different repertoires and fall into different, time-defined communities. A site’s nearest neighbors need not share its phase. The between-group cultural F_ST of the emergent groups settles at the observed level either way, near 0.02 to 0.03 against an observed 0.04, well below the value a bounded group would leave (Figure 8B), and the synthetic record re-seriates (Figure S7). Geography and time are the whole engine, and the apparent groups are two readings of one neutral process.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This is not contingent on a tuned parameter set. Across 432 runs spanning a grid of interaction length, between-node mixing, and innovation rate, two or more spatially coherent communities emerge in every run, and the between-group F_ST sits at or below the observed value in 85 percent, falling with more mixing or innovation but never approaching the bounded-groups level (Figure S7). The demonstration is illustrative rather than fitted, and the seriation recovery is moderate. The phase-like structure at the observed magnitude is a generic outcome of distance-structured drift on this geography.</w:t>
      </w:r>
    </w:p>
    <w:p>
      <w:pPr>
        <w:pStyle w:val="CaptionedFigure"/>
      </w:pPr>
      <w:r>
        <w:drawing>
          <wp:inline>
            <wp:extent cx="5334000" cy="4248345"/>
            <wp:effectExtent b="0" l="0" r="0" t="0"/>
            <wp:docPr descr="Figure 8. 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distance along the waterway (river network) and new decorated classes arising over time (Supplemental Text). (A) Each assemblage on the river basemap is shaded by the probability that it falls within the same emergent community as Parkin (star) across the 500 runs, for the contemporaneous snapshot that isolates the spatial signal. The probability falls off smoothly with river distance from Parkin (Spearman rho = -0.72), from about 0.70 nearby to 0.17 far away, with no assemblage of a certain member or non-member, so Parkin’s “phase” is a graded, probabilistic field rather than a bounded set. Under full-time transgressive sampling, the gradient disappears because membership reflects both time and space (Supplemental Text). (B) Between-group cultural F_ST for the observed data (black, 0.04) against contemporaneous and time-transgressive drift (medians with 95% intervals across the 500 runs, near 0.02 to 0.03). The observed value falls within the contemporaneous-drift interval, with 7.4% of drift runs reaching or exceeding it, so drift reproduces the observed level rather than the higher value a bounded group would leave. Parameters are the positive-control corner (interaction length 24 river-km, mixing 0.02, innovation 0.012). Robustness across the factor grid is in Figure S7." title="" id="45" name="Picture"/>
            <a:graphic>
              <a:graphicData uri="http://schemas.openxmlformats.org/drawingml/2006/picture">
                <pic:pic>
                  <pic:nvPicPr>
                    <pic:cNvPr descr="../../figures/fig8_emergent_phases.png" id="46" name="Picture"/>
                    <pic:cNvPicPr>
                      <a:picLocks noChangeArrowheads="1" noChangeAspect="1"/>
                    </pic:cNvPicPr>
                  </pic:nvPicPr>
                  <pic:blipFill>
                    <a:blip r:embed="rId44"/>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distance along the waterway (river network) and new decorated classes arising over time (Supplemental Text). (A) Each assemblage on the river basemap is shaded by the probability that it falls within the same emergent community as Parkin (star) across the 500 runs, for the contemporaneous snapshot that isolates the spatial signal. The probability falls off smoothly with river distance from Parkin (Spearman rho = -0.72), from about 0.70 nearby to 0.17 far away, with no assemblage of a certain member or non-member, so Parkin’s</w:t>
      </w:r>
      <w:r>
        <w:t xml:space="preserve"> </w:t>
      </w:r>
      <w:r>
        <w:t xml:space="preserve">“phase”</w:t>
      </w:r>
      <w:r>
        <w:t xml:space="preserve"> </w:t>
      </w:r>
      <w:r>
        <w:t xml:space="preserve">is a graded, probabilistic field rather than a bounded set. Under full-time transgressive sampling, the gradient disappears because membership reflects both time and space (Supplemental Text). (B) Between-group cultural F_ST for the observed data (black, 0.04) against contemporaneous and time-transgressive drift (medians with 95% intervals across the 500 runs, near 0.02 to 0.03). The observed value falls within the contemporaneous-drift interval, with 7.4% of drift runs reaching or exceeding it, so drift reproduces the observed level rather than the higher value a bounded group would leave. Parameters are the positive-control corner (interaction length 24 river-km, mixing 0.02, innovation 0.012). Robustness across the factor grid is in Figure S7.</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(Figure 9).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10).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9.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8" name="Picture"/>
            <a:graphic>
              <a:graphicData uri="http://schemas.openxmlformats.org/drawingml/2006/picture">
                <pic:pic>
                  <pic:nvPicPr>
                    <pic:cNvPr descr="../../figures/fig1_regional.png" id="49" name="Picture"/>
                    <pic:cNvPicPr>
                      <a:picLocks noChangeArrowheads="1" noChangeAspect="1"/>
                    </pic:cNvPicPr>
                  </pic:nvPicPr>
                  <pic:blipFill>
                    <a:blip r:embed="rId47"/>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0.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1" name="Picture"/>
            <a:graphic>
              <a:graphicData uri="http://schemas.openxmlformats.org/drawingml/2006/picture">
                <pic:pic>
                  <pic:nvPicPr>
                    <pic:cNvPr descr="../../figures/fig9_within_region.png" id="52" name="Picture"/>
                    <pic:cNvPicPr>
                      <a:picLocks noChangeArrowheads="1" noChangeAspect="1"/>
                    </pic:cNvPicPr>
                  </pic:nvPicPr>
                  <pic:blipFill>
                    <a:blip r:embed="rId50"/>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3"/>
    <w:bookmarkStart w:id="54"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read as a synchronic social division. Posed in the culture historian’s own terms, against the other named phases of the valley, the Parkin phase itself shows at most a weak contrast at the edge of the drift null, robust to single-site removal but small and within the null’s reach (Figure S8).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4"/>
    <w:bookmarkStart w:id="55"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5"/>
    <w:bookmarkStart w:id="234" w:name="references"/>
    <w:p>
      <w:pPr>
        <w:pStyle w:val="Heading2"/>
      </w:pPr>
      <w:r>
        <w:t xml:space="preserve">References</w:t>
      </w:r>
    </w:p>
    <w:bookmarkStart w:id="233" w:name="refs"/>
    <w:bookmarkStart w:id="56"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6"/>
    <w:bookmarkStart w:id="58"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7">
        <w:r>
          <w:rPr>
            <w:rStyle w:val="Hyperlink"/>
          </w:rPr>
          <w:t xml:space="preserve">https://doi.org/10.1016/j.jaa.2006.08.002</w:t>
        </w:r>
      </w:hyperlink>
      <w:r>
        <w:t xml:space="preserve">.</w:t>
      </w:r>
    </w:p>
    <w:bookmarkEnd w:id="58"/>
    <w:bookmarkStart w:id="60"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9">
        <w:r>
          <w:rPr>
            <w:rStyle w:val="Hyperlink"/>
          </w:rPr>
          <w:t xml:space="preserve">https://doi.org/10.1016/j.beproc.2018.01.011</w:t>
        </w:r>
      </w:hyperlink>
      <w:r>
        <w:t xml:space="preserve">.</w:t>
      </w:r>
    </w:p>
    <w:bookmarkEnd w:id="60"/>
    <w:bookmarkStart w:id="62"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1">
        <w:r>
          <w:rPr>
            <w:rStyle w:val="Hyperlink"/>
          </w:rPr>
          <w:t xml:space="preserve">https://doi.org/10.1098/rstb.1996.0073</w:t>
        </w:r>
      </w:hyperlink>
      <w:r>
        <w:t xml:space="preserve">.</w:t>
      </w:r>
    </w:p>
    <w:bookmarkEnd w:id="62"/>
    <w:bookmarkStart w:id="6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3"/>
    <w:bookmarkStart w:id="65"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4">
        <w:r>
          <w:rPr>
            <w:rStyle w:val="Hyperlink"/>
          </w:rPr>
          <w:t xml:space="preserve">https://doi.org/10.2307/3557066</w:t>
        </w:r>
      </w:hyperlink>
      <w:r>
        <w:t xml:space="preserve">.</w:t>
      </w:r>
    </w:p>
    <w:bookmarkEnd w:id="65"/>
    <w:bookmarkStart w:id="67"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6">
        <w:r>
          <w:rPr>
            <w:rStyle w:val="Hyperlink"/>
          </w:rPr>
          <w:t xml:space="preserve">https://doi.org/10.1017/S0094837300026907</w:t>
        </w:r>
      </w:hyperlink>
      <w:r>
        <w:t xml:space="preserve">.</w:t>
      </w:r>
    </w:p>
    <w:bookmarkEnd w:id="67"/>
    <w:bookmarkStart w:id="6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8">
        <w:r>
          <w:rPr>
            <w:rStyle w:val="Hyperlink"/>
          </w:rPr>
          <w:t xml:space="preserve">https://doi.org/10.1073/pnas.0903232106</w:t>
        </w:r>
      </w:hyperlink>
      <w:r>
        <w:t xml:space="preserve">.</w:t>
      </w:r>
    </w:p>
    <w:bookmarkEnd w:id="69"/>
    <w:bookmarkStart w:id="71"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0">
        <w:r>
          <w:rPr>
            <w:rStyle w:val="Hyperlink"/>
          </w:rPr>
          <w:t xml:space="preserve">https://doi.org/10.1371/journal.pone.0003057</w:t>
        </w:r>
      </w:hyperlink>
      <w:r>
        <w:t xml:space="preserve">.</w:t>
      </w:r>
    </w:p>
    <w:bookmarkEnd w:id="71"/>
    <w:bookmarkStart w:id="7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2">
        <w:r>
          <w:rPr>
            <w:rStyle w:val="Hyperlink"/>
          </w:rPr>
          <w:t xml:space="preserve">https://doi.org/10.1098/rspb.2004.2746</w:t>
        </w:r>
      </w:hyperlink>
      <w:r>
        <w:t xml:space="preserve">.</w:t>
      </w:r>
    </w:p>
    <w:bookmarkEnd w:id="73"/>
    <w:bookmarkStart w:id="74"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4"/>
    <w:bookmarkStart w:id="7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5">
        <w:r>
          <w:rPr>
            <w:rStyle w:val="Hyperlink"/>
          </w:rPr>
          <w:t xml:space="preserve">https://doi.org/10.2307/2694206</w:t>
        </w:r>
      </w:hyperlink>
      <w:r>
        <w:t xml:space="preserve">.</w:t>
      </w:r>
    </w:p>
    <w:bookmarkEnd w:id="76"/>
    <w:bookmarkStart w:id="7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7"/>
    <w:bookmarkStart w:id="7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8">
        <w:r>
          <w:rPr>
            <w:rStyle w:val="Hyperlink"/>
          </w:rPr>
          <w:t xml:space="preserve">https://doi.org/10.1057/s41599-019-0295-9</w:t>
        </w:r>
      </w:hyperlink>
      <w:r>
        <w:t xml:space="preserve">.</w:t>
      </w:r>
    </w:p>
    <w:bookmarkEnd w:id="79"/>
    <w:bookmarkStart w:id="8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0"/>
    <w:bookmarkStart w:id="81"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1"/>
    <w:bookmarkStart w:id="83"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2">
        <w:r>
          <w:rPr>
            <w:rStyle w:val="Hyperlink"/>
          </w:rPr>
          <w:t xml:space="preserve">https://doi.org/10.1007/s10816-023-09613-w</w:t>
        </w:r>
      </w:hyperlink>
      <w:r>
        <w:t xml:space="preserve">.</w:t>
      </w:r>
    </w:p>
    <w:bookmarkEnd w:id="83"/>
    <w:bookmarkStart w:id="85"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4">
        <w:r>
          <w:rPr>
            <w:rStyle w:val="Hyperlink"/>
          </w:rPr>
          <w:t xml:space="preserve">https://doi.org/10.1057/s41599-020-00635-3</w:t>
        </w:r>
      </w:hyperlink>
      <w:r>
        <w:t xml:space="preserve">.</w:t>
      </w:r>
    </w:p>
    <w:bookmarkEnd w:id="85"/>
    <w:bookmarkStart w:id="8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6">
        <w:r>
          <w:rPr>
            <w:rStyle w:val="Hyperlink"/>
          </w:rPr>
          <w:t xml:space="preserve">https://doi.org/10.1007/s10816-022-09599-x</w:t>
        </w:r>
      </w:hyperlink>
      <w:r>
        <w:t xml:space="preserve">.</w:t>
      </w:r>
    </w:p>
    <w:bookmarkEnd w:id="87"/>
    <w:bookmarkStart w:id="8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8">
        <w:r>
          <w:rPr>
            <w:rStyle w:val="Hyperlink"/>
          </w:rPr>
          <w:t xml:space="preserve">https://doi.org/10.1016/j.jas.2014.07.014</w:t>
        </w:r>
      </w:hyperlink>
      <w:r>
        <w:t xml:space="preserve">.</w:t>
      </w:r>
    </w:p>
    <w:bookmarkEnd w:id="89"/>
    <w:bookmarkStart w:id="9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0">
        <w:r>
          <w:rPr>
            <w:rStyle w:val="Hyperlink"/>
          </w:rPr>
          <w:t xml:space="preserve">https://doi.org/10.1038/srep39122</w:t>
        </w:r>
      </w:hyperlink>
      <w:r>
        <w:t xml:space="preserve">.</w:t>
      </w:r>
    </w:p>
    <w:bookmarkEnd w:id="91"/>
    <w:bookmarkStart w:id="9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2">
        <w:r>
          <w:rPr>
            <w:rStyle w:val="Hyperlink"/>
          </w:rPr>
          <w:t xml:space="preserve">https://doi.org/10.1371/journal.pone.0041010</w:t>
        </w:r>
      </w:hyperlink>
      <w:r>
        <w:t xml:space="preserve">.</w:t>
      </w:r>
    </w:p>
    <w:bookmarkEnd w:id="93"/>
    <w:bookmarkStart w:id="95"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4">
        <w:r>
          <w:rPr>
            <w:rStyle w:val="Hyperlink"/>
          </w:rPr>
          <w:t xml:space="preserve">https://doi.org/10.1073/pnas.1518798113</w:t>
        </w:r>
      </w:hyperlink>
      <w:r>
        <w:t xml:space="preserve">.</w:t>
      </w:r>
    </w:p>
    <w:bookmarkEnd w:id="95"/>
    <w:bookmarkStart w:id="97"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6">
        <w:r>
          <w:rPr>
            <w:rStyle w:val="Hyperlink"/>
          </w:rPr>
          <w:t xml:space="preserve">https://doi.org/10.1098/rstb.2017.0062</w:t>
        </w:r>
      </w:hyperlink>
      <w:r>
        <w:t xml:space="preserve">.</w:t>
      </w:r>
    </w:p>
    <w:bookmarkEnd w:id="97"/>
    <w:bookmarkStart w:id="9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8">
        <w:r>
          <w:rPr>
            <w:rStyle w:val="Hyperlink"/>
          </w:rPr>
          <w:t xml:space="preserve">https://doi.org/10.2307/278341</w:t>
        </w:r>
      </w:hyperlink>
      <w:r>
        <w:t xml:space="preserve">.</w:t>
      </w:r>
    </w:p>
    <w:bookmarkEnd w:id="99"/>
    <w:bookmarkStart w:id="101"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0">
        <w:r>
          <w:rPr>
            <w:rStyle w:val="Hyperlink"/>
          </w:rPr>
          <w:t xml:space="preserve">https://doi.org/10.2307/279244</w:t>
        </w:r>
      </w:hyperlink>
      <w:r>
        <w:t xml:space="preserve">.</w:t>
      </w:r>
    </w:p>
    <w:bookmarkEnd w:id="101"/>
    <w:bookmarkStart w:id="102"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2"/>
    <w:bookmarkStart w:id="10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3"/>
    <w:bookmarkStart w:id="104"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4"/>
    <w:bookmarkStart w:id="106"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5">
        <w:r>
          <w:rPr>
            <w:rStyle w:val="Hyperlink"/>
          </w:rPr>
          <w:t xml:space="preserve">https://doi.org/10.1016/j.jaa.2005.08.001</w:t>
        </w:r>
      </w:hyperlink>
      <w:r>
        <w:t xml:space="preserve">.</w:t>
      </w:r>
    </w:p>
    <w:bookmarkEnd w:id="106"/>
    <w:bookmarkStart w:id="108"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7">
        <w:r>
          <w:rPr>
            <w:rStyle w:val="Hyperlink"/>
          </w:rPr>
          <w:t xml:space="preserve">https://doi.org/10.1007/s10814-007-9013-z</w:t>
        </w:r>
      </w:hyperlink>
      <w:r>
        <w:t xml:space="preserve">.</w:t>
      </w:r>
    </w:p>
    <w:bookmarkEnd w:id="108"/>
    <w:bookmarkStart w:id="10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9"/>
    <w:bookmarkStart w:id="11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0">
        <w:r>
          <w:rPr>
            <w:rStyle w:val="Hyperlink"/>
          </w:rPr>
          <w:t xml:space="preserve">https://doi.org/10.1534/genetics.113.158220</w:t>
        </w:r>
      </w:hyperlink>
      <w:r>
        <w:t xml:space="preserve">.</w:t>
      </w:r>
    </w:p>
    <w:bookmarkEnd w:id="111"/>
    <w:bookmarkStart w:id="113"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2">
        <w:r>
          <w:rPr>
            <w:rStyle w:val="Hyperlink"/>
          </w:rPr>
          <w:t xml:space="preserve">https://doi.org/10.1073/pnas.2418106121</w:t>
        </w:r>
      </w:hyperlink>
      <w:r>
        <w:t xml:space="preserve">.</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5"/>
    <w:bookmarkStart w:id="116"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6"/>
    <w:bookmarkStart w:id="117"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7"/>
    <w:bookmarkStart w:id="119"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8">
        <w:r>
          <w:rPr>
            <w:rStyle w:val="Hyperlink"/>
          </w:rPr>
          <w:t xml:space="preserve">https://doi.org/10.1525/aa.2001.103.4.992</w:t>
        </w:r>
      </w:hyperlink>
      <w:r>
        <w:t xml:space="preserve">.</w:t>
      </w:r>
    </w:p>
    <w:bookmarkEnd w:id="119"/>
    <w:bookmarkStart w:id="121"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0">
        <w:r>
          <w:rPr>
            <w:rStyle w:val="Hyperlink"/>
          </w:rPr>
          <w:t xml:space="preserve">https://doi.org/10.2307/4128416</w:t>
        </w:r>
      </w:hyperlink>
      <w:r>
        <w:t xml:space="preserve">.</w:t>
      </w:r>
    </w:p>
    <w:bookmarkEnd w:id="121"/>
    <w:bookmarkStart w:id="123"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2">
        <w:r>
          <w:rPr>
            <w:rStyle w:val="Hyperlink"/>
          </w:rPr>
          <w:t xml:space="preserve">https://doi.org/10.1016/S1090-5138(98)00018-X</w:t>
        </w:r>
      </w:hyperlink>
      <w:r>
        <w:t xml:space="preserve">.</w:t>
      </w:r>
    </w:p>
    <w:bookmarkEnd w:id="123"/>
    <w:bookmarkStart w:id="124"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4"/>
    <w:bookmarkStart w:id="126"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5">
        <w:r>
          <w:rPr>
            <w:rStyle w:val="Hyperlink"/>
          </w:rPr>
          <w:t xml:space="preserve">https://doi.org/10.1017/aap.2021.10</w:t>
        </w:r>
      </w:hyperlink>
      <w:r>
        <w:t xml:space="preserv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2">
        <w:r>
          <w:rPr>
            <w:rStyle w:val="Hyperlink"/>
          </w:rPr>
          <w:t xml:space="preserve">https://doi.org/10.1371/journal.pone.0124942</w:t>
        </w:r>
      </w:hyperlink>
      <w:r>
        <w:t xml:space="preserve">.</w:t>
      </w:r>
    </w:p>
    <w:bookmarkEnd w:id="153"/>
    <w:bookmarkStart w:id="15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4">
        <w:r>
          <w:rPr>
            <w:rStyle w:val="Hyperlink"/>
          </w:rPr>
          <w:t xml:space="preserve">https://doi.org/10.1006/jaar.1997.0314</w:t>
        </w:r>
      </w:hyperlink>
      <w:r>
        <w:t xml:space="preserve">.</w:t>
      </w:r>
    </w:p>
    <w:bookmarkEnd w:id="155"/>
    <w:bookmarkStart w:id="15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6">
        <w:r>
          <w:rPr>
            <w:rStyle w:val="Hyperlink"/>
          </w:rPr>
          <w:t xml:space="preserve">https://doi.org/10.1073/pnas.1818346116</w:t>
        </w:r>
      </w:hyperlink>
      <w:r>
        <w:t xml:space="preserve">.</w:t>
      </w:r>
    </w:p>
    <w:bookmarkEnd w:id="157"/>
    <w:bookmarkStart w:id="15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8">
        <w:r>
          <w:rPr>
            <w:rStyle w:val="Hyperlink"/>
          </w:rPr>
          <w:t xml:space="preserve">https://doi.org/10.1016/j.jas.2021.105412</w:t>
        </w:r>
      </w:hyperlink>
      <w:r>
        <w:t xml:space="preserve">.</w:t>
      </w:r>
    </w:p>
    <w:bookmarkEnd w:id="159"/>
    <w:bookmarkStart w:id="160" w:name="ref-madsen_2012"/>
    <w:p>
      <w:pPr>
        <w:pStyle w:val="Bibliography"/>
      </w:pPr>
      <w:r>
        <w:t xml:space="preserve">Madsen, Mark E. 2012. Neutral Cultural Transmission in Time-Averaged Archaeological Assemblages. arXiv preprint arXiv:1204.2043 [physics.soc-ph].</w:t>
      </w:r>
    </w:p>
    <w:bookmarkEnd w:id="160"/>
    <w:bookmarkStart w:id="16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1"/>
    <w:bookmarkStart w:id="16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2"/>
    <w:bookmarkStart w:id="16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3"/>
    <w:bookmarkStart w:id="16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4"/>
    <w:bookmarkStart w:id="16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7"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6">
        <w:r>
          <w:rPr>
            <w:rStyle w:val="Hyperlink"/>
          </w:rPr>
          <w:t xml:space="preserve">https://doi.org/10.1098/rspb.2008.1827</w:t>
        </w:r>
      </w:hyperlink>
      <w:r>
        <w:t xml:space="preserve">.</w:t>
      </w:r>
    </w:p>
    <w:bookmarkEnd w:id="207"/>
    <w:bookmarkStart w:id="209"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8">
        <w:r>
          <w:rPr>
            <w:rStyle w:val="Hyperlink"/>
          </w:rPr>
          <w:t xml:space="preserve">https://doi.org/10.1038/nature08227</w:t>
        </w:r>
      </w:hyperlink>
      <w:r>
        <w:t xml:space="preserve">.</w:t>
      </w:r>
    </w:p>
    <w:bookmarkEnd w:id="209"/>
    <w:bookmarkStart w:id="21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0"/>
    <w:bookmarkStart w:id="212"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1">
        <w:r>
          <w:rPr>
            <w:rStyle w:val="Hyperlink"/>
          </w:rPr>
          <w:t xml:space="preserve">https://doi.org/10.1016/j.jtbi.2016.04.024</w:t>
        </w:r>
      </w:hyperlink>
      <w:r>
        <w:t xml:space="preserve">.</w:t>
      </w:r>
    </w:p>
    <w:bookmarkEnd w:id="212"/>
    <w:bookmarkStart w:id="214"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3">
        <w:r>
          <w:rPr>
            <w:rStyle w:val="Hyperlink"/>
          </w:rPr>
          <w:t xml:space="preserve">https://doi.org/10.1016/j.evolhumbehav.2014.09.006</w:t>
        </w:r>
      </w:hyperlink>
      <w:r>
        <w:t xml:space="preserve">.</w:t>
      </w:r>
    </w:p>
    <w:bookmarkEnd w:id="214"/>
    <w:bookmarkStart w:id="21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6"/>
    <w:bookmarkStart w:id="22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7">
        <w:r>
          <w:rPr>
            <w:rStyle w:val="Hyperlink"/>
          </w:rPr>
          <w:t xml:space="preserve">https://doi.org/10.1093/genetics/28.2.114</w:t>
        </w:r>
      </w:hyperlink>
      <w:r>
        <w:t xml:space="preserve">.</w:t>
      </w:r>
    </w:p>
    <w:bookmarkEnd w:id="228"/>
    <w:bookmarkStart w:id="23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9">
        <w:r>
          <w:rPr>
            <w:rStyle w:val="Hyperlink"/>
          </w:rPr>
          <w:t xml:space="preserve">https://doi.org/10.1111/j.1469-1809.1949.tb02451.x</w:t>
        </w:r>
      </w:hyperlink>
      <w:r>
        <w:t xml:space="preserve">.</w:t>
      </w:r>
    </w:p>
    <w:bookmarkEnd w:id="230"/>
    <w:bookmarkStart w:id="23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1">
        <w:r>
          <w:rPr>
            <w:rStyle w:val="Hyperlink"/>
          </w:rPr>
          <w:t xml:space="preserve">https://doi.org/10.1017/ehs.2023.5</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hyperlink" Id="rId154"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3"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1"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1" Target="https://doi.org/10.1017/ehs.2023.5" TargetMode="External" /><Relationship Type="http://schemas.openxmlformats.org/officeDocument/2006/relationships/hyperlink" Id="rId208"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7"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6"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9"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3"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1"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1" Target="https://doi.org/10.1017/ehs.2023.5" TargetMode="External" /><Relationship Type="http://schemas.openxmlformats.org/officeDocument/2006/relationships/hyperlink" Id="rId208"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7"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6"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9"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2026-06-15T21:19:46Z</dcterms:created>
  <dcterms:modified xsi:type="dcterms:W3CDTF">2026-06-15T21:19:46Z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