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6.png" ContentType="image/png"/>
  <Override PartName="/word/media/rId40.png" ContentType="image/png"/>
  <Override PartName="/word/media/rId10.png" ContentType="image/png"/>
  <Override PartName="/word/media/rId19.png" ContentType="image/png"/>
  <Override PartName="/word/media/rId28.png" ContentType="image/png"/>
  <Override PartName="/word/media/rId24.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3" w:name="the-time-aware-emergence-simulation"/>
    <w:p>
      <w:pPr>
        <w:pStyle w:val="Heading2"/>
      </w:pPr>
      <w:r>
        <w:t xml:space="preserve">The time-aware emergence simulation</w:t>
      </w:r>
    </w:p>
    <w:p>
      <w:pPr>
        <w:pStyle w:val="FirstParagraph"/>
      </w:pPr>
      <w:r>
        <w:t xml:space="preserve">The constructive demonstration in the main text (Figure 8) and its robustness check (Figure S7) use a forward neutral-drift model run on the real geography, distinct from the null-comparison of the positive control above. The model evolves a population of decorated-class variants at each of the 29 assemblage locations. Each location holds a fixed finite population of 120 learners. In each generation every learner copies the decorated class of another learner, drawn from its own location with high probability and, with probability 0.02, from another location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but the river-network distance is the more faithful representation of how potters in the basin could interact.</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and accumulated over a trailing window of eight slices so that, like a real death assemblage, it mixes production across its span. Each synthetic assemblage is then sampled to the observed sherd count of the corresponding real assemblage. The synthetic assemblages are read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Figure 8 we summarize 500 independent realizations at the positive-control corner (interaction length 24 river-km, between-node mixing 0.02, innovation 0.012). Because community labels are arbitrary and switch between runs, groupness is summarized by co-membership rather than by a single partition: for each assemblage, the fraction of the 500 runs in which it falls in the same emergent community as Parkin. This quantity is label-invariant, needs no alignment across runs, and expresses the contingency of any single solution as a probability surface. Figure 8A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communities.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w:t>
      </w:r>
    </w:p>
    <w:bookmarkEnd w:id="23"/>
    <w:bookmarkStart w:id="27" w:name="X46f06afe48e87b8ae1167d65cf212c2920f73fa"/>
    <w:p>
      <w:pPr>
        <w:pStyle w:val="Heading2"/>
      </w:pPr>
      <w:r>
        <w:t xml:space="preserve">Robustness of the emergent phase-like structure</w:t>
      </w:r>
    </w:p>
    <w:p>
      <w:pPr>
        <w:pStyle w:val="FirstParagraph"/>
      </w:pPr>
      <w:r>
        <w:t xml:space="preserve">The positive control shows the observed structure falls inside the drift distribution. The constructive demonstration in the main text (Figure 8) goes further, generating phase-like structure from drift on the real geography, and we checked that this generative result is not contingent on a single stochastic draw or a tuned parameter set. We repeated the time-transgressive emergence experiment across 432 runs spanning a grid of interaction length (12, 18, 24, and 36 river-km), between-node mixing (0.01, 0.02, and 0.05), and innovation rate (0.006, 0.012, and 0.024), with twelve seeds per cell (Figure S7). Two or more spatially coherent communities, the phase-like territories a culture historian would name, emerge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and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emergence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emergent communities per run, with every run yielding two or more, the phase-like groups. (D) Distribution of seriation recovery, the absolute Spearman correlation between the recovered CA1 rank and the imposed time order, across runs (mean 0.44)." title="" id="25" name="Picture"/>
            <a:graphic>
              <a:graphicData uri="http://schemas.openxmlformats.org/drawingml/2006/picture">
                <pic:pic>
                  <pic:nvPicPr>
                    <pic:cNvPr descr="../../figures/figS7_emergence_robustness.png" id="26" name="Picture"/>
                    <pic:cNvPicPr>
                      <a:picLocks noChangeArrowheads="1" noChangeAspect="1"/>
                    </pic:cNvPicPr>
                  </pic:nvPicPr>
                  <pic:blipFill>
                    <a:blip r:embed="rId24"/>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emergence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emergent communities per run, with every run yielding two or more, the phase-like groups. (D) Distribution of seriation recovery, the absolute Spearman correlation between the recovered CA1 rank and the imposed time order, across runs (mean 0.44).</w:t>
      </w:r>
    </w:p>
    <w:bookmarkEnd w:id="27"/>
    <w:bookmarkStart w:id="31"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because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leaving open the possibility that the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9" name="Picture"/>
            <a:graphic>
              <a:graphicData uri="http://schemas.openxmlformats.org/drawingml/2006/picture">
                <pic:pic>
                  <pic:nvPicPr>
                    <pic:cNvPr descr="../../figures/figS6_macro_transect.png" id="30" name="Picture"/>
                    <pic:cNvPicPr>
                      <a:picLocks noChangeArrowheads="1" noChangeAspect="1"/>
                    </pic:cNvPicPr>
                  </pic:nvPicPr>
                  <pic:blipFill>
                    <a:blip r:embed="rId28"/>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1"/>
    <w:bookmarkStart w:id="35" w:name="X277a96650522b7b47fba3d3f1909d23b46c51a6"/>
    <w:p>
      <w:pPr>
        <w:pStyle w:val="Heading2"/>
      </w:pPr>
      <w:r>
        <w:t xml:space="preserve">Does the Parkin phase pull out of the wider valley?</w:t>
      </w:r>
    </w:p>
    <w:p>
      <w:pPr>
        <w:pStyle w:val="FirstParagraph"/>
      </w:pPr>
      <w:r>
        <w:t xml:space="preserve">The basin analysis treats the St. Francis drainage as a geographic unit. A complementary test poses the question in the culture historian’s own terms: taking the named phases of the wider valley, does the Parkin phase emerge as a coherent community under drift alone, and is its differentiation sharper than drift produces? We assembled all 55 Mainfort-PFG decorated assemblages of the lower Mississippi Valley, labeled each by its culture-historical phase after Mainfort</w:t>
      </w:r>
      <w:r>
        <w:t xml:space="preserve"> </w:t>
      </w:r>
      <w:r>
        <w:t xml:space="preserve">(1996)</w:t>
      </w:r>
      <w:r>
        <w:t xml:space="preserve"> </w:t>
      </w:r>
      <w:r>
        <w:t xml:space="preserve">(8 Parkin-phase against 47 in the Nodena, Kent, Walls, Tipton, Jones Bayou, and Parchman phases), and ran the time-transgressive river-network drift model of the emergence simulation over the full set with no boundary imposed (500 realizations; Figure S8).</w:t>
      </w:r>
    </w:p>
    <w:p>
      <w:pPr>
        <w:pStyle w:val="BodyText"/>
      </w:pPr>
      <w:r>
        <w:t xml:space="preserve">The Parkin-phase assemblages do co-occur with Parkin more often than the other-phase assemblages do (mean co-membership 0.88 against 0.68; AUC 0.88, Mann-Whitney p &lt; 0.001). That separation is what drift on the river network predicts, because the Parkin-phase assemblages lie near Parkin and so fall in its emergent community more often than distant assemblages do; Parkin’s community is only 19 percent Parkin-phase per run. The discriminating test is whether the observed between-group differentiation exceeds the drift null. The observed Parkin-vs-others cultural F_ST is 0.012, at the 99.6th percentile of the drift null (mean 0.005, 95 percent interval 0.003 to 0.009), but the contrast is small and the null’s own tail reaches past it: the maximum drift value is 0.017, and 0.4 percent of the 500 runs reach or exceed the observed. A leave-one-out jackknife against a matched per-drop null, each Parkin assemblage relabeled into the comparison group and tested against a null recomputed under the same relabeling, leaves seven of the eight single drops outside their null, so the contrast does not rest on any one assemblage, although dropping the Parkin type-site gives the lowest value (0.007). Time-averaging, which is not modeled in the null and tends to deflate between-group variance, and the small Parkin sample (n = 8) further limit the claim. We therefore read the Parkin phase as consistent with drift structured by geography, with at most a weak hint of structure beyond drift rather than a demonstrated social boundary.</w:t>
      </w:r>
    </w:p>
    <w:p>
      <w:pPr>
        <w:pStyle w:val="CaptionedFigure"/>
      </w:pPr>
      <w:r>
        <w:drawing>
          <wp:inline>
            <wp:extent cx="5120640" cy="4956534"/>
            <wp:effectExtent b="0" l="0" r="0" t="0"/>
            <wp:docPr descr="Figure S8. Does the Parkin phase pull out of the wider lower Mississippi Valley set under drift? All 55 Mainfort-PFG decorated assemblages, labeled by culture-historical phase after Mainfort (1996), under time-transgressive river-network drift with no boundary imposed (500 realizations). (A) Each assemblage shaded by the probability that it falls in the same emergent community as Parkin (star); Parkin-phase assemblages are circles, other phases squares. (B) Co-membership with Parkin for the Parkin phase against the other phases (AUC 0.88). (C) Observed Parkin-vs-others between-group cultural F_ST (dashed) against the drift null, with 0.4 percent of runs reaching or exceeding it. (D) Leave-one-out jackknife: the observed F_ST with each Parkin assemblage in turn relabeled into the comparison group, against the 2.5 to 97.5 percentile band of its matched per-drop null. Open points fall inside the band (drift-consistent), filled points stay outside, and seven of the eight single drops remain outside." title="" id="33" name="Picture"/>
            <a:graphic>
              <a:graphicData uri="http://schemas.openxmlformats.org/drawingml/2006/picture">
                <pic:pic>
                  <pic:nvPicPr>
                    <pic:cNvPr descr="../../figures/figS8_basin_pullout.png" id="34" name="Picture"/>
                    <pic:cNvPicPr>
                      <a:picLocks noChangeArrowheads="1" noChangeAspect="1"/>
                    </pic:cNvPicPr>
                  </pic:nvPicPr>
                  <pic:blipFill>
                    <a:blip r:embed="rId32"/>
                    <a:stretch>
                      <a:fillRect/>
                    </a:stretch>
                  </pic:blipFill>
                  <pic:spPr bwMode="auto">
                    <a:xfrm>
                      <a:off x="0" y="0"/>
                      <a:ext cx="5120640" cy="495653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Does the Parkin phase pull out of the wider lower Mississippi Valley set under drift? All 55 Mainfort-PFG decorated assemblages, labeled by culture-historical phase after Mainfort</w:t>
      </w:r>
      <w:r>
        <w:t xml:space="preserve"> </w:t>
      </w:r>
      <w:r>
        <w:t xml:space="preserve">(1996)</w:t>
      </w:r>
      <w:r>
        <w:t xml:space="preserve">, under time-transgressive river-network drift with no boundary imposed (500 realizations). (A) Each assemblage shaded by the probability that it falls in the same emergent community as Parkin (star); Parkin-phase assemblages are circles, other phases squares. (B) Co-membership with Parkin for the Parkin phase against the other phases (AUC 0.88). (C) Observed Parkin-vs-others between-group cultural F_ST (dashed) against the drift null, with 0.4 percent of runs reaching or exceeding it. (D) Leave-one-out jackknife: the observed F_ST with each Parkin assemblage in turn relabeled into the comparison group, against the 2.5 to 97.5 percentile band of its matched per-drop null. Open points fall inside the band (drift-consistent), filled points stay outside, and seven of the eight single drops remain outside.</w:t>
      </w:r>
    </w:p>
    <w:bookmarkEnd w:id="35"/>
    <w:bookmarkStart w:id="39"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7" name="Picture"/>
            <a:graphic>
              <a:graphicData uri="http://schemas.openxmlformats.org/drawingml/2006/picture">
                <pic:pic>
                  <pic:nvPicPr>
                    <pic:cNvPr descr="../../figures/figS2_dynamic.png" id="38" name="Picture"/>
                    <pic:cNvPicPr>
                      <a:picLocks noChangeArrowheads="1" noChangeAspect="1"/>
                    </pic:cNvPicPr>
                  </pic:nvPicPr>
                  <pic:blipFill>
                    <a:blip r:embed="rId36"/>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9"/>
    <w:bookmarkStart w:id="43"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1" name="Picture"/>
            <a:graphic>
              <a:graphicData uri="http://schemas.openxmlformats.org/drawingml/2006/picture">
                <pic:pic>
                  <pic:nvPicPr>
                    <pic:cNvPr descr="../../figures/figS3_chronology.png" id="42" name="Picture"/>
                    <pic:cNvPicPr>
                      <a:picLocks noChangeArrowheads="1" noChangeAspect="1"/>
                    </pic:cNvPicPr>
                  </pic:nvPicPr>
                  <pic:blipFill>
                    <a:blip r:embed="rId40"/>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3"/>
    <w:bookmarkStart w:id="95" w:name="references"/>
    <w:p>
      <w:pPr>
        <w:pStyle w:val="Heading2"/>
      </w:pPr>
      <w:r>
        <w:t xml:space="preserve">References</w:t>
      </w:r>
    </w:p>
    <w:bookmarkStart w:id="94" w:name="refs"/>
    <w:bookmarkStart w:id="45"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4">
        <w:r>
          <w:rPr>
            <w:rStyle w:val="Hyperlink"/>
          </w:rPr>
          <w:t xml:space="preserve">https://doi.org/10.1073/pnas.0903232106</w:t>
        </w:r>
      </w:hyperlink>
      <w:r>
        <w:t xml:space="preserve">.</w:t>
      </w:r>
    </w:p>
    <w:bookmarkEnd w:id="45"/>
    <w:bookmarkStart w:id="4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6">
        <w:r>
          <w:rPr>
            <w:rStyle w:val="Hyperlink"/>
          </w:rPr>
          <w:t xml:space="preserve">https://doi.org/10.1098/rspb.2004.2746</w:t>
        </w:r>
      </w:hyperlink>
      <w:r>
        <w:t xml:space="preserve">.</w:t>
      </w:r>
    </w:p>
    <w:bookmarkEnd w:id="47"/>
    <w:bookmarkStart w:id="4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8">
        <w:r>
          <w:rPr>
            <w:rStyle w:val="Hyperlink"/>
          </w:rPr>
          <w:t xml:space="preserve">https://doi.org/10.1057/s41599-019-0295-9</w:t>
        </w:r>
      </w:hyperlink>
      <w:r>
        <w:t xml:space="preserve">.</w:t>
      </w:r>
    </w:p>
    <w:bookmarkEnd w:id="49"/>
    <w:bookmarkStart w:id="50"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50"/>
    <w:bookmarkStart w:id="5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1">
        <w:r>
          <w:rPr>
            <w:rStyle w:val="Hyperlink"/>
          </w:rPr>
          <w:t xml:space="preserve">https://doi.org/10.1016/j.jas.2014.07.014</w:t>
        </w:r>
      </w:hyperlink>
      <w:r>
        <w:t xml:space="preserve">.</w:t>
      </w:r>
    </w:p>
    <w:bookmarkEnd w:id="52"/>
    <w:bookmarkStart w:id="5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3">
        <w:r>
          <w:rPr>
            <w:rStyle w:val="Hyperlink"/>
          </w:rPr>
          <w:t xml:space="preserve">https://doi.org/10.1038/srep39122</w:t>
        </w:r>
      </w:hyperlink>
      <w:r>
        <w:t xml:space="preserve">.</w:t>
      </w:r>
    </w:p>
    <w:bookmarkEnd w:id="54"/>
    <w:bookmarkStart w:id="5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5">
        <w:r>
          <w:rPr>
            <w:rStyle w:val="Hyperlink"/>
          </w:rPr>
          <w:t xml:space="preserve">https://doi.org/10.1371/journal.pone.0041010</w:t>
        </w:r>
      </w:hyperlink>
      <w:r>
        <w:t xml:space="preserve">.</w:t>
      </w:r>
    </w:p>
    <w:bookmarkEnd w:id="56"/>
    <w:bookmarkStart w:id="58"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7">
        <w:r>
          <w:rPr>
            <w:rStyle w:val="Hyperlink"/>
          </w:rPr>
          <w:t xml:space="preserve">https://doi.org/10.2307/278341</w:t>
        </w:r>
      </w:hyperlink>
      <w:r>
        <w:t xml:space="preserve">.</w:t>
      </w:r>
    </w:p>
    <w:bookmarkEnd w:id="58"/>
    <w:bookmarkStart w:id="59"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9"/>
    <w:bookmarkStart w:id="61"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60">
        <w:r>
          <w:rPr>
            <w:rStyle w:val="Hyperlink"/>
          </w:rPr>
          <w:t xml:space="preserve">https://doi.org/10.1534/genetics.113.158220</w:t>
        </w:r>
      </w:hyperlink>
      <w:r>
        <w:t xml:space="preserve">.</w:t>
      </w:r>
    </w:p>
    <w:bookmarkEnd w:id="61"/>
    <w:bookmarkStart w:id="62"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2"/>
    <w:bookmarkStart w:id="64"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3">
        <w:r>
          <w:rPr>
            <w:rStyle w:val="Hyperlink"/>
          </w:rPr>
          <w:t xml:space="preserve">https://doi.org/10.1525/aa.2001.103.4.992</w:t>
        </w:r>
      </w:hyperlink>
      <w:r>
        <w:t xml:space="preserve">.</w:t>
      </w:r>
    </w:p>
    <w:bookmarkEnd w:id="64"/>
    <w:bookmarkStart w:id="65"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5"/>
    <w:bookmarkStart w:id="6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6">
        <w:r>
          <w:rPr>
            <w:rStyle w:val="Hyperlink"/>
          </w:rPr>
          <w:t xml:space="preserve">https://doi.org/10.1666/05070.1</w:t>
        </w:r>
      </w:hyperlink>
      <w:r>
        <w:t xml:space="preserve">.</w:t>
      </w:r>
    </w:p>
    <w:bookmarkEnd w:id="67"/>
    <w:bookmarkStart w:id="6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8">
        <w:r>
          <w:rPr>
            <w:rStyle w:val="Hyperlink"/>
          </w:rPr>
          <w:t xml:space="preserve">https://doi.org/10.1111/j.1558-5646.2007.00310.x</w:t>
        </w:r>
      </w:hyperlink>
      <w:r>
        <w:t xml:space="preserve">.</w:t>
      </w:r>
    </w:p>
    <w:bookmarkEnd w:id="69"/>
    <w:bookmarkStart w:id="7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70">
        <w:r>
          <w:rPr>
            <w:rStyle w:val="Hyperlink"/>
          </w:rPr>
          <w:t xml:space="preserve">https://doi.org/10.1371/journal.pone.0250690</w:t>
        </w:r>
      </w:hyperlink>
      <w:r>
        <w:t xml:space="preserve">.</w:t>
      </w:r>
    </w:p>
    <w:bookmarkEnd w:id="71"/>
    <w:bookmarkStart w:id="7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2">
        <w:r>
          <w:rPr>
            <w:rStyle w:val="Hyperlink"/>
          </w:rPr>
          <w:t xml:space="preserve">https://doi.org/10.1371/journal.pone.0124942</w:t>
        </w:r>
      </w:hyperlink>
      <w:r>
        <w:t xml:space="preserve">.</w:t>
      </w:r>
    </w:p>
    <w:bookmarkEnd w:id="73"/>
    <w:bookmarkStart w:id="7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4">
        <w:r>
          <w:rPr>
            <w:rStyle w:val="Hyperlink"/>
          </w:rPr>
          <w:t xml:space="preserve">https://doi.org/10.1006/jaar.1997.0314</w:t>
        </w:r>
      </w:hyperlink>
      <w:r>
        <w:t xml:space="preserve">.</w:t>
      </w:r>
    </w:p>
    <w:bookmarkEnd w:id="75"/>
    <w:bookmarkStart w:id="76"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6"/>
    <w:bookmarkStart w:id="77" w:name="ref-mainfort_1996b"/>
    <w:p>
      <w:pPr>
        <w:pStyle w:val="Bibliography"/>
      </w:pPr>
      <w:r>
        <w:t xml:space="preserve">Mainfort, Jr., Robert C. 1996. Late Period Chronology in the Central Mississippi Valley: A Western Tennessee Perspective.</w:t>
      </w:r>
      <w:r>
        <w:t xml:space="preserve"> </w:t>
      </w:r>
      <w:r>
        <w:rPr>
          <w:i/>
          <w:iCs/>
        </w:rPr>
        <w:t xml:space="preserve">Southeastern Archaeology</w:t>
      </w:r>
      <w:r>
        <w:t xml:space="preserve"> </w:t>
      </w:r>
      <w:r>
        <w:t xml:space="preserve">15(2):172–181.</w:t>
      </w:r>
    </w:p>
    <w:bookmarkEnd w:id="77"/>
    <w:bookmarkStart w:id="7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8"/>
    <w:bookmarkStart w:id="79"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9"/>
    <w:bookmarkStart w:id="8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80"/>
    <w:bookmarkStart w:id="81"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81"/>
    <w:bookmarkStart w:id="82"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2"/>
    <w:bookmarkStart w:id="8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3">
        <w:r>
          <w:rPr>
            <w:rStyle w:val="Hyperlink"/>
          </w:rPr>
          <w:t xml:space="preserve">https://doi.org/10.1017/RDC.2020.41</w:t>
        </w:r>
      </w:hyperlink>
      <w:r>
        <w:t xml:space="preserve">.</w:t>
      </w:r>
    </w:p>
    <w:bookmarkEnd w:id="84"/>
    <w:bookmarkStart w:id="85"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5"/>
    <w:bookmarkStart w:id="87"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6">
        <w:r>
          <w:rPr>
            <w:rStyle w:val="Hyperlink"/>
          </w:rPr>
          <w:t xml:space="preserve">https://doi.org/10.1038/nature08227</w:t>
        </w:r>
      </w:hyperlink>
      <w:r>
        <w:t xml:space="preserve">.</w:t>
      </w:r>
    </w:p>
    <w:bookmarkEnd w:id="87"/>
    <w:bookmarkStart w:id="89"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8">
        <w:r>
          <w:rPr>
            <w:rStyle w:val="Hyperlink"/>
          </w:rPr>
          <w:t xml:space="preserve">https://doi.org/10.1016/j.jas.2007.01.003</w:t>
        </w:r>
      </w:hyperlink>
      <w:r>
        <w:t xml:space="preserve">.</w:t>
      </w:r>
    </w:p>
    <w:bookmarkEnd w:id="89"/>
    <w:bookmarkStart w:id="91"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90">
        <w:r>
          <w:rPr>
            <w:rStyle w:val="Hyperlink"/>
          </w:rPr>
          <w:t xml:space="preserve">https://doi.org/10.1016/j.jas.2009.03.029</w:t>
        </w:r>
      </w:hyperlink>
      <w:r>
        <w:t xml:space="preserve">.</w:t>
      </w:r>
    </w:p>
    <w:bookmarkEnd w:id="91"/>
    <w:bookmarkStart w:id="92"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2"/>
    <w:bookmarkStart w:id="93" w:name="ref-williams_1954"/>
    <w:p>
      <w:pPr>
        <w:pStyle w:val="Bibliography"/>
      </w:pPr>
      <w:r>
        <w:t xml:space="preserve">Williams, Stephen. 1954. An Archeological Study of the Mississippian Culture in Southeast Missouri. PhD thesis, Yale University, New Haven.</w:t>
      </w:r>
    </w:p>
    <w:bookmarkEnd w:id="93"/>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hyperlink" Id="rId74" Target="https://doi.org/10.1006/jaar.1997.0314" TargetMode="External" /><Relationship Type="http://schemas.openxmlformats.org/officeDocument/2006/relationships/hyperlink" Id="rId88" Target="https://doi.org/10.1016/j.jas.2007.01.003" TargetMode="External" /><Relationship Type="http://schemas.openxmlformats.org/officeDocument/2006/relationships/hyperlink" Id="rId90" Target="https://doi.org/10.1016/j.jas.2009.03.029" TargetMode="External" /><Relationship Type="http://schemas.openxmlformats.org/officeDocument/2006/relationships/hyperlink" Id="rId51" Target="https://doi.org/10.1016/j.jas.2014.07.014" TargetMode="External" /><Relationship Type="http://schemas.openxmlformats.org/officeDocument/2006/relationships/hyperlink" Id="rId83" Target="https://doi.org/10.1017/RDC.2020.41" TargetMode="External" /><Relationship Type="http://schemas.openxmlformats.org/officeDocument/2006/relationships/hyperlink" Id="rId86" Target="https://doi.org/10.1038/nature08227" TargetMode="External" /><Relationship Type="http://schemas.openxmlformats.org/officeDocument/2006/relationships/hyperlink" Id="rId53" Target="https://doi.org/10.1038/srep39122" TargetMode="External" /><Relationship Type="http://schemas.openxmlformats.org/officeDocument/2006/relationships/hyperlink" Id="rId48" Target="https://doi.org/10.1057/s41599-019-0295-9" TargetMode="External" /><Relationship Type="http://schemas.openxmlformats.org/officeDocument/2006/relationships/hyperlink" Id="rId44" Target="https://doi.org/10.1073/pnas.0903232106" TargetMode="External" /><Relationship Type="http://schemas.openxmlformats.org/officeDocument/2006/relationships/hyperlink" Id="rId46" Target="https://doi.org/10.1098/rspb.2004.2746" TargetMode="External" /><Relationship Type="http://schemas.openxmlformats.org/officeDocument/2006/relationships/hyperlink" Id="rId68" Target="https://doi.org/10.1111/j.1558-5646.2007.00310.x" TargetMode="External" /><Relationship Type="http://schemas.openxmlformats.org/officeDocument/2006/relationships/hyperlink" Id="rId55" Target="https://doi.org/10.1371/journal.pone.0041010" TargetMode="External" /><Relationship Type="http://schemas.openxmlformats.org/officeDocument/2006/relationships/hyperlink" Id="rId72" Target="https://doi.org/10.1371/journal.pone.0124942" TargetMode="External" /><Relationship Type="http://schemas.openxmlformats.org/officeDocument/2006/relationships/hyperlink" Id="rId70" Target="https://doi.org/10.1371/journal.pone.0250690" TargetMode="External" /><Relationship Type="http://schemas.openxmlformats.org/officeDocument/2006/relationships/hyperlink" Id="rId63" Target="https://doi.org/10.1525/aa.2001.103.4.992" TargetMode="External" /><Relationship Type="http://schemas.openxmlformats.org/officeDocument/2006/relationships/hyperlink" Id="rId60" Target="https://doi.org/10.1534/genetics.113.158220" TargetMode="External" /><Relationship Type="http://schemas.openxmlformats.org/officeDocument/2006/relationships/hyperlink" Id="rId66" Target="https://doi.org/10.1666/05070.1" TargetMode="External" /><Relationship Type="http://schemas.openxmlformats.org/officeDocument/2006/relationships/hyperlink" Id="rId57"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06/jaar.1997.0314" TargetMode="External" /><Relationship Type="http://schemas.openxmlformats.org/officeDocument/2006/relationships/hyperlink" Id="rId88" Target="https://doi.org/10.1016/j.jas.2007.01.003" TargetMode="External" /><Relationship Type="http://schemas.openxmlformats.org/officeDocument/2006/relationships/hyperlink" Id="rId90" Target="https://doi.org/10.1016/j.jas.2009.03.029" TargetMode="External" /><Relationship Type="http://schemas.openxmlformats.org/officeDocument/2006/relationships/hyperlink" Id="rId51" Target="https://doi.org/10.1016/j.jas.2014.07.014" TargetMode="External" /><Relationship Type="http://schemas.openxmlformats.org/officeDocument/2006/relationships/hyperlink" Id="rId83" Target="https://doi.org/10.1017/RDC.2020.41" TargetMode="External" /><Relationship Type="http://schemas.openxmlformats.org/officeDocument/2006/relationships/hyperlink" Id="rId86" Target="https://doi.org/10.1038/nature08227" TargetMode="External" /><Relationship Type="http://schemas.openxmlformats.org/officeDocument/2006/relationships/hyperlink" Id="rId53" Target="https://doi.org/10.1038/srep39122" TargetMode="External" /><Relationship Type="http://schemas.openxmlformats.org/officeDocument/2006/relationships/hyperlink" Id="rId48" Target="https://doi.org/10.1057/s41599-019-0295-9" TargetMode="External" /><Relationship Type="http://schemas.openxmlformats.org/officeDocument/2006/relationships/hyperlink" Id="rId44" Target="https://doi.org/10.1073/pnas.0903232106" TargetMode="External" /><Relationship Type="http://schemas.openxmlformats.org/officeDocument/2006/relationships/hyperlink" Id="rId46" Target="https://doi.org/10.1098/rspb.2004.2746" TargetMode="External" /><Relationship Type="http://schemas.openxmlformats.org/officeDocument/2006/relationships/hyperlink" Id="rId68" Target="https://doi.org/10.1111/j.1558-5646.2007.00310.x" TargetMode="External" /><Relationship Type="http://schemas.openxmlformats.org/officeDocument/2006/relationships/hyperlink" Id="rId55" Target="https://doi.org/10.1371/journal.pone.0041010" TargetMode="External" /><Relationship Type="http://schemas.openxmlformats.org/officeDocument/2006/relationships/hyperlink" Id="rId72" Target="https://doi.org/10.1371/journal.pone.0124942" TargetMode="External" /><Relationship Type="http://schemas.openxmlformats.org/officeDocument/2006/relationships/hyperlink" Id="rId70" Target="https://doi.org/10.1371/journal.pone.0250690" TargetMode="External" /><Relationship Type="http://schemas.openxmlformats.org/officeDocument/2006/relationships/hyperlink" Id="rId63" Target="https://doi.org/10.1525/aa.2001.103.4.992" TargetMode="External" /><Relationship Type="http://schemas.openxmlformats.org/officeDocument/2006/relationships/hyperlink" Id="rId60" Target="https://doi.org/10.1534/genetics.113.158220" TargetMode="External" /><Relationship Type="http://schemas.openxmlformats.org/officeDocument/2006/relationships/hyperlink" Id="rId66" Target="https://doi.org/10.1666/05070.1" TargetMode="External" /><Relationship Type="http://schemas.openxmlformats.org/officeDocument/2006/relationships/hyperlink" Id="rId57"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2026-06-15T21:21:01Z</dcterms:created>
  <dcterms:modified xsi:type="dcterms:W3CDTF">2026-06-15T21:21:01Z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