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10.png" ContentType="image/png"/>
  <Override PartName="/word/media/rId14.png" ContentType="image/png"/>
  <Override PartName="/word/media/rId22.png" ContentType="image/png"/>
  <Override PartName="/word/media/rId31.png" ContentType="image/png"/>
  <Override PartName="/word/media/rId34.png" ContentType="image/png"/>
  <Override PartName="/word/media/rId37.png" ContentType="image/png"/>
  <Override PartName="/word/media/rId40.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9"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and Robert J. DiNapoli</w:t>
      </w:r>
    </w:p>
    <w:p>
      <w:pPr>
        <w:pStyle w:val="BodyText"/>
      </w:pPr>
      <w:r>
        <w:rPr>
          <w:i/>
          <w:iCs/>
        </w:rPr>
        <w:t xml:space="preserve">Target: American Antiquity. Draft in progress. Heavy model derivation in the Supplemental Text. Citations verified against repo sources, with references in references.bib.</w:t>
      </w:r>
    </w:p>
    <w:bookmarkStart w:id="9" w:name="abstract"/>
    <w:p>
      <w:pPr>
        <w:pStyle w:val="Heading2"/>
      </w:pPr>
      <w:r>
        <w:t xml:space="preserve">Abstract</w:t>
      </w:r>
    </w:p>
    <w:p>
      <w:pPr>
        <w:pStyle w:val="FirstParagraph"/>
      </w:pPr>
      <w:r>
        <w:t xml:space="preserve">The phase is the foundational unit of Mississippian culture history, and it rests on a silent premise: that assemblages more similar to one another than to their neighbors record a bounded social group, a society whose members interacted preferentially among themselves. That premise is rarely tested, and it ignores a strong alternative. Neutral cultural transmission, in which potters copy one another’s decorated styles with no one favoring particular designs, produces the same within-greater-than-between similarity with no bounded groups at all. Style frequencies drift, changing at random from copying alone. When potters interact more with near neighbors than with distant ones, the drift concentrates similar styles in nearby areas, generating apparent clusters from geography rather than from social boundaries. Here, we test, for the late pre-contact central Mississippi Valley, whether decorated-ceramic similarity records bounded interaction groups or spatially structured drift. We compare two generative processes, neutral spatial drift and bounded groups, on the real geography of the assemblages. We calibrate the comparison to the record’s small sample sizes and its time-averaging, the blending of many years of pottery into one surface collection, by a signal-recovery experiment: into synthetic assemblages matched to the real ones, we inject a known group boundary of tunable strength and read off how strong a boundary would have to be before the measures could detect it. We read the result against four transmission signatures and an independent radiocarbon chronology. Within regions, in both the St. Francis basin Parkin phase and the southeast-Missouri survey assemblages of Williams, the decorated-ceramic structure is reproduced by neutral spatial drift under plausible parameters and does not require bounded groups. A bounded-groups process would have marked the record with far sharper structure than it shows. The within-region phase is therefore not demonstrably a bounded interaction group. Parkin, the basin’s tallest-mounded center, is a transmission bridge across orderings rather than the closed core of a society, the same conclusion Fox reached for the southeast Missouri phases using cluster analysis. A boundary that exceeds neutral drift appears only at the larger scale, between the central-valley and lower-valley blocks, where decorated similarity drops more sharply than drift can produce and survives when only shared types are compared. That drop is hard to interpret. It coincides with the early-to-late turnover in pottery types and with the two regions having been collected and classified by different investigators, so it cannot yet be read as a real social boundary rather than a difference in dating or analytical history. The phase, at the scale where it is drawn, is largely indistinguishable from spatially structured drift, and the calibration that licenses this conclusion is the transferable method. Before the similarity structure in ceramic decoration is read as social, the record must be shown to be able to distinguish drift from groups at all.</w:t>
      </w:r>
    </w:p>
    <w:bookmarkEnd w:id="9"/>
    <w:bookmarkStart w:id="13" w:name="introduction"/>
    <w:p>
      <w:pPr>
        <w:pStyle w:val="Heading2"/>
      </w:pPr>
      <w:r>
        <w:t xml:space="preserve">Introduction</w:t>
      </w:r>
    </w:p>
    <w:p>
      <w:pPr>
        <w:pStyle w:val="FirstParagraph"/>
      </w:pPr>
      <w:r>
        <w:t xml:space="preserve">Parkin is the largest of the moated, palisaded towns of the St. Francis basin in northeastern Arkansas, and the chronicles of the Hernando de Soto expedition place it as Casqui, the seat of a paramount chief the expedition encountered in 1541</w:t>
      </w:r>
      <w:r>
        <w:t xml:space="preserve"> </w:t>
      </w:r>
      <w:r>
        <w:t xml:space="preserve">(Hudson et al. 1990; Mitchem 2001; Morse 1990)</w:t>
      </w:r>
      <w:r>
        <w:t xml:space="preserve">. On the strength of its size, fortification, platform mound, and ethnohistoric identification, Parkin is routinely read as the center of a Mississippian polity, on the long-standing assumption that a dominant mound center marks the apex of a ranked society</w:t>
      </w:r>
      <w:r>
        <w:t xml:space="preserve"> </w:t>
      </w:r>
      <w:r>
        <w:t xml:space="preserve">(Peebles and Kus 1977)</w:t>
      </w:r>
      <w:r>
        <w:t xml:space="preserve">. This chiefdom drew tribute from the smaller villages around it, an inference made explicit by the argument that its position on agriculturally poor soil required surrounding communities to provide it with provisions</w:t>
      </w:r>
      <w:r>
        <w:t xml:space="preserve"> </w:t>
      </w:r>
      <w:r>
        <w:t xml:space="preserve">(Morse 1990)</w:t>
      </w:r>
      <w:r>
        <w:t xml:space="preserve">. That reading is a specific claim about social structure: that the Parkin phase was a bounded, hierarchically organized society with Parkin at its apex.</w:t>
      </w:r>
    </w:p>
    <w:p>
      <w:pPr>
        <w:pStyle w:val="BodyText"/>
      </w:pPr>
      <w:r>
        <w:t xml:space="preserve">Whether it was is an empirical question, and settlement morphology alone cannot answer it, because a primate center, a palisade, and a monumental mound are each as compatible with a landscape of competing peer communities as with a consolidated hierarchy</w:t>
      </w:r>
      <w:r>
        <w:t xml:space="preserve"> </w:t>
      </w:r>
      <w:r>
        <w:t xml:space="preserve">(King and Freer 1995; Rees 2001)</w:t>
      </w:r>
      <w:r>
        <w:t xml:space="preserve">. The chronicles describe Casqui and its neighbor Pacaha in open conflict, a relationship read both as rivalry between competing peers and as a ranked order in which Casqui stood below Pacaha, so the chronicles do not by themselves establish a single consolidated hierarchy over the Parkin phase</w:t>
      </w:r>
      <w:r>
        <w:t xml:space="preserve"> </w:t>
      </w:r>
      <w:r>
        <w:t xml:space="preserve">(Hudson et al. 1990; Morse 1990)</w:t>
      </w:r>
      <w:r>
        <w:t xml:space="preserve">. We therefore ask what the material record shows when it is measured rather than read through the polity model. The comparable evidence shows no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and, as we show below, the decorated-ceramic record carries no signature of interaction closing in on bounded groups.</w:t>
      </w:r>
    </w:p>
    <w:p>
      <w:pPr>
        <w:pStyle w:val="BodyText"/>
      </w:pPr>
      <w:r>
        <w:t xml:space="preserve">The more revealing question is why Parkin was taken for a polity in the first place, and the answer is in the unit through which the record is read. The Parkin phase is a culture-history construct, a set of assemblages grouped because their decorated-type frequencies seriate together and because the sites cluster in space</w:t>
      </w:r>
      <w:r>
        <w:t xml:space="preserve"> </w:t>
      </w:r>
      <w:r>
        <w:t xml:space="preserve">(Phillips et al. 1951)</w:t>
      </w:r>
      <w:r>
        <w:t xml:space="preserve">. From its definition, the phase carried a social interpretation. In the Phillips-Ford-Griffin framework, it is the basic space-time-cultural unit</w:t>
      </w:r>
      <w:r>
        <w:t xml:space="preserve"> </w:t>
      </w:r>
      <w:r>
        <w:t xml:space="preserve">(Phillips and Willey 1953; Willey and Phillips 1958)</w:t>
      </w:r>
      <w:r>
        <w:t xml:space="preserve">. Williams, defining the southeast-Missouri phases on which the regional scheme rests, wrote that a phase probably equals a society</w:t>
      </w:r>
      <w:r>
        <w:t xml:space="preserve"> </w:t>
      </w:r>
      <w:r>
        <w:t xml:space="preserve">(Williams 1954)</w:t>
      </w:r>
      <w:r>
        <w:t xml:space="preserve">. That equation is the silent premise. It holds that assemblages more similar to one another than to their neighbors record a bounded, mutually interacting social group. Endow such a group with a primate center, and it becomes a polity. The polity reading is therefore built into the unit before any independent evidence of hierarchy is weighed, and the construct has been questioned on exactly this ground. Fox showed, by cluster analysis and ordination, that the southeast-Missouri phases fail as both groups and classes, with their member assemblages assigned to statistical clusters at random rather than segregating by phase</w:t>
      </w:r>
      <w:r>
        <w:t xml:space="preserve"> </w:t>
      </w:r>
      <w:r>
        <w:t xml:space="preserve">(Fox 1998; Mainfort 2003)</w:t>
      </w:r>
      <w:r>
        <w:t xml:space="preserve">.</w:t>
      </w:r>
    </w:p>
    <w:p>
      <w:pPr>
        <w:pStyle w:val="BodyText"/>
      </w:pPr>
      <w:r>
        <w:t xml:space="preserve">The premise is rarely tested, and it ignores a strong alternative. Under the neutral model of cultural transmission, decorated style behaves like a selectively neutral trait whose frequencies drift in a finite population of interacting learners</w:t>
      </w:r>
      <w:r>
        <w:t xml:space="preserve"> </w:t>
      </w:r>
      <w:r>
        <w:t xml:space="preserve">(Bentley et al. 2004; Eerkens and Lipo 2007; Fogarty et al. 2024; Neiman 1995)</w:t>
      </w:r>
      <w:r>
        <w:t xml:space="preserve">. When those learners interact more with near neighbors than with distant ones, drift on the spatially structured population generates within-greater-than-between similarity on its own, apparent clusters produced by geography with no bounded group anywhere</w:t>
      </w:r>
      <w:r>
        <w:t xml:space="preserve"> </w:t>
      </w:r>
      <w:r>
        <w:t xml:space="preserve">(Lipo et al. 2021)</w:t>
      </w:r>
      <w:r>
        <w:t xml:space="preserve">. On this account, a phase is the ordinary residue of continuous, distance-structured interaction, and the very pattern the culture-history tradition reads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are the instrument for the test. Because stylistic variants are copied between potters along social-learning networks, the spatial and temporal structure of decorated-type frequencies records the structure of past interaction, and a genuine social boundary, had one existed, would make learning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focus first on the Parkin phase of the St. Francis basin (Figure 1) and then widen the test to the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decorated-type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therefore, sets the resolution of the question rather than disqualifying it. A reorganization of transmission large enough to matter over the two centuries of the Parkin phase should register in the averaged frequency structure, and the drift-versus-groups test we develop reads that structure directly rather than an imagined moment behind it.</w:t>
      </w:r>
    </w:p>
    <w:p>
      <w:pPr>
        <w:pStyle w:val="CaptionedFigure"/>
      </w:pPr>
      <w:r>
        <w:drawing>
          <wp:inline>
            <wp:extent cx="5334000" cy="7630817"/>
            <wp:effectExtent b="0" l="0" r="0" t="0"/>
            <wp:docPr descr="Figure 1. Study area: the St. Francis basin of the central Mississippi Valley, northeastern Arkansas. Decorated-ceramic assemblages and recorded sites are shown on a local hydrology and geomorphology base (the St. Francis, Tyronza, and Mississippi rivers). Marker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 title="" id="11" name="Picture"/>
            <a:graphic>
              <a:graphicData uri="http://schemas.openxmlformats.org/drawingml/2006/picture">
                <pic:pic>
                  <pic:nvPicPr>
                    <pic:cNvPr descr="../../figures/fig1_studyarea.png" id="12" name="Picture"/>
                    <pic:cNvPicPr>
                      <a:picLocks noChangeArrowheads="1" noChangeAspect="1"/>
                    </pic:cNvPicPr>
                  </pic:nvPicPr>
                  <pic:blipFill>
                    <a:blip r:embed="rId10"/>
                    <a:stretch>
                      <a:fillRect/>
                    </a:stretch>
                  </pic:blipFill>
                  <pic:spPr bwMode="auto">
                    <a:xfrm>
                      <a:off x="0" y="0"/>
                      <a:ext cx="5334000" cy="763081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Study area: the St. Francis basin of the central Mississippi Valley, northeastern Arkansas. Decorated-ceramic assemblages and recorded sites are shown on a local hydrology and geomorphology base (the St. Francis, Tyronza, and Mississippi rivers). Marker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an equifinality, the same pattern reached by different processes, that defeats one-signature inference</w:t>
      </w:r>
      <w:r>
        <w:t xml:space="preserve"> </w:t>
      </w:r>
      <w:r>
        <w:t xml:space="preserve">(Barrett 2019; Crema et al. 2016; Kandler and Shennan 2015; Mesoudi 2021)</w:t>
      </w:r>
      <w:r>
        <w:t xml:space="preserve">. We therefore compare the two processes in a generative manner. We simulate neutral spatial drift and bounded groups on the real coordinate layout of the assemblages and ask which reproduces the observed structure, using four transmission signatures, departure from neutral copying, breakdown of frequency-seriation coherence, between-group variance, and spatial assortativity, as diagnostics of whether interaction has closed rather than as a stand-alone detector. Because an archaeological assemblage is time-averaged and sampled to varying depth, a signature can register a difference that is an artifact of sampling rather than of transmission, so we calibrate the comparison to the record by a signal-recovery experiment: into synthetic assemblages matched to the real number, sample sizes, and time-averaging we inject a known signal of tunable strength and read off how strong a real boundary would have to be to register. Only a calibrated comparison can license the conclusion that an absence of group structure is real rather than a failure of resolution. This calibration is the transferable contribution, because before any similarity structure is read as social, a record must be shown to be able to distinguish drift from groups at all.</w:t>
      </w:r>
    </w:p>
    <w:p>
      <w:pPr>
        <w:pStyle w:val="BodyText"/>
      </w:pPr>
      <w:r>
        <w:t xml:space="preserve">The argument proceeds in three steps. First, we evaluate Parkin as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carry. Hence, the phase is a continuous interaction structured by where sites sit rather than a closed group with a boundary, and Parkin is a transmission bridge across orderings rather than the core of one. Third, we widen the test to the other late-period phases of the valley and ask whether any decorated-ceramic boundary exists. A boundary that exceeds neutral drift appears only between the central-valley and lower-valley blocks, and even there, it is confounded with the early-to-late turnover of the type repertoire. It cannot yet be read as a synchronic social division. At the scale where the phase is drawn, it is largely indistinguishable from spatially structured drift, and Parkin is best read as a prominent node in a continuous interaction field rather than the capital of a polity.</w:t>
      </w:r>
    </w:p>
    <w:bookmarkEnd w:id="13"/>
    <w:bookmarkStart w:id="20" w:name="background"/>
    <w:p>
      <w:pPr>
        <w:pStyle w:val="Heading2"/>
      </w:pPr>
      <w:r>
        <w:t xml:space="preserve">Background</w:t>
      </w:r>
    </w:p>
    <w:bookmarkStart w:id="17" w:name="X79aed77a76c40496e6a63c7e5ba45a72c9f3f05"/>
    <w:p>
      <w:pPr>
        <w:pStyle w:val="Heading3"/>
      </w:pPr>
      <w:r>
        <w:t xml:space="preserve">The phase, the silent premise, and the drift alternative</w:t>
      </w:r>
    </w:p>
    <w:p>
      <w:pPr>
        <w:pStyle w:val="FirstParagraph"/>
      </w:pPr>
      <w:r>
        <w:t xml:space="preserve">The phase concept gives the central-valley record its social structure. A phase is formed operationally, as a set of assemblages that seriate together and cluster in space, but it is interpreted socially, as a bounded interacting community, on the premise that within-greater-than-between similarity records who interacted with whom</w:t>
      </w:r>
      <w:r>
        <w:t xml:space="preserve"> </w:t>
      </w:r>
      <w:r>
        <w:t xml:space="preserve">(McNutt 1996; Morse and Morse 1983; Phillips et al. 1951; Williams 1954)</w:t>
      </w:r>
      <w:r>
        <w:t xml:space="preserve">. The premise is not arbitrary. Under the neutral transmission model, it would hold if learning were confined within social boundaries, so that decoration drifted in separate pools and diverged between them. The difficulty is that the same within-greater-than-between similarity arises with no boundary at all when interaction declines with distance, because spatially structured drift concentrates similarity among near neighbors</w:t>
      </w:r>
      <w:r>
        <w:t xml:space="preserve"> </w:t>
      </w:r>
      <w:r>
        <w:t xml:space="preserve">(Lipo et al. 2021; Neiman 1995)</w:t>
      </w:r>
      <w:r>
        <w:t xml:space="preserve">. The question the ceramic record must answer is the operational one: does the similarity structure record bounded interaction, or spatially structured drift?</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15" name="Picture"/>
            <a:graphic>
              <a:graphicData uri="http://schemas.openxmlformats.org/drawingml/2006/picture">
                <pic:pic>
                  <pic:nvPicPr>
                    <pic:cNvPr descr="../../figures/fig2_concept.png" id="16" name="Picture"/>
                    <pic:cNvPicPr>
                      <a:picLocks noChangeArrowheads="1" noChangeAspect="1"/>
                    </pic:cNvPicPr>
                  </pic:nvPicPr>
                  <pic:blipFill>
                    <a:blip r:embed="rId14"/>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bookmarkEnd w:id="17"/>
    <w:bookmarkStart w:id="18" w:name="X39f6bf2aa5dd39e0d3c765e883d98cb3f81c485"/>
    <w:p>
      <w:pPr>
        <w:pStyle w:val="Heading3"/>
      </w:pPr>
      <w:r>
        <w:t xml:space="preserve">Why ceramics, and the neutral-vs-marker distinction</w:t>
      </w:r>
    </w:p>
    <w:p>
      <w:pPr>
        <w:pStyle w:val="FirstParagraph"/>
      </w:pPr>
      <w:r>
        <w:t xml:space="preserve">Decorated ceramics record the structure of social interaction because stylistic variants are copied between potters along social-learning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Eerkens and Lipo 2005; Neiman 1995)</w:t>
      </w:r>
      <w:r>
        <w:t xml:space="preserve">. Neutral style is the null condition: assemblages drawn from a single interacting community share one drifting pool, and their decorated-type frequencies admit a single battleship-curve seriation</w:t>
      </w:r>
      <w:r>
        <w:t xml:space="preserve"> </w:t>
      </w:r>
      <w:r>
        <w:t xml:space="preserve">(Lipo et al. 2015)</w:t>
      </w:r>
      <w:r>
        <w:t xml:space="preserve">. Assortment, the tendency for like to learn from like, so that interaction sorts into distinct groups, changes this. If learning becomes restricted within emerging social boundaries, decoration shifts from neutral style toward a marker, transmitted conformist within groups and divergent between them, and the single transmission field fragments. The shift from neutral style to marker is the ceramic expression of interaction closing into a bounded group, and it is what such a group would produce.</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sharpened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w:t>
      </w:r>
      <w:r>
        <w:t xml:space="preserve"> </w:t>
      </w:r>
      <w:r>
        <w:t xml:space="preserve">(Carrignon et al. 2019; Kandler et al. 2017; Mesoudi 2021)</w:t>
      </w:r>
      <w:r>
        <w:t xml:space="preserve">. This is the inferential wall the test is built to climb, and it is why we do not rest on any one signature.</w:t>
      </w:r>
    </w:p>
    <w:bookmarkEnd w:id="18"/>
    <w:bookmarkStart w:id="19"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readings of the same record, and they make opposite predictions for the transmission signature. The first holds that the region was moving toward greater complexity. In northeastern Arkansas the Parkin phase (ca. A.D. 1400 to 1600, with a thin protohistoric tail, consistent with the basin radiocarbon reported below) is a dense cluster of fortified, moated St-Francis-type towns along the St. Francis and Tyronza rivers, dominated by the Parkin site, a roughly 17-acre palisaded center with a platform mound rising more than 6 m that the De Soto chronicles place as the seat of the paramount of Casqui</w:t>
      </w:r>
      <w:r>
        <w:t xml:space="preserve"> </w:t>
      </w:r>
      <w:r>
        <w:t xml:space="preserve">(Dye and Cox 1990; Mitchem 2001; Morse 1990)</w:t>
      </w:r>
      <w:r>
        <w:t xml:space="preserve">. Based on this information, Parkin’s location on agriculturally poor soil suggests that it drew tribute from smaller villages, a hallmark of an emerging chiefly hierarchy</w:t>
      </w:r>
      <w:r>
        <w:t xml:space="preserve"> </w:t>
      </w:r>
      <w:r>
        <w:t xml:space="preserve">(Morse 1990)</w:t>
      </w:r>
      <w:r>
        <w:t xml:space="preserve">. Because contact and the demographic collapse associated with the protohistoric</w:t>
      </w:r>
      <w:r>
        <w:t xml:space="preserve"> </w:t>
      </w:r>
      <w:r>
        <w:t xml:space="preserve">“Vacant Quarter”</w:t>
      </w:r>
      <w:r>
        <w:t xml:space="preserve"> </w:t>
      </w:r>
      <w:r>
        <w:t xml:space="preserve">(Williams 1990)</w:t>
      </w:r>
      <w:r>
        <w:t xml:space="preserve"> </w:t>
      </w:r>
      <w:r>
        <w:t xml:space="preserve">interrupted the sequence, any such transition would have been truncated before it could consolidate and overwrite its own beginnings</w:t>
      </w:r>
      <w:r>
        <w:t xml:space="preserve"> </w:t>
      </w:r>
      <w:r>
        <w:t xml:space="preserve">(Cobb and Butler 2002; Morse and Morse 1996)</w:t>
      </w:r>
      <w:r>
        <w:t xml:space="preserve">. We treat this truncation as a working premise rather than a settled fact, since the timing and extent of the Vacant Quarter abandonment relative to the Parkin phase remain debated</w:t>
      </w:r>
      <w:r>
        <w:t xml:space="preserve"> </w:t>
      </w:r>
      <w:r>
        <w:t xml:space="preserve">(Cobb and Butler 2002)</w:t>
      </w:r>
      <w:r>
        <w:t xml:space="preserve">. The second reading holds that the central valley was a stable, non-consolidated landscape of competing peer polities that never reorganized into a regional hierarchy</w:t>
      </w:r>
      <w:r>
        <w:t xml:space="preserve"> </w:t>
      </w:r>
      <w:r>
        <w:t xml:space="preserve">(Anderson 1996; Beck 2003; Blitz 1999; King and Freer 1995; Lulewicz 2019; Milner 1998; Rees 2001)</w:t>
      </w:r>
      <w:r>
        <w:t xml:space="preserve">. The chronicles describe Casqui and its neighbor Pacaha in open conflict, which fits a landscape of competing peers, though the same sources have also been read as ranking Casqui below Pacaha, and the chronicle ethnography is thin and filtered</w:t>
      </w:r>
      <w:r>
        <w:t xml:space="preserve"> </w:t>
      </w:r>
      <w:r>
        <w:t xml:space="preserve">(Hudson et al. 1990; Mitchem 2001; Morse 1990)</w:t>
      </w:r>
      <w:r>
        <w:t xml:space="preserve">. The two cannot be separated by settlement morphology alone, because a primate center, fortification, and monumental construction are each compatible with both. They can be separated by whether the transmission record shows interaction closing into bounded groups, which is the test we now construct.</w:t>
      </w:r>
    </w:p>
    <w:bookmarkEnd w:id="19"/>
    <w:bookmarkEnd w:id="20"/>
    <w:bookmarkStart w:id="21" w:name="distinguishing-groups-from-drift"/>
    <w:p>
      <w:pPr>
        <w:pStyle w:val="Heading2"/>
      </w:pPr>
      <w:r>
        <w:t xml:space="preserve">Distinguishing groups from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We track four signatures, each a different consequence of the same underlying change, the closure of interaction, meaning the narrowing of social learning until potters copy within a group and rarely across its edge. We state each first in plain terms, then name its formal measure.</w:t>
      </w:r>
    </w:p>
    <w:p>
      <w:pPr>
        <w:pStyle w:val="BodyText"/>
      </w:pPr>
      <w:r>
        <w:t xml:space="preserve">The first asks whether potters copied decorated styles at random or with a bias. Under random copying, two independent ways of gauging a collection’s diversity, one based on how concentrated the common types are and one on the sheer number of types present, give the same answer. Conformity, where everyone converges on the popular types, or a taste for novelty pulls the two apart in opposite directions. Their disagreement, the ratio of a homozygosity-based to a richness-based estimate of the transmission parameter, both detect a departure from random copying and show which way it leans</w:t>
      </w:r>
      <w:r>
        <w:t xml:space="preserve"> </w:t>
      </w:r>
      <w:r>
        <w:t xml:space="preserve">(Neiman 1995; Shennan and Wilkinson 2001)</w:t>
      </w:r>
      <w:r>
        <w:t xml:space="preserve">.</w:t>
      </w:r>
    </w:p>
    <w:p>
      <w:pPr>
        <w:pStyle w:val="BodyText"/>
      </w:pPr>
      <w:r>
        <w:t xml:space="preserve">The second asks whether the collections all belong to one interacting community or to several. Pottery from a single community can be arranged in one orderly frequency seriation, the familiar battleship curves. When learning splits into separate groups with their own repertoires, no single ordering fits, and the collections break into multiple, mutually incompatible seriations. Deterministic frequency seriation counts that fragmentation directly</w:t>
      </w:r>
      <w:r>
        <w:t xml:space="preserve"> </w:t>
      </w:r>
      <w:r>
        <w:t xml:space="preserve">(Lipo et al. 2015)</w:t>
      </w:r>
      <w:r>
        <w:t xml:space="preserve">.</w:t>
      </w:r>
    </w:p>
    <w:p>
      <w:pPr>
        <w:pStyle w:val="BodyText"/>
      </w:pPr>
      <w:r>
        <w:t xml:space="preserve">The third asks how much of the variation in decoration lies between groups rather than within them. This is the ceramic version of a standard population measure of group differentiation, Wright’s F_ST, here computed on Gini-Simpson diversity, and it climbs from near zero as groups come to hold distinct styles</w:t>
      </w:r>
      <w:r>
        <w:t xml:space="preserve"> </w:t>
      </w:r>
      <w:r>
        <w:t xml:space="preserve">(Bell et al. 2009)</w:t>
      </w:r>
      <w:r>
        <w:t xml:space="preserve">.</w:t>
      </w:r>
    </w:p>
    <w:p>
      <w:pPr>
        <w:pStyle w:val="BodyText"/>
      </w:pPr>
      <w:r>
        <w:t xml:space="preserve">The fourth asks whether socially close collections are more alike than collections that are merely close on the map. A genuine social boundary makes pottery within a cluster more similar than pottery in a neighboring cluster at the same distance, over and above the gentle fade of similarity with geographic distance, and we measure that excess, which a plain distance correlation cannot isolate.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 the gradual fade of similarity with distance that follows when people interact mostly with near neighbors, without the sharp boundaries or neutrality departures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S5). Their joint movement, therefore, cannot by itself separate a real interaction group from drift. This is why we do not rest on the signatures alone but instead compare the two processes in generative terms on the real geography of the assemblages, using the signatures as diagnostics of where each process leaves its mark.</w:t>
      </w:r>
    </w:p>
    <w:p>
      <w:pPr>
        <w:pStyle w:val="BodyText"/>
      </w:pPr>
      <w:r>
        <w:rPr>
          <w:b/>
          <w:bCs/>
        </w:rPr>
        <w:t xml:space="preserve">Table 1.</w:t>
      </w:r>
      <w:r>
        <w:t xml:space="preserve"> </w:t>
      </w:r>
      <w:r>
        <w:t xml:space="preserve">The transmission signatures each process is expected to leave a mark on, where ● marks a signature the process drives and ○ marks one it leaves flat. Only a bounded interaction group drives all four. Each alternative produces a characteristic subset, a pattern our simulation confirms on idealized data (Figure S4). This is an idealized expectation under smooth, deterministic processes, not a claim about what is detectable in a real record, and two qualifications make it motivating rather than operative. First, the generator diagnostic (Supplemental Text) shows that the non-F_ST rows are not realizable at this record’s resolution, because the neutral and seriation signatures fail to register a signal even when one is injected through its own channel, so the detectable discrimination reduces to cultural F_ST (Figure 4). Second, under realistic stochastic spatial drift, the F_ST and spatial-assortativity rows are themselves driven in the absence of a bounded group (Results, Figure S5). The table frames the question. The generative drift-versus-groups comparison, not the table, answers it.</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t xml:space="preserve">Signature</w:t>
            </w:r>
          </w:p>
        </w:tc>
        <w:tc>
          <w:tcPr/>
          <w:p>
            <w:pPr>
              <w:pStyle w:val="Compact"/>
              <w:jc w:val="center"/>
            </w:pPr>
            <w:r>
              <w:t xml:space="preserve">Bounded interaction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with limited interaction</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Convergence of all four</w:t>
            </w:r>
          </w:p>
        </w:tc>
        <w:tc>
          <w:tcPr/>
          <w:p>
            <w:pPr>
              <w:pStyle w:val="Compact"/>
              <w:jc w:val="center"/>
            </w:pPr>
            <w:r>
              <w:rPr>
                <w:b/>
                <w:bCs/>
              </w:rPr>
              <w:t xml:space="preserve">yes</w:t>
            </w:r>
          </w:p>
        </w:tc>
        <w:tc>
          <w:tcPr/>
          <w:p>
            <w:pPr>
              <w:pStyle w:val="Compact"/>
              <w:jc w:val="center"/>
            </w:pPr>
            <w:r>
              <w:rPr>
                <w:b/>
                <w:bCs/>
              </w:rPr>
              <w:t xml:space="preserve">no</w:t>
            </w:r>
          </w:p>
        </w:tc>
        <w:tc>
          <w:tcPr/>
          <w:p>
            <w:pPr>
              <w:pStyle w:val="Compact"/>
              <w:jc w:val="center"/>
            </w:pPr>
            <w:r>
              <w:rPr>
                <w:b/>
                <w:bCs/>
              </w:rPr>
              <w:t xml:space="preserve">no</w:t>
            </w:r>
          </w:p>
        </w:tc>
        <w:tc>
          <w:tcPr/>
          <w:p>
            <w:pPr>
              <w:pStyle w:val="Compact"/>
              <w:jc w:val="center"/>
            </w:pPr>
            <w:r>
              <w:rPr>
                <w:b/>
                <w:bCs/>
              </w:rPr>
              <w:t xml:space="preserve">no</w:t>
            </w:r>
          </w:p>
        </w:tc>
      </w:tr>
    </w:tbl>
    <w:p>
      <w:pPr>
        <w:pStyle w:val="BodyText"/>
      </w:pPr>
      <w:r>
        <w:t xml:space="preserve">Drift with distance-limited interaction produces a raw decay of similarity with distance. The distance-controlled boundary-excess statistic, however, is near zero under smooth isolation-by-distance, so it drives none of the four. This holds for smooth, deterministic isolation by distance. Stochastic neutral drift on a finite network is less forgiving, generating patchy divergence that registers as a positive boundary excess even in the absence of a social boundary, a mimicry that the record-matched controls expose directly (Results). Aggregated signaling raises the neutrality departure in a single undivided pool without forming the between-group boundaries that the other signatures require.</w:t>
      </w:r>
    </w:p>
    <w:p>
      <w:pPr>
        <w:pStyle w:val="BodyText"/>
      </w:pPr>
      <w:r>
        <w:t xml:space="preserve">Because closure, if it occurred, would build up across the sequence, we read convergence as a trajectory: a coherent, same-direction shift in all four signatures across the ordinal sequence of assemblages, concentrated where and when interaction closes into bounded groups. The logic is only as strong as the independence of the signatures, because four measures that were merely redundant would converge trivially. We therefore validate the test on simulated assemblages before applying it, confirming both that convergence arises only when interaction closes into a bounded group and not under any mimic, and that the four signatures are tightly correlated under such closure yet nearly independent under the mimics, so their joint movement is informative rather than automatic. The convergence logic has an archaeological precedent. Neiman showed that two independently derived, theory-grounded measures of the same ceramic data, within-assemblage diversity and between-assemblage distance, converge on the same inference about past interaction, and we generalize that two-measure agreement to four</w:t>
      </w:r>
      <w:r>
        <w:t xml:space="preserve"> </w:t>
      </w:r>
      <w:r>
        <w:t xml:space="preserve">(Neiman 1995)</w:t>
      </w:r>
      <w:r>
        <w:t xml:space="preserve">. This validates the concept. Whether all four signatures, or only some, can actually deliver it on a record like ours is a separate question that we settle by calibrating the test directly to synthetic data matched to the Parkin assemblages. Both procedures are presented with their methods and outcomes.</w:t>
      </w:r>
    </w:p>
    <w:p>
      <w:pPr>
        <w:pStyle w:val="BodyText"/>
      </w:pPr>
      <w:r>
        <w:t xml:space="preserve">A signature is trustworthy to the degree that it meets three conditions, usually treated apart. It should be theoretically sufficient. The transmission model entails its assumptions, so the result is a theoretical claim rather than an analogy. Deterministic frequency seriation is the model case, because the unimodality and continuity it requires are exactly what the neutral model predicts of a single interacting community, and Neiman’s diversity and distance estimators are likewise derived from the model</w:t>
      </w:r>
      <w:r>
        <w:t xml:space="preserve"> </w:t>
      </w:r>
      <w:r>
        <w:t xml:space="preserve">(Lipo et al. 2015; Neiman 1995)</w:t>
      </w:r>
      <w:r>
        <w:t xml:space="preserve">. It should be dynamically sufficient in Lewontin’s sense, with its state variables and their transformation laws sufficient to carry the system from one state to the next, so that no single time-point statistic can be</w:t>
      </w:r>
      <w:r>
        <w:t xml:space="preserve"> </w:t>
      </w:r>
      <w:r>
        <w:t xml:space="preserve">(Lewontin 1974)</w:t>
      </w:r>
      <w:r>
        <w:t xml:space="preserve">. And it should be empirically sufficient, matched to the quality of the archaeological record and defined at the time-averaged resolution the deposit preserves rather than at a generational resolution it does not</w:t>
      </w:r>
      <w:r>
        <w:t xml:space="preserve"> </w:t>
      </w:r>
      <w:r>
        <w:t xml:space="preserve">(Holdaway and Wandsnider 2008; Perreault 2019)</w:t>
      </w:r>
      <w:r>
        <w:t xml:space="preserve">. Our four signatures are theoretically grounded by construction, each entailed by the transmission model. Empirical sufficiency, whether a signature can actually register a signal at the resolution the deposit preserves, is not guaranteed by that grounding, so we test it rather than assume it. The recovery experiment finds only between-group variance empirically sufficient at this record’s resolution. Measured as states along the sequence, the signatures are only partially dynamically sufficient, a gap we close in the discussion with tests that model the transformation between states.</w:t>
      </w:r>
    </w:p>
    <w:bookmarkEnd w:id="21"/>
    <w:bookmarkStart w:id="30" w:name="materials-and-methods"/>
    <w:p>
      <w:pPr>
        <w:pStyle w:val="Heading2"/>
      </w:pPr>
      <w:r>
        <w:t xml:space="preserve">Materials and methods</w:t>
      </w:r>
    </w:p>
    <w:bookmarkStart w:id="25" w:name="data"/>
    <w:p>
      <w:pPr>
        <w:pStyle w:val="Heading3"/>
      </w:pPr>
      <w:r>
        <w:t xml:space="preserve">Data</w:t>
      </w:r>
    </w:p>
    <w:p>
      <w:pPr>
        <w:pStyle w:val="FirstParagraph"/>
      </w:pPr>
      <w:r>
        <w:t xml:space="preserve">The ceramic data are the decorated-type counts compiled by Phillips, Ford, and Griffin for the Lower Mississippi Survey, an assemblage-by-type matrix of 266 surface collections from the central valley</w:t>
      </w:r>
      <w:r>
        <w:t xml:space="preserve"> </w:t>
      </w:r>
      <w:r>
        <w:t xml:space="preserve">(Lipo 2001; Phillips et al. 1951)</w:t>
      </w:r>
      <w:r>
        <w:t xml:space="preserve">. Because the hypothesis concerns the Parkin phase, we restrict the analysis to the St. Francis basin of northeastern Arkansas, defined hydrologically as the assemblages within 20 km of the St. Francis, Tyronza, and L’Anguille drainage (Figure 1). This excludes both the lower Yazoo Basin and the Mississippi River-proximal sites whose late-period centers belong to distinct phases, and it yields 29 decorated assemblages for the transmission analysis and 92 sites for the settlement comparison.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through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collections, so each aggregate pottery over the use-life of its deposit, and such aggregation distorts diversity and neutrality statistics in proportion to the mean lifetime of the variants</w:t>
      </w:r>
      <w:r>
        <w:t xml:space="preserve"> </w:t>
      </w:r>
      <w:r>
        <w:t xml:space="preserve">(Madsen 2012; Miller-Atkins and Premo 2018)</w:t>
      </w:r>
      <w:r>
        <w:t xml:space="preserve">. The units transmitted are also durable objects rather than potters, which displaces the neutral expectation from the standard population-genetic null</w:t>
      </w:r>
      <w:r>
        <w:t xml:space="preserve"> </w:t>
      </w:r>
      <w:r>
        <w:t xml:space="preserve">(Crema et al. 2024)</w:t>
      </w:r>
      <w:r>
        <w:t xml:space="preserve">. Absolute chronology is the binding limitation, though the radiocarbon corpus is richer than a bare five-date anchor. The Mainfort compilation yields 109 determinations for the central valley, 41 of them from seven St. Francis basin Parkin-phase sites and 19 from Parkin itself</w:t>
      </w:r>
      <w:r>
        <w:t xml:space="preserve"> </w:t>
      </w:r>
      <w:r>
        <w:t xml:space="preserve">(House 1993; Mainfort 1996, 2001;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decorated-type-frequency differences, as a relative chronological ordinate oriented so that higher positions correspond to later time (Figure 3). Pooling the dates of the five proveniences that match curated assemblages, the pooled median calibrated ages correlate with seriation position at Spearman +0.70 (n = 5, 27 dates pooled), an improvement on the +0.50 of the single-date anchors, with four of the five sites in calendar order and one late-dated site departing from it. The axis, therefore, tracks calendar time, but imperfectly. The trajectory we test is ordinal, not a calendar rate, and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3" name="Picture"/>
            <a:graphic>
              <a:graphicData uri="http://schemas.openxmlformats.org/drawingml/2006/picture">
                <pic:pic>
                  <pic:nvPicPr>
                    <pic:cNvPr descr="../../figures/fig3_ca_ordination.png" id="24" name="Picture"/>
                    <pic:cNvPicPr>
                      <a:picLocks noChangeArrowheads="1" noChangeAspect="1"/>
                    </pic:cNvPicPr>
                  </pic:nvPicPr>
                  <pic:blipFill>
                    <a:blip r:embed="rId22"/>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decorated-type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5"/>
    <w:bookmarkStart w:id="26"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 application of the infinite-alleles model to ceramic assemblages</w:t>
      </w:r>
      <w:r>
        <w:t xml:space="preserve"> </w:t>
      </w:r>
      <w:r>
        <w:t xml:space="preserve">(Neiman 1995)</w:t>
      </w:r>
      <w:r>
        <w:t xml:space="preserve">. We estimated the transmission parameter in two ways: from the unbiased homozygosity of an assemblage and from its number of types, using the Ewens sampling formula</w:t>
      </w:r>
      <w:r>
        <w:t xml:space="preserve"> </w:t>
      </w:r>
      <w:r>
        <w:t xml:space="preserve">(Ewens 1972)</w:t>
      </w:r>
      <w:r>
        <w:t xml:space="preserve"> </w:t>
      </w:r>
      <w:r>
        <w:t xml:space="preserve">to estimate the number of types expected under random copying, and took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the deterministic frequency-seriation method of Lipo, Madsen, and Dunnell</w:t>
      </w:r>
      <w:r>
        <w:t xml:space="preserve"> </w:t>
      </w:r>
      <w:r>
        <w:t xml:space="preserve">(Dunnell 1970; Graves and Cachola-Abad 1996; Lipo et al. 1997, 2015)</w:t>
      </w:r>
      <w:r>
        <w:t xml:space="preserve">. A set of assemblages is co-seriable if some ordering renders every decorated type both unimodal and continuous, and the method returns the complete set of maximal co-seriable groups.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variance partition is a cultural analog of Wright’s F_ST computed on Gini-Simpson diversity, the chance that two sherds drawn at random from an assemblage are of different types: the difference between the diversity of the pooled assemblages and the mean within-group diversity, divided by the pooled diversity, taken across spatial clusters</w:t>
      </w:r>
      <w:r>
        <w:t xml:space="preserve"> </w:t>
      </w:r>
      <w:r>
        <w:t xml:space="preserve">(Bell et al. 2009)</w:t>
      </w:r>
      <w:r>
        <w:t xml:space="preserve">. It rises from zero as groups come to hold distinct decorated repertoires. Spatial assortativity measures whether ceramic similarity follows social rather than geographic distance. We computed the Brainerd-Robinson similarity, a standard index ranging from 0 to 200 that indicates how alike two assemblages are in their type proportions, for every pair of assemblages</w:t>
      </w:r>
      <w:r>
        <w:t xml:space="preserve"> </w:t>
      </w:r>
      <w:r>
        <w:t xml:space="preserve">(Brainerd 1951; Robinson 1951)</w:t>
      </w:r>
      <w:r>
        <w:t xml:space="preserve">. We tested its association with inter-site distance by a Mantel permutation test, which asks whether two distance matrices, here ceramic dissimilarity and geographic distance, are related</w:t>
      </w:r>
      <w:r>
        <w:t xml:space="preserve"> </w:t>
      </w:r>
      <w:r>
        <w:t xml:space="preserve">(Mantel 1967)</w:t>
      </w:r>
      <w:r>
        <w:t xml:space="preserve">. Because a Mantel correlation cannot separate a sharp social boundary from a smooth distance decay, we summarized the result as a boundary-excess statistic, the gap between mean within-cluster and between-cluster similarity after controlling for distance. Smooth isolation-by-distance returns a boundary excess near zero, and a genuine social boundary returns a large positive value. Two corrections are essential before any of these signatures is read. Assemblage sample size trends with seriation position, and several of the estimators are size-sensitive, so we rarefy every assemblage to a common count</w:t>
      </w:r>
      <w:r>
        <w:t xml:space="preserve"> </w:t>
      </w:r>
      <w:r>
        <w:t xml:space="preserve">(Hurlbert 1971)</w:t>
      </w:r>
      <w:r>
        <w:t xml:space="preserve"> </w:t>
      </w:r>
      <w:r>
        <w:t xml:space="preserve">before scoring each signature as its rank correlation with ordinal position. And which signatures can be trusted at the record’s resolution is not assumed but established by the recovery experiment described next, in which a known closure signal is injected into the real configuration.</w:t>
      </w:r>
    </w:p>
    <w:bookmarkEnd w:id="26"/>
    <w:bookmarkStart w:id="27" w:name="criterion-validation-by-simulation"/>
    <w:p>
      <w:pPr>
        <w:pStyle w:val="Heading3"/>
      </w:pPr>
      <w:r>
        <w:t xml:space="preserve">Criterion validation by simulation</w:t>
      </w:r>
    </w:p>
    <w:p>
      <w:pPr>
        <w:pStyle w:val="FirstParagraph"/>
      </w:pPr>
      <w:r>
        <w:t xml:space="preserve">We validated the test in two stages. The first establishes the principle. A generative model copies decorated variants across groups under three mechanisms: faithful controls, the degree of between-group divergence, and the strength of within-group conformity. A spatial rule places group profiles on the landscape, and four generators instantiate the four processes of Table 1. Run blind through the four-signature pipeline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S4). That test uses large, clean assemblages, and it shows what the test can do in principle, not what it can do on a record like ours.</w:t>
      </w:r>
    </w:p>
    <w:p>
      <w:pPr>
        <w:pStyle w:val="BodyText"/>
      </w:pPr>
      <w:r>
        <w:t xml:space="preserve">The second stage is decisive, and its idea is simple. We built synthetic pottery records in which we ourselves controlled whether group structure was emerging, dialed from none to strong, and then asked whether our four measures could see it. Crucially, the synthetic records were matched to the real ones: the same number of collections, the same range of sample sizes, the same blurring of time that surface collections impose. If chiefdom structure had really been emerging at Parkin, this experiment would tell us whether tools like ours, applied to data like ours, would have caught it. Concretely, we generated synthetic assemblages, one per real assemblage, at the real per-assemblage sample sizes, spatial clusters, and ordinal bins, injected a known group-closure signal of tunable strength s (between-group divergence and within-group conformity rising together along the sequence to a maximum of s), and asked which signatures recover it. Two properties of the record make this essential rather than optional. Assemblage sample size trends with seriation position (Spearman rho = +0.59), and several signatures are size-sensitive so that a size-dependent estimator can rise or fall along the axis through sampling alone. We therefore rarefy every assemblage, synthetic and real, to a common count before scoring, thereby removing the confound. And the record is time-averaged, which we reproduce by blending adjacent-bin production within a window. The recovery experiment then asks, at the resolution and sample sizes this record preserves, which signatures can be trusted and how strong a closure would have to be to register. One feature of the calibration is worth noting. Because rarefying the larger, later assemblages to a common count slightly inflates within-cluster diversity and so depresses F_ST toward later positions, the no-closure null itself carries a mild negative trend rather than a flat zero. The detector is calibrated against that null distribution, not against zero, so the false-positive rate is held at five percent regardless, and the empirical value is read against the same null.</w:t>
      </w:r>
    </w:p>
    <w:bookmarkEnd w:id="27"/>
    <w:bookmarkStart w:id="28"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(Lipo et al. 2021)</w:t>
      </w:r>
      <w:r>
        <w:t xml:space="preserve">: each assemblage is a node holding a finite population of learners that copies decorated-type variants from within the node and, at a low rate, from other nodes with a probability that decays with geographic distance, under a fixed innovation rate, with deposition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rarefied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(Supplemental Text) rather than a single setting. To extend the test to the wider valley, we added the southeast-Missouri survey assemblages of Williams</w:t>
      </w:r>
      <w:r>
        <w:t xml:space="preserve"> </w:t>
      </w:r>
      <w:r>
        <w:t xml:space="preserve">(Williams 1954)</w:t>
      </w:r>
      <w:r>
        <w:t xml:space="preserve">, digitized from the survey tables, and georeferenced both the Phillips-Ford-Griffin and the Williams assemblages through their Lower Mississippi Survey grid designations against the digitized survey point files, so that the two regions share one coordinate frame. Decorated types were harmonized between the two typologies, both rooted in the Phillips-Ford-Griffin framework, into a common vocabulary, and the between-region comparison was run both on all decorated types and on the types shared by the two typologies (Supplemental Text).</w:t>
      </w:r>
    </w:p>
    <w:bookmarkEnd w:id="28"/>
    <w:bookmarkStart w:id="29" w:name="external-cross-check"/>
    <w:p>
      <w:pPr>
        <w:pStyle w:val="Heading3"/>
      </w:pPr>
      <w:r>
        <w:t xml:space="preserve">External cross-check</w:t>
      </w:r>
    </w:p>
    <w:p>
      <w:pPr>
        <w:pStyle w:val="FirstParagraph"/>
      </w:pPr>
      <w:r>
        <w:t xml:space="preserve">The transmission test stands on its own, but a polity, or any closure of interaction into bounded groups,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 regional analysis of the production and distribution of Mill Creek and Dover chert hoes, the capacity-linked industrial goods whose control would mark economic centralization, rather than measuring it ourselves</w:t>
      </w:r>
      <w:r>
        <w:t xml:space="preserve"> </w:t>
      </w:r>
      <w:r>
        <w:t xml:space="preserve">(Cobb 2000)</w:t>
      </w:r>
      <w:r>
        <w:t xml:space="preserve">. And we compared our seriation result to Mainfort’s independent nonmetric multidimensional scaling of overlapping late-period assemblages, a published ordination of 39 collections from the central valley and adjacent areas, which tests whether the named phases form discrete bounded clusters or a gradational continuum</w:t>
      </w:r>
      <w:r>
        <w:t xml:space="preserve"> </w:t>
      </w:r>
      <w:r>
        <w:t xml:space="preserve">(Mainfort 2003)</w:t>
      </w:r>
      <w:r>
        <w:t xml:space="preserve">.</w:t>
      </w:r>
    </w:p>
    <w:bookmarkEnd w:id="29"/>
    <w:bookmarkEnd w:id="30"/>
    <w:bookmarkStart w:id="43" w:name="results"/>
    <w:p>
      <w:pPr>
        <w:pStyle w:val="Heading2"/>
      </w:pPr>
      <w:r>
        <w:t xml:space="preserve">Results</w:t>
      </w:r>
    </w:p>
    <w:p>
      <w:pPr>
        <w:pStyle w:val="FirstParagraph"/>
      </w:pPr>
      <w:r>
        <w:t xml:space="preserve">The four signatures distinguish bounded groups from drift in principle, but at this record’s resolution, only one of them registers the difference. The idealized validation behaves as designed: when interaction is made to close into bounded groups all four signatures move together, the drift and other mimics each light only a characteristic subset, and the four are tightly correlated under closure (mean absolute pairwise correlation 0.88) yet nearly independent under the mimics (0.19 to 0.29), so their joint movement is informative rather than redundant (Figure S4). The record-matched recovery is the more informative of the two (Figure 4). When a known group-closure signal is injected at the real configuration and scored after size control, only cultural F_ST tracks it monotonically, climbing from the null toward a strong positive trend as the injected strength rises, where the injected strength s is a dial from 0, pure drift, to 1, strong and sharply bounded groups. The neutral departure is non-monotonic in conformity, the spatial boundary is unresponsive at the three spatial clusters the data support, and seriation coherence responds only weakly. With the false-positive rate held at five percent, F_ST recovers a closure of strength s greater than or equal to 0.5 with power above 0.8, the threshold rising to 0.7 under the record’s time-averaging. The other three signatures are not reliable discriminators at this resolution, and we treat them as weak corroboration only.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rarefied to a common count. Only cultural F_ST tracks the injected signal monotonically. The neutral departure is non-monotonic in conformity, the spatial boundary is unresponsive at three spatial clusters, and seriation coherence is weak. Right: detection power of the calibrated F_ST detector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2" name="Picture"/>
            <a:graphic>
              <a:graphicData uri="http://schemas.openxmlformats.org/drawingml/2006/picture">
                <pic:pic>
                  <pic:nvPicPr>
                    <pic:cNvPr descr="../../figures/fig4_recovery.png" id="33" name="Picture"/>
                    <pic:cNvPicPr>
                      <a:picLocks noChangeArrowheads="1" noChangeAspect="1"/>
                    </pic:cNvPicPr>
                  </pic:nvPicPr>
                  <pic:blipFill>
                    <a:blip r:embed="rId31"/>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rarefied to a common count. Only cultural F_ST tracks the injected signal monotonically. The neutral departure is non-monotonic in conformity, the spatial boundary is unresponsive at three spatial clusters, and seriation coherence is weak. Right: detection power of the calibrated F_ST detector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Parkin phase, that one reliable signature shows no closure into bounded groups, and the apparent signals in the others are confounded by sample size (Figure 5). The raw trajectory along the seriation axis seems to dissociate, but two of its trends are sampling artifacts: because assemblage size trends with seriation position, the size-sensitive estimators move with it. Two of the apparent trends are artifacts of sample size. Once every assemblage is trimmed to a common sherd count by rarefaction, cultural F_ST falls from a raw +0.60 to +0.01, and its uncertainty range runs from no closure to a moderate signal, so it is uninformative rather than a resolved positive. The neutrality departure is likewise size-sensitive (its raw -0.94 only weakens to -0.83 under size control), and the recovery shows that it does not track closure in either direction here, so it, too, cannot be read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positive control reported next shows that the structure actually present is what neutral drift produces, so the result is not only that no bounded group is detectable, but also that the data appear in ways consistent with how continuous, spatially structured interaction makes them look.</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rarefaction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5" name="Picture"/>
            <a:graphic>
              <a:graphicData uri="http://schemas.openxmlformats.org/drawingml/2006/picture">
                <pic:pic>
                  <pic:nvPicPr>
                    <pic:cNvPr descr="../../figures/fig5_empirical_trajectory.png" id="36" name="Picture"/>
                    <pic:cNvPicPr>
                      <a:picLocks noChangeArrowheads="1" noChangeAspect="1"/>
                    </pic:cNvPicPr>
                  </pic:nvPicPr>
                  <pic:blipFill>
                    <a:blip r:embed="rId34"/>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rarefaction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type’s rise and fall through the sequence and asks whether the changes resemble the aimless wobble of unbiased copying or the directed change a deliberate marker would exhibit. Seven of the nine testable types appear to be simple wobble (the frequency increment test)</w:t>
      </w:r>
      <w:r>
        <w:t xml:space="preserve"> </w:t>
      </w:r>
      <w:r>
        <w:t xml:space="preserve">(Feder et al. 2014)</w:t>
      </w:r>
      <w:r>
        <w:t xml:space="preserve">. The second compares how the collections’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collections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and the more diverse collections are the more central ones, the pattern drift produces in a single shared community (Figure S1)</w:t>
      </w:r>
      <w:r>
        <w:t xml:space="preserve"> </w:t>
      </w:r>
      <w:r>
        <w:t xml:space="preserve">(Neiman 1995)</w:t>
      </w:r>
      <w:r>
        <w:t xml:space="preserve">. The no-closure verdict is also robust to the analyst’s choices: across twenty-seven combinations of the basin’s spatial cutoff, the number of ordinal bins, and the number of spatial clusters, it appears in none of them, and it holds equally under the watershed and corridor basin definitions. Consistent with the recovery experiment, none of these checks shows a resolvable departure from neutral transmission, and we read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(Lipo et al. 2021)</w:t>
      </w:r>
      <w:r>
        <w:t xml:space="preserve">, we simulated neutral copying on the actual coordinate layout of the basin assemblages, with interaction decaying over distance and the record’s time-averaging imposed, and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and at higher mixing, it underproduces the structure, so the all-four match holds only in a plausible but specific corner of the space (Supplemental Text). The bounded-groups process, by contrast, overshoots the three structural signatures by roughly two to seven times across its range, leaving far sharper community structure than the data carry. The basin’s decorated-ceramic structure is therefore reproducible by neutral spatial drift under plausible parameters. It does not require bounded groups, which would have left a sharper mark than is present (Figure S5).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 The same conclusion is reached for the phase construct from outside the transmission framework. Fox’s cluster analysis and ordination of the southeast-Missouri assemblages that define the regional phases found them failing as both groups and classes, with assemblages assigned to statistical clusters at random rather than segregating by phase</w:t>
      </w:r>
      <w:r>
        <w:t xml:space="preserve"> </w:t>
      </w:r>
      <w:r>
        <w:t xml:space="preserve">(Fox 1998)</w:t>
      </w:r>
      <w:r>
        <w:t xml:space="preserve">.</w:t>
      </w:r>
    </w:p>
    <w:p>
      <w:pPr>
        <w:pStyle w:val="BodyText"/>
      </w:pPr>
      <w:r>
        <w:t xml:space="preserve">Parkin is a seriation bridge, not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 (2015) reported, with Parkin at the intersection of multiple non-co-seriable orderings rather than at the center of a single closed interaction community</w:t>
      </w:r>
      <w:r>
        <w:t xml:space="preserve"> </w:t>
      </w:r>
      <w:r>
        <w:t xml:space="preserve">(Lipo et al. 2015)</w:t>
      </w:r>
      <w:r>
        <w:t xml:space="preserve">. They read that bridging position as a possible sign of incipient hierarchy. We read it the other way: a site that bridges several orderings is a hub of interaction, not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8" name="Picture"/>
            <a:graphic>
              <a:graphicData uri="http://schemas.openxmlformats.org/drawingml/2006/picture">
                <pic:pic>
                  <pic:nvPicPr>
                    <pic:cNvPr descr="../../figures/fig6_idss_structure.png" id="39" name="Picture"/>
                    <pic:cNvPicPr>
                      <a:picLocks noChangeArrowheads="1" noChangeAspect="1"/>
                    </pic:cNvPicPr>
                  </pic:nvPicPr>
                  <pic:blipFill>
                    <a:blip r:embed="rId37"/>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Settlement does single Parkin out, but on the comparable evidence,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regional database under-records the moated, multi-mound type-site, coding its mound area and defensive ditch as zero</w:t>
      </w:r>
      <w:r>
        <w:t xml:space="preserve"> </w:t>
      </w:r>
      <w:r>
        <w:t xml:space="preserve">(Mitchem 2001; Morse 1990)</w:t>
      </w:r>
      <w:r>
        <w:t xml:space="preserve">, so we base the settlement comparison on recorded mound height rather than on mound area. Parkin’s roughly 17-acre site area would make it the largest center in the basin, but that figure is the total site area rather than the basal mound area on which the other sites are measured, and we treat it as indicative only.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 title="" id="41" name="Picture"/>
            <a:graphic>
              <a:graphicData uri="http://schemas.openxmlformats.org/drawingml/2006/picture">
                <pic:pic>
                  <pic:nvPicPr>
                    <pic:cNvPr descr="../../figures/fig7_ranksize.png" id="42" name="Picture"/>
                    <pic:cNvPicPr>
                      <a:picLocks noChangeArrowheads="1" noChangeAspect="1"/>
                    </pic:cNvPicPr>
                  </pic:nvPicPr>
                  <pic:blipFill>
                    <a:blip r:embed="rId40"/>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w:t>
      </w:r>
    </w:p>
    <w:p>
      <w:pPr>
        <w:pStyle w:val="BodyText"/>
      </w:pPr>
      <w:r>
        <w:t xml:space="preserve">The non-ceramic evidence converges on the same reading. Mound size within the basin is graded rather than redistributive, and Parkin’s dominance is one of scale rather than of an administrative tier set apart from the rest. The production and exchange of Mill Creek and Dover chert hoes, the capacity-linked tools whose control would mark an economic hierarchy, was decentralized at the regional scale, with distribution following a down-the-line gradient rather than redistribution from a central place</w:t>
      </w:r>
      <w:r>
        <w:t xml:space="preserve"> </w:t>
      </w:r>
      <w:r>
        <w:t xml:space="preserve">(Cobb 2000)</w:t>
      </w:r>
      <w:r>
        <w:t xml:space="preserve">. This is a regional pattern in which the St. Francis basin participates rather than a basin-internal measurement, so we read it as consistent with, not independent proof of, the absence of economic centralization at Parkin. A separate nonmetric ordination of overlapping late-period assemblages finds that the named phases form a gradational continuum rather than discrete, bounded clusters, the cross-method counterpart of our seriation fragmentation</w:t>
      </w:r>
      <w:r>
        <w:t xml:space="preserve"> </w:t>
      </w:r>
      <w:r>
        <w:t xml:space="preserve">(Mainfort 2003)</w:t>
      </w:r>
      <w:r>
        <w:t xml:space="preserve">. These lines point in the same direction. Two of them, the settlement organization and the lithic exchange, are independent of the ceramic data, while the ordination shares that substrate and corroborates the seriation result by a different method rather than independently.</w:t>
      </w:r>
    </w:p>
    <w:bookmarkEnd w:id="43"/>
    <w:bookmarkStart w:id="50" w:name="discussion"/>
    <w:p>
      <w:pPr>
        <w:pStyle w:val="Heading2"/>
      </w:pPr>
      <w:r>
        <w:t xml:space="preserve">Discussion</w:t>
      </w:r>
    </w:p>
    <w:p>
      <w:pPr>
        <w:pStyle w:val="FirstParagraph"/>
      </w:pPr>
      <w:r>
        <w:t xml:space="preserve">The three lines of evidence converge on a single reading: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mound size is graded rather than redistributive, and the production of the capacity-linked chert hoes was decentralized and their exchange followed a down-the-line gradient rather than central redistribution</w:t>
      </w:r>
      <w:r>
        <w:t xml:space="preserve"> </w:t>
      </w:r>
      <w:r>
        <w:t xml:space="preserve">(Cobb 2000)</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What the record shows is that the within-greater-than-between similarity the phase is built on is what spatially structured drift produces, so the phase, at the scale at which it is drawn, marks continuous interaction structured by geography rather than by a bounded society. Parkin’s ceremonial and demographic prominence was real. The polity that prominence is taken to imply is not in the transmission record.</w:t>
      </w:r>
    </w:p>
    <w:p>
      <w:pPr>
        <w:pStyle w:val="BodyText"/>
      </w:pPr>
      <w:r>
        <w:t xml:space="preserve">This reading must answer the strongest case for the alternative. The most direct argument for an emerging hierarchy holds that Parkin sits on agriculturally poor soil and so must have drawn tribute from the productive villages around it</w:t>
      </w:r>
      <w:r>
        <w:t xml:space="preserve"> </w:t>
      </w:r>
      <w:r>
        <w:t xml:space="preserve">(Morse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as well explained by control of movement and communication as by extraction, and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the result is presented as tentative, and a health difference between two sites does not require an extractive hierarchy to produce it. Neither argument supplies the regional, structural signature that the convergence test looks for and does not find.</w:t>
      </w:r>
    </w:p>
    <w:p>
      <w:pPr>
        <w:pStyle w:val="BodyText"/>
      </w:pPr>
      <w:r>
        <w:t xml:space="preserve">Three limits bound the result, and the recovery experiment forces the most important of them to the front. At this record’s resolution, the discrimination between a bounded group and drift rests on a single signature, cultural F_ST. That signature is confounded by a sample-size trend along the seriation axis (Spearman rho = +0.59). We removed the confound by rarefying every assemblage to a common count, which collapses the raw F_ST trend from +0.60 to +0.01. We calibrated the detector on synthetic data matched to the record, in which F_ST recovers a moderate-strength closure (s of about 0.5, rising to 0.7 once the record’s time-averaging is imposed), while holding the false-positive rate at 5%. The size-controlled empirical F_ST is uninformative, its bootstrap interval spanning no closure to a moderate signal. The negative is therefore informative for a closure of moderate or greater strength, which would have registered as a resolved positive, but does not. It cannot exclude a weaker closure that a record of 29 time-averaged assemblages is underpowered to resolve, and we state the claim at that bound rather than beyond it. The other three signatures do not track closure reliably here. The neutral departure is due to its non-monotonicity with respect to conformity and size-sensitivity. The spatial boundary is problematic because there are too few spatial clusters, and seriation coherence is weak, so we report them as corroboration rather than as independent confirmations. This reduction is a property of the record. When a known closure signal is injected instead through a within-group conformity channel or a non-spatially-organized social-fragmentation channel, neither the neutral nor the seriation signature recovers it either, so the three weak signatures fail at this resolution regardless of how closure is delivered (Supplemental Text). The price is that the negative bounds are only closure expressed as between-group divergence. The closure carried purely by conformity, or by social structure not aligned with the spatial clusters, would lie below detection in this record at any strength. The second limit is the ordinal chronology. The basin radiocarbon corpus pools to five seriation anchors across a calibration plateau, so the axis is a relative order oriented toward later time at Spearman +0.70, imperfectly.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argue that this makes the absence conservative, we built the damping into the recovery experiment directly, where it raises the detection threshold from s of 0.5 to 0.7, the quantified cost of the record’s temporal mixing. The verdict is stable across the watershed (19 assemblages) and corridor (29) basin definitions. The central methodological finding is that telling a bounded group from drift must be calibrated to the record to which it is applied. The same four signatures that discriminate cleanly on idealized data reduce, on a real time-averaged record of this size, to a single confound-controlled signature, and saying so is what licenses reading the structure as drift rather than weakening the claim.</w:t>
      </w:r>
    </w:p>
    <w:p>
      <w:pPr>
        <w:pStyle w:val="BodyText"/>
      </w:pPr>
      <w:r>
        <w:t xml:space="preserve">The contribution has two parts that should be kept distinct. The four signatures distinguish a bounded interaction group from drift in principle, and an idealized simulation confirms that closure drives them together while drift and the other mimics do not (Figure S4). The calibration is the part that travels to real data: it asks, before any similarity structure is read as social, which signatures a given record can support and how strong a closure each could detect, and on the Parkin record, it shows the test reducing to its single most robust component, cultural F_ST. We are explicit about what that costs: had F_ST shown a positive trend, it alone could not have separated a real group from environmental patchiness, which also drives between-group variance (Table 1), so on a positive result, the generative drift-versus-groups comparison, not F_ST alone, would have had to carry the discrimination. The negative is cleaner because the present structure is positively matched by drift and overshot by bounded groups. The transferable claim is therefore the calibration, not a promise that similarity clusters can be read as societies wherever decorated assemblages exist, and it converts a vague question, whether the Parkin phase was a polity, into a specific and answerable one, whether interaction had closed into a bounded group at a strength the record can resolve. For the Parkin phase, the answer is that it had not, within the bounds supported by the record. The polity the De Soto encountered seems to reflect a distinction drawn in ceremonial practices, fortification, and settlement size, not one written into the structure of ceramic transmission.</w:t>
      </w:r>
    </w:p>
    <w:p>
      <w:pPr>
        <w:pStyle w:val="BodyText"/>
      </w:pPr>
      <w:r>
        <w:t xml:space="preserve">The test also extends beyond the basin, and the extension is instructive (Figure 8). Applied to the southeast-Missouri assemblages compiled by Williams</w:t>
      </w:r>
      <w:r>
        <w:t xml:space="preserve"> </w:t>
      </w:r>
      <w:r>
        <w:t xml:space="preserve">(Williams 1954)</w:t>
      </w:r>
      <w:r>
        <w:t xml:space="preserve">, the within-region decorated-ceramic structure is again drift-consistent once the earlier Woodland component is set aside. Therefore, the absence of bounded groups is not peculiar to the St. Francis basin (Figure 9). In both regions, the observed between-cluster F_ST sits at the neutral-drift level and far below the bounded-groups expectation (LMV +0.02, CMV +0.03, against bounded-groups nulls of +0.11 and +0.08), and the assemblages intermix rather than separating into clusters. Between the two regions, a genuine discontinuity does appear. Across the roughly 50 km gap separating the central-valley and lower-valley assemblage clusters, decorated similarity declines by far more than neutral spatial drift would predict for the same geometry, and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types are early-to-middle Mississippian, and the distinctive lower-valley types are late</w:t>
      </w:r>
      <w:r>
        <w:t xml:space="preserve"> </w:t>
      </w:r>
      <w:r>
        <w:t xml:space="preserve">(Phillips 1970; Williams 1954)</w:t>
      </w:r>
      <w:r>
        <w:t xml:space="preserve">, so the step at the boundary cannot be separated from the early-to-late turnover of the repertoire with time-averaged surface collections, and resolving whether the inter-regional boundary is synchronic and social or a chronological succession would require independent radiocarbon control on the central-valley assemblages that the present compilation lacks. A second confound compounds the first. The lower-valley assemblages were collected and classified by Ford, later by Phillips, Ford, and Griffin. In contrast, the central-valley assemblages were collected and classified separately by Williams, so the two blocks differ in analyst, sorting convention, and type definition as well as in space and time. The shared-type restriction guards against the crudest version of this artifact, because a boundary built only from types unique to each typology would vanish when only the types both traditions record are compared, and the boundary does weaken under that restriction without disappearing. Even the shared types,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8. 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 title="" id="45" name="Picture"/>
            <a:graphic>
              <a:graphicData uri="http://schemas.openxmlformats.org/drawingml/2006/picture">
                <pic:pic>
                  <pic:nvPicPr>
                    <pic:cNvPr descr="../../figures/fig1_regional.png" id="46" name="Picture"/>
                    <pic:cNvPicPr>
                      <a:picLocks noChangeArrowheads="1" noChangeAspect="1"/>
                    </pic:cNvPicPr>
                  </pic:nvPicPr>
                  <pic:blipFill>
                    <a:blip r:embed="rId44"/>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Regional setting of the two-scale comparison. Decorated-ceramic assemblages of the central Mississippi Valley: the southeast-Missouri survey of Williams (CMV, blue) and the lower-valley St. Francis basin Parkin-phase assemblages (LMV, orange), with the gap between the two clusters of collections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w:t>
      </w:r>
    </w:p>
    <w:p>
      <w:pPr>
        <w:pStyle w:val="CaptionedFigure"/>
      </w:pPr>
      <w:r>
        <w:drawing>
          <wp:inline>
            <wp:extent cx="4754880" cy="3753325"/>
            <wp:effectExtent b="0" l="0" r="0" t="0"/>
            <wp:docPr descr="Figure 9. 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rarefied to the observed counts. In both regions, the observed F_ST sits at the drift level and far below the bounded-groups expectation, so the within-region structure is drift-consistent at both scales." title="" id="48" name="Picture"/>
            <a:graphic>
              <a:graphicData uri="http://schemas.openxmlformats.org/drawingml/2006/picture">
                <pic:pic>
                  <pic:nvPicPr>
                    <pic:cNvPr descr="../../figures/fig9_within_region.png" id="49" name="Picture"/>
                    <pic:cNvPicPr>
                      <a:picLocks noChangeArrowheads="1" noChangeAspect="1"/>
                    </pic:cNvPicPr>
                  </pic:nvPicPr>
                  <pic:blipFill>
                    <a:blip r:embed="rId47"/>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types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rarefied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w:t>
      </w:r>
      <w:r>
        <w:t xml:space="preserve">. A signature that interaction has closed into a bounded group should be theoretically sufficient,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and, on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and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A third probe, for the early-warning signature of a critical transition, is underpowered at this ordinal resolution and does not meet the empirical sufficiency criterion, so we report it in the supplementary code but do not rely on it</w:t>
      </w:r>
      <w:r>
        <w:t xml:space="preserve"> </w:t>
      </w:r>
      <w:r>
        <w:t xml:space="preserve">(Dakos et al. 2012; Scheffer et al. 2009)</w:t>
      </w:r>
      <w:r>
        <w:t xml:space="preserve">. The detail is in the Supplemental Text.</w:t>
      </w:r>
    </w:p>
    <w:bookmarkEnd w:id="50"/>
    <w:bookmarkStart w:id="51"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stands apart as the basin’s largest and tallest-mounded center. No line of evidence, settlement, exchange, or ceramic transmission marks it as the apex of a polity, and the within-greater-than-between ceramic similarity that defines the phase is reproduced by neutral drift on the basin’s geography, the ordinary residue of continuous interaction structured by where sites sit. A bounded interaction group would have a sharper structure than the data carry, and Parkin sits across orderings as a transmission bridge rather than at the closed core of one. Extending the test to the wider valley, a decorated-ceramic boundary that exceeds drift appears only between the central-valley and lower-valley blocks, and even there, it is entangled with the early-to-late turnover of the type repertoire. It cannot yet be read as a synchronic social division. The phase, at the scale where it is drawn, is largely indistinguishable from spatially structured drift, which carries a consequence the discipline should weigh: a similarity cluster is not by itself a society, and before a phase is read as a social group, the record must be shown able to tell a real interaction boundary from drift on geography. That calibration, not the phase, licenses a social reading, and, when applied to the central Mississippi Valley, it yields a landscape of continuous interaction with prominent nodes rather than a mosaic of bounded polities.</w:t>
      </w:r>
    </w:p>
    <w:bookmarkEnd w:id="51"/>
    <w:bookmarkStart w:id="52"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type counts, the georeferencing and radiocarbon data, the complete analysis pipeline, and instructions for reproducing every result and figure. The code is released under the MIT License and the data under a Creative Commons Attribution 4.0 International license.</w:t>
      </w:r>
    </w:p>
    <w:bookmarkEnd w:id="52"/>
    <w:bookmarkStart w:id="198" w:name="references"/>
    <w:p>
      <w:pPr>
        <w:pStyle w:val="Heading2"/>
      </w:pPr>
      <w:r>
        <w:t xml:space="preserve">References</w:t>
      </w:r>
    </w:p>
    <w:bookmarkStart w:id="197" w:name="refs"/>
    <w:bookmarkStart w:id="53"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53"/>
    <w:bookmarkStart w:id="55"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54">
        <w:r>
          <w:rPr>
            <w:rStyle w:val="Hyperlink"/>
          </w:rPr>
          <w:t xml:space="preserve">https://doi.org/10.1016/j.jaa.2006.08.002</w:t>
        </w:r>
      </w:hyperlink>
      <w:r>
        <w:t xml:space="preserve">.</w:t>
      </w:r>
    </w:p>
    <w:bookmarkEnd w:id="55"/>
    <w:bookmarkStart w:id="57"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56">
        <w:r>
          <w:rPr>
            <w:rStyle w:val="Hyperlink"/>
          </w:rPr>
          <w:t xml:space="preserve">https://doi.org/10.1016/j.beproc.2018.01.011</w:t>
        </w:r>
      </w:hyperlink>
      <w:r>
        <w:t xml:space="preserve">.</w:t>
      </w:r>
    </w:p>
    <w:bookmarkEnd w:id="57"/>
    <w:bookmarkStart w:id="58"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58"/>
    <w:bookmarkStart w:id="60"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59">
        <w:r>
          <w:rPr>
            <w:rStyle w:val="Hyperlink"/>
          </w:rPr>
          <w:t xml:space="preserve">https://doi.org/10.2307/3557066</w:t>
        </w:r>
      </w:hyperlink>
      <w:r>
        <w:t xml:space="preserve">.</w:t>
      </w:r>
    </w:p>
    <w:bookmarkEnd w:id="60"/>
    <w:bookmarkStart w:id="62"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61">
        <w:r>
          <w:rPr>
            <w:rStyle w:val="Hyperlink"/>
          </w:rPr>
          <w:t xml:space="preserve">https://doi.org/10.1017/S0094837300026907</w:t>
        </w:r>
      </w:hyperlink>
      <w:r>
        <w:t xml:space="preserve">.</w:t>
      </w:r>
    </w:p>
    <w:bookmarkEnd w:id="62"/>
    <w:bookmarkStart w:id="64"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63">
        <w:r>
          <w:rPr>
            <w:rStyle w:val="Hyperlink"/>
          </w:rPr>
          <w:t xml:space="preserve">https://doi.org/10.1073/pnas.0903232106</w:t>
        </w:r>
      </w:hyperlink>
      <w:r>
        <w:t xml:space="preserve">.</w:t>
      </w:r>
    </w:p>
    <w:bookmarkEnd w:id="64"/>
    <w:bookmarkStart w:id="66"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65">
        <w:r>
          <w:rPr>
            <w:rStyle w:val="Hyperlink"/>
          </w:rPr>
          <w:t xml:space="preserve">https://doi.org/10.1371/journal.pone.0003057</w:t>
        </w:r>
      </w:hyperlink>
      <w:r>
        <w:t xml:space="preserve">.</w:t>
      </w:r>
    </w:p>
    <w:bookmarkEnd w:id="66"/>
    <w:bookmarkStart w:id="68"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67">
        <w:r>
          <w:rPr>
            <w:rStyle w:val="Hyperlink"/>
          </w:rPr>
          <w:t xml:space="preserve">https://doi.org/10.1098/rspb.2004.2746</w:t>
        </w:r>
      </w:hyperlink>
      <w:r>
        <w:t xml:space="preserve">.</w:t>
      </w:r>
    </w:p>
    <w:bookmarkEnd w:id="68"/>
    <w:bookmarkStart w:id="69"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69"/>
    <w:bookmarkStart w:id="71"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0">
        <w:r>
          <w:rPr>
            <w:rStyle w:val="Hyperlink"/>
          </w:rPr>
          <w:t xml:space="preserve">https://doi.org/10.2307/2694206</w:t>
        </w:r>
      </w:hyperlink>
      <w:r>
        <w:t xml:space="preserve">.</w:t>
      </w:r>
    </w:p>
    <w:bookmarkEnd w:id="71"/>
    <w:bookmarkStart w:id="72"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72"/>
    <w:bookmarkStart w:id="74"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73">
        <w:r>
          <w:rPr>
            <w:rStyle w:val="Hyperlink"/>
          </w:rPr>
          <w:t xml:space="preserve">https://doi.org/10.1057/s41599-019-0295-9</w:t>
        </w:r>
      </w:hyperlink>
      <w:r>
        <w:t xml:space="preserve">.</w:t>
      </w:r>
    </w:p>
    <w:bookmarkEnd w:id="74"/>
    <w:bookmarkStart w:id="75"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75"/>
    <w:bookmarkStart w:id="76"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76"/>
    <w:bookmarkStart w:id="78"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7:47.</w:t>
      </w:r>
      <w:r>
        <w:t xml:space="preserve"> </w:t>
      </w:r>
      <w:hyperlink r:id="rId77">
        <w:r>
          <w:rPr>
            <w:rStyle w:val="Hyperlink"/>
          </w:rPr>
          <w:t xml:space="preserve">https://doi.org/10.1057/s41599-020-00635-3</w:t>
        </w:r>
      </w:hyperlink>
      <w:r>
        <w:t xml:space="preserve">.</w:t>
      </w:r>
    </w:p>
    <w:bookmarkEnd w:id="78"/>
    <w:bookmarkStart w:id="80"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79">
        <w:r>
          <w:rPr>
            <w:rStyle w:val="Hyperlink"/>
          </w:rPr>
          <w:t xml:space="preserve">https://doi.org/10.1007/s10816-022-09599-x</w:t>
        </w:r>
      </w:hyperlink>
      <w:r>
        <w:t xml:space="preserve">.</w:t>
      </w:r>
    </w:p>
    <w:bookmarkEnd w:id="80"/>
    <w:bookmarkStart w:id="82"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81">
        <w:r>
          <w:rPr>
            <w:rStyle w:val="Hyperlink"/>
          </w:rPr>
          <w:t xml:space="preserve">https://doi.org/10.1038/srep39122</w:t>
        </w:r>
      </w:hyperlink>
      <w:r>
        <w:t xml:space="preserve">.</w:t>
      </w:r>
    </w:p>
    <w:bookmarkEnd w:id="82"/>
    <w:bookmarkStart w:id="84"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83">
        <w:r>
          <w:rPr>
            <w:rStyle w:val="Hyperlink"/>
          </w:rPr>
          <w:t xml:space="preserve">https://doi.org/10.1371/journal.pone.0041010</w:t>
        </w:r>
      </w:hyperlink>
      <w:r>
        <w:t xml:space="preserve">.</w:t>
      </w:r>
    </w:p>
    <w:bookmarkEnd w:id="84"/>
    <w:bookmarkStart w:id="86"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85">
        <w:r>
          <w:rPr>
            <w:rStyle w:val="Hyperlink"/>
          </w:rPr>
          <w:t xml:space="preserve">https://doi.org/10.2307/278341</w:t>
        </w:r>
      </w:hyperlink>
      <w:r>
        <w:t xml:space="preserve">.</w:t>
      </w:r>
    </w:p>
    <w:bookmarkEnd w:id="86"/>
    <w:bookmarkStart w:id="88"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87">
        <w:r>
          <w:rPr>
            <w:rStyle w:val="Hyperlink"/>
          </w:rPr>
          <w:t xml:space="preserve">https://doi.org/10.2307/279244</w:t>
        </w:r>
      </w:hyperlink>
      <w:r>
        <w:t xml:space="preserve">.</w:t>
      </w:r>
    </w:p>
    <w:bookmarkEnd w:id="88"/>
    <w:bookmarkStart w:id="89"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89"/>
    <w:bookmarkStart w:id="90" w:name="ref-dunnell_1995"/>
    <w:p>
      <w:pPr>
        <w:pStyle w:val="Bibliography"/>
      </w:pPr>
      <w:r>
        <w:t xml:space="preserve">Dunnell, Robert C. 1995.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0"/>
    <w:bookmarkStart w:id="91"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91"/>
    <w:bookmarkStart w:id="93"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92">
        <w:r>
          <w:rPr>
            <w:rStyle w:val="Hyperlink"/>
          </w:rPr>
          <w:t xml:space="preserve">https://doi.org/10.1016/j.jaa.2005.08.001</w:t>
        </w:r>
      </w:hyperlink>
      <w:r>
        <w:t xml:space="preserve">.</w:t>
      </w:r>
    </w:p>
    <w:bookmarkEnd w:id="93"/>
    <w:bookmarkStart w:id="95"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94">
        <w:r>
          <w:rPr>
            <w:rStyle w:val="Hyperlink"/>
          </w:rPr>
          <w:t xml:space="preserve">https://doi.org/10.1007/s10814-007-9013-z</w:t>
        </w:r>
      </w:hyperlink>
      <w:r>
        <w:t xml:space="preserve">.</w:t>
      </w:r>
    </w:p>
    <w:bookmarkEnd w:id="95"/>
    <w:bookmarkStart w:id="96"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96"/>
    <w:bookmarkStart w:id="98"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97">
        <w:r>
          <w:rPr>
            <w:rStyle w:val="Hyperlink"/>
          </w:rPr>
          <w:t xml:space="preserve">https://doi.org/10.1534/genetics.113.158220</w:t>
        </w:r>
      </w:hyperlink>
      <w:r>
        <w:t xml:space="preserve">.</w:t>
      </w:r>
    </w:p>
    <w:bookmarkEnd w:id="98"/>
    <w:bookmarkStart w:id="100"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99">
        <w:r>
          <w:rPr>
            <w:rStyle w:val="Hyperlink"/>
          </w:rPr>
          <w:t xml:space="preserve">https://doi.org/10.1073/pnas.2418106121</w:t>
        </w:r>
      </w:hyperlink>
      <w:r>
        <w:t xml:space="preserve">.</w:t>
      </w:r>
    </w:p>
    <w:bookmarkEnd w:id="100"/>
    <w:bookmarkStart w:id="101"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01"/>
    <w:bookmarkStart w:id="102"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02"/>
    <w:bookmarkStart w:id="103"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143–168. Archaeological Report No. 25. Mississippi Department of Archives; History, Jackson.</w:t>
      </w:r>
    </w:p>
    <w:bookmarkEnd w:id="103"/>
    <w:bookmarkStart w:id="104"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04"/>
    <w:bookmarkStart w:id="106"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05">
        <w:r>
          <w:rPr>
            <w:rStyle w:val="Hyperlink"/>
          </w:rPr>
          <w:t xml:space="preserve">https://doi.org/10.1525/aa.2001.103.4.992</w:t>
        </w:r>
      </w:hyperlink>
      <w:r>
        <w:t xml:space="preserve">.</w:t>
      </w:r>
    </w:p>
    <w:bookmarkEnd w:id="106"/>
    <w:bookmarkStart w:id="108"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07">
        <w:r>
          <w:rPr>
            <w:rStyle w:val="Hyperlink"/>
          </w:rPr>
          <w:t xml:space="preserve">https://doi.org/10.2307/4128416</w:t>
        </w:r>
      </w:hyperlink>
      <w:r>
        <w:t xml:space="preserve">.</w:t>
      </w:r>
    </w:p>
    <w:bookmarkEnd w:id="108"/>
    <w:bookmarkStart w:id="109"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09"/>
    <w:bookmarkStart w:id="111"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10">
        <w:r>
          <w:rPr>
            <w:rStyle w:val="Hyperlink"/>
          </w:rPr>
          <w:t xml:space="preserve">https://doi.org/10.1017/aap.2021.10</w:t>
        </w:r>
      </w:hyperlink>
      <w:r>
        <w:t xml:space="preserve">.</w:t>
      </w:r>
    </w:p>
    <w:bookmarkEnd w:id="111"/>
    <w:bookmarkStart w:id="112"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12"/>
    <w:bookmarkStart w:id="113"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13"/>
    <w:bookmarkStart w:id="115"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14">
        <w:r>
          <w:rPr>
            <w:rStyle w:val="Hyperlink"/>
          </w:rPr>
          <w:t xml:space="preserve">https://doi.org/10.1666/05070.1</w:t>
        </w:r>
      </w:hyperlink>
      <w:r>
        <w:t xml:space="preserve">.</w:t>
      </w:r>
    </w:p>
    <w:bookmarkEnd w:id="115"/>
    <w:bookmarkStart w:id="117"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16">
        <w:r>
          <w:rPr>
            <w:rStyle w:val="Hyperlink"/>
          </w:rPr>
          <w:t xml:space="preserve">https://doi.org/10.1111/j.1558-5646.2007.00310.x</w:t>
        </w:r>
      </w:hyperlink>
      <w:r>
        <w:t xml:space="preserve">.</w:t>
      </w:r>
    </w:p>
    <w:bookmarkEnd w:id="117"/>
    <w:bookmarkStart w:id="118"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18"/>
    <w:bookmarkStart w:id="120"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19">
        <w:r>
          <w:rPr>
            <w:rStyle w:val="Hyperlink"/>
          </w:rPr>
          <w:t xml:space="preserve">https://doi.org/10.1016/j.jtbi.2013.03.006</w:t>
        </w:r>
      </w:hyperlink>
      <w:r>
        <w:t xml:space="preserve">.</w:t>
      </w:r>
    </w:p>
    <w:bookmarkEnd w:id="120"/>
    <w:bookmarkStart w:id="122"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21">
        <w:r>
          <w:rPr>
            <w:rStyle w:val="Hyperlink"/>
          </w:rPr>
          <w:t xml:space="preserve">https://doi.org/10.1098/rsif.2015.0905</w:t>
        </w:r>
      </w:hyperlink>
      <w:r>
        <w:t xml:space="preserve">.</w:t>
      </w:r>
    </w:p>
    <w:bookmarkEnd w:id="122"/>
    <w:bookmarkStart w:id="124"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23">
        <w:r>
          <w:rPr>
            <w:rStyle w:val="Hyperlink"/>
          </w:rPr>
          <w:t xml:space="preserve">https://doi.org/10.1098/rsos.170949</w:t>
        </w:r>
      </w:hyperlink>
      <w:r>
        <w:t xml:space="preserve">.</w:t>
      </w:r>
    </w:p>
    <w:bookmarkEnd w:id="124"/>
    <w:bookmarkStart w:id="126"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25">
        <w:r>
          <w:rPr>
            <w:rStyle w:val="Hyperlink"/>
          </w:rPr>
          <w:t xml:space="preserve">https://doi.org/10.1146/annurev-ecolsys-110512-135838</w:t>
        </w:r>
      </w:hyperlink>
      <w:r>
        <w:t xml:space="preserve">.</w:t>
      </w:r>
    </w:p>
    <w:bookmarkEnd w:id="126"/>
    <w:bookmarkStart w:id="127"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27"/>
    <w:bookmarkStart w:id="128"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p>
    <w:bookmarkEnd w:id="128"/>
    <w:bookmarkStart w:id="129"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29"/>
    <w:bookmarkStart w:id="130"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30"/>
    <w:bookmarkStart w:id="132"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31">
        <w:r>
          <w:rPr>
            <w:rStyle w:val="Hyperlink"/>
          </w:rPr>
          <w:t xml:space="preserve">https://doi.org/10.1371/journal.pone.0250690</w:t>
        </w:r>
      </w:hyperlink>
      <w:r>
        <w:t xml:space="preserve">.</w:t>
      </w:r>
    </w:p>
    <w:bookmarkEnd w:id="132"/>
    <w:bookmarkStart w:id="133"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33"/>
    <w:bookmarkStart w:id="134"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p>
    <w:bookmarkEnd w:id="134"/>
    <w:bookmarkStart w:id="136"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35">
        <w:r>
          <w:rPr>
            <w:rStyle w:val="Hyperlink"/>
          </w:rPr>
          <w:t xml:space="preserve">https://doi.org/10.1371/journal.pone.0124942</w:t>
        </w:r>
      </w:hyperlink>
      <w:r>
        <w:t xml:space="preserve">.</w:t>
      </w:r>
    </w:p>
    <w:bookmarkEnd w:id="136"/>
    <w:bookmarkStart w:id="138"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37">
        <w:r>
          <w:rPr>
            <w:rStyle w:val="Hyperlink"/>
          </w:rPr>
          <w:t xml:space="preserve">https://doi.org/10.1006/jaar.1997.0314</w:t>
        </w:r>
      </w:hyperlink>
      <w:r>
        <w:t xml:space="preserve">.</w:t>
      </w:r>
    </w:p>
    <w:bookmarkEnd w:id="138"/>
    <w:bookmarkStart w:id="140"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39">
        <w:r>
          <w:rPr>
            <w:rStyle w:val="Hyperlink"/>
          </w:rPr>
          <w:t xml:space="preserve">https://doi.org/10.1073/pnas.1818346116</w:t>
        </w:r>
      </w:hyperlink>
      <w:r>
        <w:t xml:space="preserve">.</w:t>
      </w:r>
    </w:p>
    <w:bookmarkEnd w:id="140"/>
    <w:bookmarkStart w:id="141" w:name="ref-madsen_2012"/>
    <w:p>
      <w:pPr>
        <w:pStyle w:val="Bibliography"/>
      </w:pPr>
      <w:r>
        <w:t xml:space="preserve">Madsen, Mark E. 2012. Neutral Cultural Transmission in Time-Averaged Archaeological Assemblages. arXiv preprint arXiv:1204.2043 [physics.soc-ph].</w:t>
      </w:r>
    </w:p>
    <w:bookmarkEnd w:id="141"/>
    <w:bookmarkStart w:id="142" w:name="ref-mainfort_1996"/>
    <w:p>
      <w:pPr>
        <w:pStyle w:val="Bibliography"/>
      </w:pPr>
      <w:r>
        <w:t xml:space="preserve">Mainfort, Jr., Robert C. 1996.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42"/>
    <w:bookmarkStart w:id="143"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43"/>
    <w:bookmarkStart w:id="144"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44"/>
    <w:bookmarkStart w:id="145"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45"/>
    <w:bookmarkStart w:id="146"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46"/>
    <w:bookmarkStart w:id="147"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47"/>
    <w:bookmarkStart w:id="149"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48">
        <w:r>
          <w:rPr>
            <w:rStyle w:val="Hyperlink"/>
          </w:rPr>
          <w:t xml:space="preserve">https://doi.org/10.1080/20548923.2018.1504490</w:t>
        </w:r>
      </w:hyperlink>
      <w:r>
        <w:t xml:space="preserve">.</w:t>
      </w:r>
    </w:p>
    <w:bookmarkEnd w:id="149"/>
    <w:bookmarkStart w:id="150"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50"/>
    <w:bookmarkStart w:id="151"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51"/>
    <w:bookmarkStart w:id="152"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52"/>
    <w:bookmarkStart w:id="153"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53"/>
    <w:bookmarkStart w:id="154"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54"/>
    <w:bookmarkStart w:id="155"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55"/>
    <w:bookmarkStart w:id="157"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56">
        <w:r>
          <w:rPr>
            <w:rStyle w:val="Hyperlink"/>
          </w:rPr>
          <w:t xml:space="preserve">https://doi.org/10.2307/279066</w:t>
        </w:r>
      </w:hyperlink>
      <w:r>
        <w:t xml:space="preserve">.</w:t>
      </w:r>
    </w:p>
    <w:bookmarkEnd w:id="157"/>
    <w:bookmarkStart w:id="159"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58">
        <w:r>
          <w:rPr>
            <w:rStyle w:val="Hyperlink"/>
          </w:rPr>
          <w:t xml:space="preserve">https://doi.org/10.1016/j.jas.2012.04.040</w:t>
        </w:r>
      </w:hyperlink>
      <w:r>
        <w:t xml:space="preserve">.</w:t>
      </w:r>
    </w:p>
    <w:bookmarkEnd w:id="159"/>
    <w:bookmarkStart w:id="161"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60">
        <w:r>
          <w:rPr>
            <w:rStyle w:val="Hyperlink"/>
          </w:rPr>
          <w:t xml:space="preserve">https://doi.org/10.1007/s10816-018-9364-4</w:t>
        </w:r>
      </w:hyperlink>
      <w:r>
        <w:t xml:space="preserve">.</w:t>
      </w:r>
    </w:p>
    <w:bookmarkEnd w:id="161"/>
    <w:bookmarkStart w:id="162"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62"/>
    <w:bookmarkStart w:id="163"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63"/>
    <w:bookmarkStart w:id="164"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64"/>
    <w:bookmarkStart w:id="166"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65">
        <w:r>
          <w:rPr>
            <w:rStyle w:val="Hyperlink"/>
          </w:rPr>
          <w:t xml:space="preserve">https://doi.org/10.1525/aa.1953.55.5.02a00030</w:t>
        </w:r>
      </w:hyperlink>
      <w:r>
        <w:t xml:space="preserve">.</w:t>
      </w:r>
    </w:p>
    <w:bookmarkEnd w:id="166"/>
    <w:bookmarkStart w:id="168"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67">
        <w:r>
          <w:rPr>
            <w:rStyle w:val="Hyperlink"/>
          </w:rPr>
          <w:t xml:space="preserve">https://doi.org/10.1126/science.1170165</w:t>
        </w:r>
      </w:hyperlink>
      <w:r>
        <w:t xml:space="preserve">.</w:t>
      </w:r>
    </w:p>
    <w:bookmarkEnd w:id="168"/>
    <w:bookmarkStart w:id="170"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69">
        <w:r>
          <w:rPr>
            <w:rStyle w:val="Hyperlink"/>
          </w:rPr>
          <w:t xml:space="preserve">https://doi.org/10.1086/674873</w:t>
        </w:r>
      </w:hyperlink>
      <w:r>
        <w:t xml:space="preserve">.</w:t>
      </w:r>
    </w:p>
    <w:bookmarkEnd w:id="170"/>
    <w:bookmarkStart w:id="171"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71"/>
    <w:bookmarkStart w:id="173"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72">
        <w:r>
          <w:rPr>
            <w:rStyle w:val="Hyperlink"/>
          </w:rPr>
          <w:t xml:space="preserve">https://doi.org/10.1017/RDC.2020.41</w:t>
        </w:r>
      </w:hyperlink>
      <w:r>
        <w:t xml:space="preserve">.</w:t>
      </w:r>
    </w:p>
    <w:bookmarkEnd w:id="173"/>
    <w:bookmarkStart w:id="175"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174">
        <w:r>
          <w:rPr>
            <w:rStyle w:val="Hyperlink"/>
          </w:rPr>
          <w:t xml:space="preserve">https://doi.org/10.1017/S0140525X1400106X</w:t>
        </w:r>
      </w:hyperlink>
      <w:r>
        <w:t xml:space="preserve">.</w:t>
      </w:r>
    </w:p>
    <w:bookmarkEnd w:id="175"/>
    <w:bookmarkStart w:id="177"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176">
        <w:r>
          <w:rPr>
            <w:rStyle w:val="Hyperlink"/>
          </w:rPr>
          <w:t xml:space="preserve">https://doi.org/10.1057/s41599-019-0260-7</w:t>
        </w:r>
      </w:hyperlink>
      <w:r>
        <w:t xml:space="preserve">.</w:t>
      </w:r>
    </w:p>
    <w:bookmarkEnd w:id="177"/>
    <w:bookmarkStart w:id="178"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178"/>
    <w:bookmarkStart w:id="179"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179"/>
    <w:bookmarkStart w:id="181"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180">
        <w:r>
          <w:rPr>
            <w:rStyle w:val="Hyperlink"/>
          </w:rPr>
          <w:t xml:space="preserve">https://doi.org/10.1038/nature08227</w:t>
        </w:r>
      </w:hyperlink>
      <w:r>
        <w:t xml:space="preserve">.</w:t>
      </w:r>
    </w:p>
    <w:bookmarkEnd w:id="181"/>
    <w:bookmarkStart w:id="182"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182"/>
    <w:bookmarkStart w:id="183"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183"/>
    <w:bookmarkStart w:id="184"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184"/>
    <w:bookmarkStart w:id="186"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185">
        <w:r>
          <w:rPr>
            <w:rStyle w:val="Hyperlink"/>
          </w:rPr>
          <w:t xml:space="preserve">https://doi.org/10.1006/jhev.1994.1037</w:t>
        </w:r>
      </w:hyperlink>
      <w:r>
        <w:t xml:space="preserve">.</w:t>
      </w:r>
    </w:p>
    <w:bookmarkEnd w:id="186"/>
    <w:bookmarkStart w:id="188"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187">
        <w:r>
          <w:rPr>
            <w:rStyle w:val="Hyperlink"/>
          </w:rPr>
          <w:t xml:space="preserve">https://doi.org/10.1017/aaq.2024.1</w:t>
        </w:r>
      </w:hyperlink>
      <w:r>
        <w:t xml:space="preserve">.</w:t>
      </w:r>
    </w:p>
    <w:bookmarkEnd w:id="188"/>
    <w:bookmarkStart w:id="189"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189"/>
    <w:bookmarkStart w:id="191"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190">
        <w:r>
          <w:rPr>
            <w:rStyle w:val="Hyperlink"/>
          </w:rPr>
          <w:t xml:space="preserve">https://doi.org/10.1086/651661</w:t>
        </w:r>
      </w:hyperlink>
      <w:r>
        <w:t xml:space="preserve">.</w:t>
      </w:r>
    </w:p>
    <w:bookmarkEnd w:id="191"/>
    <w:bookmarkStart w:id="192"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192"/>
    <w:bookmarkStart w:id="193" w:name="ref-williams_1954"/>
    <w:p>
      <w:pPr>
        <w:pStyle w:val="Bibliography"/>
      </w:pPr>
      <w:r>
        <w:t xml:space="preserve">Williams, Stephen. 1954. An Archeological Study of the Mississippian Culture in Southeast Missouri. PhD thesis, Yale University, New Haven.</w:t>
      </w:r>
    </w:p>
    <w:bookmarkEnd w:id="193"/>
    <w:bookmarkStart w:id="194"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194"/>
    <w:bookmarkStart w:id="196"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5:e16.</w:t>
      </w:r>
      <w:r>
        <w:t xml:space="preserve"> </w:t>
      </w:r>
      <w:hyperlink r:id="rId195">
        <w:r>
          <w:rPr>
            <w:rStyle w:val="Hyperlink"/>
          </w:rPr>
          <w:t xml:space="preserve">https://doi.org/10.1017/ehs.2023.5</w:t>
        </w:r>
      </w:hyperlink>
      <w:r>
        <w:t xml:space="preserve">.</w:t>
      </w:r>
    </w:p>
    <w:bookmarkEnd w:id="196"/>
    <w:bookmarkEnd w:id="197"/>
    <w:bookmarkEnd w:id="198"/>
    <w:bookmarkEnd w:id="1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hyperlink" Id="rId137" Target="https://doi.org/10.1006/jaar.1997.0314" TargetMode="External" /><Relationship Type="http://schemas.openxmlformats.org/officeDocument/2006/relationships/hyperlink" Id="rId185" Target="https://doi.org/10.1006/jhev.1994.1037" TargetMode="External" /><Relationship Type="http://schemas.openxmlformats.org/officeDocument/2006/relationships/hyperlink" Id="rId94" Target="https://doi.org/10.1007/s10814-007-9013-z" TargetMode="External" /><Relationship Type="http://schemas.openxmlformats.org/officeDocument/2006/relationships/hyperlink" Id="rId160" Target="https://doi.org/10.1007/s10816-018-9364-4" TargetMode="External" /><Relationship Type="http://schemas.openxmlformats.org/officeDocument/2006/relationships/hyperlink" Id="rId79" Target="https://doi.org/10.1007/s10816-022-09599-x" TargetMode="External" /><Relationship Type="http://schemas.openxmlformats.org/officeDocument/2006/relationships/hyperlink" Id="rId56" Target="https://doi.org/10.1016/j.beproc.2018.01.011" TargetMode="External" /><Relationship Type="http://schemas.openxmlformats.org/officeDocument/2006/relationships/hyperlink" Id="rId92" Target="https://doi.org/10.1016/j.jaa.2005.08.001" TargetMode="External" /><Relationship Type="http://schemas.openxmlformats.org/officeDocument/2006/relationships/hyperlink" Id="rId54" Target="https://doi.org/10.1016/j.jaa.2006.08.002" TargetMode="External" /><Relationship Type="http://schemas.openxmlformats.org/officeDocument/2006/relationships/hyperlink" Id="rId158" Target="https://doi.org/10.1016/j.jas.2012.04.040" TargetMode="External" /><Relationship Type="http://schemas.openxmlformats.org/officeDocument/2006/relationships/hyperlink" Id="rId119" Target="https://doi.org/10.1016/j.jtbi.2013.03.006" TargetMode="External" /><Relationship Type="http://schemas.openxmlformats.org/officeDocument/2006/relationships/hyperlink" Id="rId172" Target="https://doi.org/10.1017/RDC.2020.41" TargetMode="External" /><Relationship Type="http://schemas.openxmlformats.org/officeDocument/2006/relationships/hyperlink" Id="rId61" Target="https://doi.org/10.1017/S0094837300026907" TargetMode="External" /><Relationship Type="http://schemas.openxmlformats.org/officeDocument/2006/relationships/hyperlink" Id="rId174" Target="https://doi.org/10.1017/S0140525X1400106X" TargetMode="External" /><Relationship Type="http://schemas.openxmlformats.org/officeDocument/2006/relationships/hyperlink" Id="rId110" Target="https://doi.org/10.1017/aap.2021.10" TargetMode="External" /><Relationship Type="http://schemas.openxmlformats.org/officeDocument/2006/relationships/hyperlink" Id="rId187" Target="https://doi.org/10.1017/aaq.2024.1" TargetMode="External" /><Relationship Type="http://schemas.openxmlformats.org/officeDocument/2006/relationships/hyperlink" Id="rId195" Target="https://doi.org/10.1017/ehs.2023.5" TargetMode="External" /><Relationship Type="http://schemas.openxmlformats.org/officeDocument/2006/relationships/hyperlink" Id="rId180" Target="https://doi.org/10.1038/nature08227" TargetMode="External" /><Relationship Type="http://schemas.openxmlformats.org/officeDocument/2006/relationships/hyperlink" Id="rId81" Target="https://doi.org/10.1038/srep39122" TargetMode="External" /><Relationship Type="http://schemas.openxmlformats.org/officeDocument/2006/relationships/hyperlink" Id="rId176" Target="https://doi.org/10.1057/s41599-019-0260-7" TargetMode="External" /><Relationship Type="http://schemas.openxmlformats.org/officeDocument/2006/relationships/hyperlink" Id="rId73" Target="https://doi.org/10.1057/s41599-019-0295-9" TargetMode="External" /><Relationship Type="http://schemas.openxmlformats.org/officeDocument/2006/relationships/hyperlink" Id="rId77" Target="https://doi.org/10.1057/s41599-020-00635-3" TargetMode="External" /><Relationship Type="http://schemas.openxmlformats.org/officeDocument/2006/relationships/hyperlink" Id="rId63" Target="https://doi.org/10.1073/pnas.0903232106" TargetMode="External" /><Relationship Type="http://schemas.openxmlformats.org/officeDocument/2006/relationships/hyperlink" Id="rId139" Target="https://doi.org/10.1073/pnas.1818346116" TargetMode="External" /><Relationship Type="http://schemas.openxmlformats.org/officeDocument/2006/relationships/hyperlink" Id="rId99" Target="https://doi.org/10.1073/pnas.2418106121" TargetMode="External" /><Relationship Type="http://schemas.openxmlformats.org/officeDocument/2006/relationships/hyperlink" Id="rId148" Target="https://doi.org/10.1080/20548923.2018.1504490" TargetMode="External" /><Relationship Type="http://schemas.openxmlformats.org/officeDocument/2006/relationships/hyperlink" Id="rId190" Target="https://doi.org/10.1086/651661" TargetMode="External" /><Relationship Type="http://schemas.openxmlformats.org/officeDocument/2006/relationships/hyperlink" Id="rId169" Target="https://doi.org/10.1086/674873" TargetMode="External" /><Relationship Type="http://schemas.openxmlformats.org/officeDocument/2006/relationships/hyperlink" Id="rId121" Target="https://doi.org/10.1098/rsif.2015.0905" TargetMode="External" /><Relationship Type="http://schemas.openxmlformats.org/officeDocument/2006/relationships/hyperlink" Id="rId123" Target="https://doi.org/10.1098/rsos.170949" TargetMode="External" /><Relationship Type="http://schemas.openxmlformats.org/officeDocument/2006/relationships/hyperlink" Id="rId67" Target="https://doi.org/10.1098/rspb.2004.2746" TargetMode="External" /><Relationship Type="http://schemas.openxmlformats.org/officeDocument/2006/relationships/hyperlink" Id="rId116" Target="https://doi.org/10.1111/j.1558-5646.2007.00310.x" TargetMode="External" /><Relationship Type="http://schemas.openxmlformats.org/officeDocument/2006/relationships/hyperlink" Id="rId167" Target="https://doi.org/10.1126/science.1170165" TargetMode="External" /><Relationship Type="http://schemas.openxmlformats.org/officeDocument/2006/relationships/hyperlink" Id="rId125" Target="https://doi.org/10.1146/annurev-ecolsys-110512-135838" TargetMode="External" /><Relationship Type="http://schemas.openxmlformats.org/officeDocument/2006/relationships/hyperlink" Id="rId65" Target="https://doi.org/10.1371/journal.pone.0003057" TargetMode="External" /><Relationship Type="http://schemas.openxmlformats.org/officeDocument/2006/relationships/hyperlink" Id="rId83" Target="https://doi.org/10.1371/journal.pone.0041010" TargetMode="External" /><Relationship Type="http://schemas.openxmlformats.org/officeDocument/2006/relationships/hyperlink" Id="rId135" Target="https://doi.org/10.1371/journal.pone.0124942" TargetMode="External" /><Relationship Type="http://schemas.openxmlformats.org/officeDocument/2006/relationships/hyperlink" Id="rId131" Target="https://doi.org/10.1371/journal.pone.0250690" TargetMode="External" /><Relationship Type="http://schemas.openxmlformats.org/officeDocument/2006/relationships/hyperlink" Id="rId165" Target="https://doi.org/10.1525/aa.1953.55.5.02a00030" TargetMode="External" /><Relationship Type="http://schemas.openxmlformats.org/officeDocument/2006/relationships/hyperlink" Id="rId105" Target="https://doi.org/10.1525/aa.2001.103.4.992" TargetMode="External" /><Relationship Type="http://schemas.openxmlformats.org/officeDocument/2006/relationships/hyperlink" Id="rId97" Target="https://doi.org/10.1534/genetics.113.158220" TargetMode="External" /><Relationship Type="http://schemas.openxmlformats.org/officeDocument/2006/relationships/hyperlink" Id="rId114" Target="https://doi.org/10.1666/05070.1" TargetMode="External" /><Relationship Type="http://schemas.openxmlformats.org/officeDocument/2006/relationships/hyperlink" Id="rId70" Target="https://doi.org/10.2307/2694206" TargetMode="External" /><Relationship Type="http://schemas.openxmlformats.org/officeDocument/2006/relationships/hyperlink" Id="rId85" Target="https://doi.org/10.2307/278341" TargetMode="External" /><Relationship Type="http://schemas.openxmlformats.org/officeDocument/2006/relationships/hyperlink" Id="rId156" Target="https://doi.org/10.2307/279066" TargetMode="External" /><Relationship Type="http://schemas.openxmlformats.org/officeDocument/2006/relationships/hyperlink" Id="rId87" Target="https://doi.org/10.2307/279244" TargetMode="External" /><Relationship Type="http://schemas.openxmlformats.org/officeDocument/2006/relationships/hyperlink" Id="rId59" Target="https://doi.org/10.2307/3557066" TargetMode="External" /><Relationship Type="http://schemas.openxmlformats.org/officeDocument/2006/relationships/hyperlink" Id="rId107" Target="https://doi.org/10.2307/4128416" TargetMode="External" /></Relationships>
</file>

<file path=word/_rels/footnotes.xml.rels><?xml version="1.0" encoding="UTF-8"?><Relationships xmlns="http://schemas.openxmlformats.org/package/2006/relationships"><Relationship Type="http://schemas.openxmlformats.org/officeDocument/2006/relationships/hyperlink" Id="rId137" Target="https://doi.org/10.1006/jaar.1997.0314" TargetMode="External" /><Relationship Type="http://schemas.openxmlformats.org/officeDocument/2006/relationships/hyperlink" Id="rId185" Target="https://doi.org/10.1006/jhev.1994.1037" TargetMode="External" /><Relationship Type="http://schemas.openxmlformats.org/officeDocument/2006/relationships/hyperlink" Id="rId94" Target="https://doi.org/10.1007/s10814-007-9013-z" TargetMode="External" /><Relationship Type="http://schemas.openxmlformats.org/officeDocument/2006/relationships/hyperlink" Id="rId160" Target="https://doi.org/10.1007/s10816-018-9364-4" TargetMode="External" /><Relationship Type="http://schemas.openxmlformats.org/officeDocument/2006/relationships/hyperlink" Id="rId79" Target="https://doi.org/10.1007/s10816-022-09599-x" TargetMode="External" /><Relationship Type="http://schemas.openxmlformats.org/officeDocument/2006/relationships/hyperlink" Id="rId56" Target="https://doi.org/10.1016/j.beproc.2018.01.011" TargetMode="External" /><Relationship Type="http://schemas.openxmlformats.org/officeDocument/2006/relationships/hyperlink" Id="rId92" Target="https://doi.org/10.1016/j.jaa.2005.08.001" TargetMode="External" /><Relationship Type="http://schemas.openxmlformats.org/officeDocument/2006/relationships/hyperlink" Id="rId54" Target="https://doi.org/10.1016/j.jaa.2006.08.002" TargetMode="External" /><Relationship Type="http://schemas.openxmlformats.org/officeDocument/2006/relationships/hyperlink" Id="rId158" Target="https://doi.org/10.1016/j.jas.2012.04.040" TargetMode="External" /><Relationship Type="http://schemas.openxmlformats.org/officeDocument/2006/relationships/hyperlink" Id="rId119" Target="https://doi.org/10.1016/j.jtbi.2013.03.006" TargetMode="External" /><Relationship Type="http://schemas.openxmlformats.org/officeDocument/2006/relationships/hyperlink" Id="rId172" Target="https://doi.org/10.1017/RDC.2020.41" TargetMode="External" /><Relationship Type="http://schemas.openxmlformats.org/officeDocument/2006/relationships/hyperlink" Id="rId61" Target="https://doi.org/10.1017/S0094837300026907" TargetMode="External" /><Relationship Type="http://schemas.openxmlformats.org/officeDocument/2006/relationships/hyperlink" Id="rId174" Target="https://doi.org/10.1017/S0140525X1400106X" TargetMode="External" /><Relationship Type="http://schemas.openxmlformats.org/officeDocument/2006/relationships/hyperlink" Id="rId110" Target="https://doi.org/10.1017/aap.2021.10" TargetMode="External" /><Relationship Type="http://schemas.openxmlformats.org/officeDocument/2006/relationships/hyperlink" Id="rId187" Target="https://doi.org/10.1017/aaq.2024.1" TargetMode="External" /><Relationship Type="http://schemas.openxmlformats.org/officeDocument/2006/relationships/hyperlink" Id="rId195" Target="https://doi.org/10.1017/ehs.2023.5" TargetMode="External" /><Relationship Type="http://schemas.openxmlformats.org/officeDocument/2006/relationships/hyperlink" Id="rId180" Target="https://doi.org/10.1038/nature08227" TargetMode="External" /><Relationship Type="http://schemas.openxmlformats.org/officeDocument/2006/relationships/hyperlink" Id="rId81" Target="https://doi.org/10.1038/srep39122" TargetMode="External" /><Relationship Type="http://schemas.openxmlformats.org/officeDocument/2006/relationships/hyperlink" Id="rId176" Target="https://doi.org/10.1057/s41599-019-0260-7" TargetMode="External" /><Relationship Type="http://schemas.openxmlformats.org/officeDocument/2006/relationships/hyperlink" Id="rId73" Target="https://doi.org/10.1057/s41599-019-0295-9" TargetMode="External" /><Relationship Type="http://schemas.openxmlformats.org/officeDocument/2006/relationships/hyperlink" Id="rId77" Target="https://doi.org/10.1057/s41599-020-00635-3" TargetMode="External" /><Relationship Type="http://schemas.openxmlformats.org/officeDocument/2006/relationships/hyperlink" Id="rId63" Target="https://doi.org/10.1073/pnas.0903232106" TargetMode="External" /><Relationship Type="http://schemas.openxmlformats.org/officeDocument/2006/relationships/hyperlink" Id="rId139" Target="https://doi.org/10.1073/pnas.1818346116" TargetMode="External" /><Relationship Type="http://schemas.openxmlformats.org/officeDocument/2006/relationships/hyperlink" Id="rId99" Target="https://doi.org/10.1073/pnas.2418106121" TargetMode="External" /><Relationship Type="http://schemas.openxmlformats.org/officeDocument/2006/relationships/hyperlink" Id="rId148" Target="https://doi.org/10.1080/20548923.2018.1504490" TargetMode="External" /><Relationship Type="http://schemas.openxmlformats.org/officeDocument/2006/relationships/hyperlink" Id="rId190" Target="https://doi.org/10.1086/651661" TargetMode="External" /><Relationship Type="http://schemas.openxmlformats.org/officeDocument/2006/relationships/hyperlink" Id="rId169" Target="https://doi.org/10.1086/674873" TargetMode="External" /><Relationship Type="http://schemas.openxmlformats.org/officeDocument/2006/relationships/hyperlink" Id="rId121" Target="https://doi.org/10.1098/rsif.2015.0905" TargetMode="External" /><Relationship Type="http://schemas.openxmlformats.org/officeDocument/2006/relationships/hyperlink" Id="rId123" Target="https://doi.org/10.1098/rsos.170949" TargetMode="External" /><Relationship Type="http://schemas.openxmlformats.org/officeDocument/2006/relationships/hyperlink" Id="rId67" Target="https://doi.org/10.1098/rspb.2004.2746" TargetMode="External" /><Relationship Type="http://schemas.openxmlformats.org/officeDocument/2006/relationships/hyperlink" Id="rId116" Target="https://doi.org/10.1111/j.1558-5646.2007.00310.x" TargetMode="External" /><Relationship Type="http://schemas.openxmlformats.org/officeDocument/2006/relationships/hyperlink" Id="rId167" Target="https://doi.org/10.1126/science.1170165" TargetMode="External" /><Relationship Type="http://schemas.openxmlformats.org/officeDocument/2006/relationships/hyperlink" Id="rId125" Target="https://doi.org/10.1146/annurev-ecolsys-110512-135838" TargetMode="External" /><Relationship Type="http://schemas.openxmlformats.org/officeDocument/2006/relationships/hyperlink" Id="rId65" Target="https://doi.org/10.1371/journal.pone.0003057" TargetMode="External" /><Relationship Type="http://schemas.openxmlformats.org/officeDocument/2006/relationships/hyperlink" Id="rId83" Target="https://doi.org/10.1371/journal.pone.0041010" TargetMode="External" /><Relationship Type="http://schemas.openxmlformats.org/officeDocument/2006/relationships/hyperlink" Id="rId135" Target="https://doi.org/10.1371/journal.pone.0124942" TargetMode="External" /><Relationship Type="http://schemas.openxmlformats.org/officeDocument/2006/relationships/hyperlink" Id="rId131" Target="https://doi.org/10.1371/journal.pone.0250690" TargetMode="External" /><Relationship Type="http://schemas.openxmlformats.org/officeDocument/2006/relationships/hyperlink" Id="rId165" Target="https://doi.org/10.1525/aa.1953.55.5.02a00030" TargetMode="External" /><Relationship Type="http://schemas.openxmlformats.org/officeDocument/2006/relationships/hyperlink" Id="rId105" Target="https://doi.org/10.1525/aa.2001.103.4.992" TargetMode="External" /><Relationship Type="http://schemas.openxmlformats.org/officeDocument/2006/relationships/hyperlink" Id="rId97" Target="https://doi.org/10.1534/genetics.113.158220" TargetMode="External" /><Relationship Type="http://schemas.openxmlformats.org/officeDocument/2006/relationships/hyperlink" Id="rId114" Target="https://doi.org/10.1666/05070.1" TargetMode="External" /><Relationship Type="http://schemas.openxmlformats.org/officeDocument/2006/relationships/hyperlink" Id="rId70" Target="https://doi.org/10.2307/2694206" TargetMode="External" /><Relationship Type="http://schemas.openxmlformats.org/officeDocument/2006/relationships/hyperlink" Id="rId85" Target="https://doi.org/10.2307/278341" TargetMode="External" /><Relationship Type="http://schemas.openxmlformats.org/officeDocument/2006/relationships/hyperlink" Id="rId156" Target="https://doi.org/10.2307/279066" TargetMode="External" /><Relationship Type="http://schemas.openxmlformats.org/officeDocument/2006/relationships/hyperlink" Id="rId87" Target="https://doi.org/10.2307/279244" TargetMode="External" /><Relationship Type="http://schemas.openxmlformats.org/officeDocument/2006/relationships/hyperlink" Id="rId59" Target="https://doi.org/10.2307/3557066" TargetMode="External" /><Relationship Type="http://schemas.openxmlformats.org/officeDocument/2006/relationships/hyperlink" Id="rId107" Target="https://doi.org/10.2307/41284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2026-06-14T00:02:10Z</dcterms:created>
  <dcterms:modified xsi:type="dcterms:W3CDTF">2026-06-14T00:02:10Z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/Users/clipo/Zotero/styles/american-antiquity.csl</vt:lpwstr>
  </property>
</Properties>
</file>