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7.png" ContentType="image/png"/>
  <Override PartName="/word/media/rId31.png" ContentType="image/png"/>
  <Override PartName="/word/media/rId10.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central Mississippi Valley decorated ceramics</w:t>
      </w:r>
    </w:p>
    <w:p>
      <w:pPr>
        <w:pStyle w:val="BodyText"/>
      </w:pPr>
      <w:r>
        <w:rPr>
          <w:b/>
          <w:bCs/>
        </w:rPr>
        <w:t xml:space="preserve">Carl P. Lipo and Robert J. DiNapoli</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 application of the infinite-alleles model</w:t>
      </w:r>
      <w:r>
        <w:t xml:space="preserve"> </w:t>
      </w:r>
      <w:r>
        <w:t xml:space="preserve">(Neiman 1995)</w:t>
      </w:r>
      <w:r>
        <w:t xml:space="preserve">.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type</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 sampling expectation for the number of types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w:t>
      </w:r>
      <w:r>
        <w:t xml:space="preserve">(Ewens 1972)</w:t>
      </w:r>
      <w:r>
        <w:t xml:space="preserve">. Under neutral drift, the two estimators agree. Conformist copying concentrates frequency on common types,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type’s frequency both unimodal and continuous.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with three mechanism-faithful controls: the between-group divergence of type profiles, the strength of within-group conformity, and a spatial rule placing group profiles on the landscape. Four generators instantiate the four processes of Table 1. The bounded-groups generator raises divergence and conformity together across spatially bounded groups. Environmental patchiness holds a fixed between-group difference under neutral within-group copying with an environment-keyed layout. Aggregated signaling raises within-group conformity in a single undivided pool with no between-group divergence. Drift with distance-limited interaction produces a smooth spatial gradient under neutral copying. Each generator emits a sequence of group-by-type slices along an ordinal axis. We ran the four-signature pipeline on each, blind to its source, and recorded which registered as convergent, repeating this across 20 random seeds and computing the correlation matrix of the four signatures on the bounded-groups output to confirm that their joint movement is informative rather than an artifact of redundancy (Figure S4).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4. 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4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 sample-size diagnostic for the neutrality estimators supports the Discussion: across the 29 basin assemblages, we computed the homozygosity-based and richness-based estimates of the transmission parameter and their signed difference, and correlated each with assemblage size and with seriation position, following Neiman’s protocol for separating a transmission signal from a sample-size artifact</w:t>
      </w:r>
      <w:r>
        <w:t xml:space="preserve"> </w:t>
      </w:r>
      <w:r>
        <w:t xml:space="preserve">(Neiman 1995)</w:t>
      </w:r>
      <w:r>
        <w:t xml:space="preserve">.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type’s binned frequency trajectory. Neiman’s squared-Euclidean interassemblage-distance is computed with its diversity-distance relationship and divergence trajectory</w:t>
      </w:r>
      <w:r>
        <w:t xml:space="preserve"> </w:t>
      </w:r>
      <w:r>
        <w:t xml:space="preserve">(Neiman 1995)</w:t>
      </w:r>
      <w:r>
        <w:t xml:space="preserve">.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S1.</w:t>
      </w:r>
    </w:p>
    <w:p>
      <w:pPr>
        <w:pStyle w:val="CaptionedFigure"/>
      </w:pPr>
      <w:r>
        <w:drawing>
          <wp:inline>
            <wp:extent cx="5334000" cy="2759675"/>
            <wp:effectExtent b="0" l="0" r="0" t="0"/>
            <wp:docPr descr="Figure S1.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1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 F_ST-led reduction is a property of the record, not the generator</w:t>
      </w:r>
    </w:p>
    <w:p>
      <w:pPr>
        <w:pStyle w:val="FirstParagraph"/>
      </w:pPr>
      <w:r>
        <w:t xml:space="preserve">The recovery experiment injects group closure as between-cluster divergence, which is what cultural F_ST measures, so a fair objection is that the experiment merely certifies an F_ST detector recovering an F_ST-shaped signal. We tested this by injecting closure through two further channels, each matched to a different signature, and asking which signature recovers each. A within-group conformity channel raises conformity in a single undivided pool with no between-group divergence, the channel that the neutral departure is built to detect. A non-spatial social channel assembles assemblages into social groups scrambled relative to the spatial clusters, the channel seriation coherence is built to detect. The result is one-sided, and in two ways. First, the conformity channel is recovered by no signature (the neutral departure, which should detect it, inverts rather than rises), and the non-spatial social channel is not recovered by seriation either. Hence, the neutral and seriation signatures fail to register an injected signal even through the channel each is designed for. Second, F_ST is not a clean spatial-divergence detector but a near-omnibus one, responding to group structure, however it is organized. It recovers the spatial-divergence channel strongly (mean trend rising from the null to +0.76 at strong injection) and also recovers the non-spatial social channel (+0.77), because both ultimately raise between-group variance somewhere the partition can see it. The four signatures are therefore not four independent channels, even in this diagnostic. The only one that registers an injected signal at this resolution is F_ST, and it does so for divergence. However, its signal is organized. The reduction to F_ST is a property of the record’s resolution, 29 time-averaged assemblages rarefied to a common count over ten aggregated types, not an artifact of a generator whose closure axis is collinear with F_ST. A rarefaction-depth sweep (the weak signatures climb modestly with more sherds but remain well below F_ST) and a cluster-count sweep (the spatial signature stays weak through k = 5) confirm that the limitation is the record’s size and time-averaging rather than a single tuning choice. The consequence, stated in the Discussion, is that the negative bounds only result in divergence-channel closure.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(Lipo et al. 2021)</w:t>
      </w:r>
      <w:r>
        <w:t xml:space="preserve">. Each assemblage is a node holding a finite population of learners that copies decorated-type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rarefied to the observed per-assemblage counts. We swept the interaction range (6, 12, and 24 km), the between-node mixing rate (0.02, 0.05, and 0.20), and the innovation rate (0.005, 0.01, and 0.02), in both snapshot and time-averaged form, at 100 seeds per cell, recording for each cell whether the four observed statistics fall inside the neutral null. Across the time-averaged sweep, the region that brackets all four at once is the low-mixing, sub-basin-range corner (24 km, mixing 0.02, innovation 0.01), as reported in Figure S5.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so the contrast between drift, which can reproduce the data, and bounded groups, which cannot, is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5. Spatial drift versus bounded groups on the basin geography. Top: the four observed signatures (vertical lines) against the null distributions produced by a neutral spatial-drift model (blue) and a bounded-groups model (orange) on the real coordinate layout, both time-averaged and rarefi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5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rarefied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6" w:name="X4b657c0117a02bedc64d2fce6fe36b11976cd64"/>
    <w:p>
      <w:pPr>
        <w:pStyle w:val="Heading2"/>
      </w:pPr>
      <w:r>
        <w:t xml:space="preserve">Regional extension: the central-valley and lower-valley assemblages</w:t>
      </w:r>
    </w:p>
    <w:p>
      <w:pPr>
        <w:pStyle w:val="FirstParagraph"/>
      </w:pPr>
      <w:r>
        <w:t xml:space="preserve">We extended the analysis to the southeast Missouri survey assemblages of Williams</w:t>
      </w:r>
      <w:r>
        <w:t xml:space="preserve"> </w:t>
      </w:r>
      <w:r>
        <w:t xml:space="preserve">(Williams 1954)</w:t>
      </w:r>
      <w:r>
        <w:t xml:space="preserve">, comprising 50 collections from 28 sites, digitized from the survey tables and georeferenced using the Lower Mississippi Survey grid. Within the central-valley regions, the decorated-ceramic differentiation is a Woodland-to-Mississippian composition gradient rather than a synchronic structure: a cultural F_ST of 0.11 across physiographic regions collapses to 0.04, near the drift level, once the analysis is restricted to Mississippian types. Between the central and lower valleys, the Phillips-Ford-Griffin assemblages present a different picture. Combining the two into one north-south transect of 133 decorated assemblages, the decline of decorated similarity with distance is itself drift-consistent (Mantel r = -0.55, inside the spatial-drift null). Still, the distance-controlled boundary excess at the central-valley and lower-valley divide is +52 Brainerd-Robinson units, far outside the drift null. The two regions carry mutually exclusive, distinctive repertoires (northern Wickliffe, O’Byam, Matthews, Kimmswick, and Varney Red against southern Barton, Walls Engraved, Carson Red-on-Buff, Avenue Polychrome, and Leland), with even the shared types differing in proportion. Restricting the comparison to types present in both regions, which removes the mutually exclusive distinctive types that carry the strongest temporal contrast, reduces the step but does not erase it: the boundary excess falls to +38 Brainerd-Robinson units. It remains above the neutral-drift null, so the boundary is not solely an artifact of distinctive-type turnover, although the shared types themselves retain some temporal structure. The step is real but confounded by time, because the northern distinctive types are early- to middle-Mississippian and the southern are late</w:t>
      </w:r>
      <w:r>
        <w:t xml:space="preserve"> </w:t>
      </w:r>
      <w:r>
        <w:t xml:space="preserve">(Phillips 1970; Williams 1954)</w:t>
      </w:r>
      <w:r>
        <w:t xml:space="preserve">, so it cannot be separated from a chronological succession without independent central-valley radiocarbon (Figure S6). It is further confounded by analytical history: the lower-valley assemblages were classified in the Phillips-Ford-Griffin tradition, and the central-valley assemblages were classified separately by Williams, so even shared type names may have been applied to different criteria. The shared-type restriction (boundary excess falling to +38 Brainerd-Robinson units but not vanishing) limits this artifact without removing it, leaving open the possibility that the interaction was continuous across the entire region and that the apparent boundary is a product of two separate collection and analysis histories.</w:t>
      </w:r>
    </w:p>
    <w:p>
      <w:pPr>
        <w:pStyle w:val="CaptionedFigure"/>
      </w:pPr>
      <w:r>
        <w:drawing>
          <wp:inline>
            <wp:extent cx="5334000" cy="3424782"/>
            <wp:effectExtent b="0" l="0" r="0" t="0"/>
            <wp:docPr descr="Figure S6. 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 title="" id="24" name="Picture"/>
            <a:graphic>
              <a:graphicData uri="http://schemas.openxmlformats.org/drawingml/2006/picture">
                <pic:pic>
                  <pic:nvPicPr>
                    <pic:cNvPr descr="../../figures/figS6_macro_transect.png" id="25" name="Picture"/>
                    <pic:cNvPicPr>
                      <a:picLocks noChangeArrowheads="1" noChangeAspect="1"/>
                    </pic:cNvPicPr>
                  </pic:nvPicPr>
                  <pic:blipFill>
                    <a:blip r:embed="rId23"/>
                    <a:stretch>
                      <a:fillRect/>
                    </a:stretch>
                  </pic:blipFill>
                  <pic:spPr bwMode="auto">
                    <a:xfrm>
                      <a:off x="0" y="0"/>
                      <a:ext cx="5334000" cy="342478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w:t>
      </w:r>
    </w:p>
    <w:bookmarkEnd w:id="26"/>
    <w:bookmarkStart w:id="30" w:name="X61b4c874ea32e31666b882bda5fae1d71873809"/>
    <w:p>
      <w:pPr>
        <w:pStyle w:val="Heading2"/>
      </w:pPr>
      <w:r>
        <w:t xml:space="preserve">Dynamic-sufficiency tests in the time domain</w:t>
      </w:r>
    </w:p>
    <w:p>
      <w:pPr>
        <w:pStyle w:val="FirstParagraph"/>
      </w:pPr>
      <w:r>
        <w:t xml:space="preserve">The four convergence signatures are read as states along the seriation sequence, so on their own they are only partially dynamically sufficient.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collections, then read off the kind of copying implied by the surviving scenarios,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types in a finite population. Each generation, the adoption weight of a type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types. An assemblage pools production over a window of generations, so the time-averaging that distorts the static statistics is built into the generative process rather than corrected after the fact. This is what makes the test both empirically and dynamically sufficient. We drew 40,000 parameter sets from broad priors (innovation rate, bias</w:t>
      </w:r>
      <w:r>
        <w:t xml:space="preserve"> </w:t>
      </w:r>
      <m:oMath>
        <m:r>
          <m:t>b</m:t>
        </m:r>
      </m:oMath>
      <w:r>
        <w:t xml:space="preserve">, population size, and time-averaging window), simulated a six-bin sequence from each, and accepted the 400 parameter sets closest to the observed diversity trajectory and rank-frequency profile, ranked by Euclidean distance over the summary statistics. The posterior of the bias is tightly constrained near neutral, with mean</w:t>
      </w:r>
      <w:r>
        <w:t xml:space="preserve"> </w:t>
      </w:r>
      <m:oMath>
        <m:r>
          <m:t>b</m:t>
        </m:r>
        <m:r>
          <m:rPr>
            <m:sty m:val="p"/>
          </m:rPr>
          <m:t>=</m:t>
        </m:r>
        <m:r>
          <m:rPr>
            <m:sty m:val="p"/>
          </m:rPr>
          <m:t>+</m:t>
        </m:r>
        <m:r>
          <m:t>0.028</m:t>
        </m:r>
      </m:oMath>
      <w:r>
        <w:t xml:space="preserve"> </w:t>
      </w:r>
      <w:r>
        <w:t xml:space="preserve">and a 95 percent interval of</w:t>
      </w:r>
      <w:r>
        <w:t xml:space="preserve"> </w:t>
      </w:r>
      <m:oMath>
        <m:r>
          <m:rPr>
            <m:sty m:val="p"/>
          </m:rPr>
          <m:t>−</m:t>
        </m:r>
        <m:r>
          <m:t>0.021</m:t>
        </m:r>
      </m:oMath>
      <w:r>
        <w:t xml:space="preserve"> </w:t>
      </w:r>
      <w:r>
        <w:t xml:space="preserve">to</w:t>
      </w:r>
      <w:r>
        <w:t xml:space="preserve"> </w:t>
      </w:r>
      <m:oMath>
        <m:r>
          <m:rPr>
            <m:sty m:val="p"/>
          </m:rPr>
          <m:t>+</m:t>
        </m:r>
        <m:r>
          <m:t>0.063</m:t>
        </m:r>
      </m:oMath>
      <w:r>
        <w:t xml:space="preserve"> </w:t>
      </w:r>
      <w:r>
        <w:t xml:space="preserve">that includes zero (Figure S4A). The posterior standard deviation is 0.021 against a prior of 0.289, so the data appreciably constrain the bias rather than leaving it at the prior, placing it close to neutral. A weak conformist lean is visible, with</w:t>
      </w:r>
      <w:r>
        <w:t xml:space="preserve"> </w:t>
      </w:r>
      <m:oMath>
        <m:r>
          <m:t>P</m:t>
        </m:r>
        <m:r>
          <m:rPr>
            <m:sty m:val="p"/>
          </m:rPr>
          <m:t>(</m:t>
        </m:r>
        <m:r>
          <m:t>b</m:t>
        </m:r>
        <m:r>
          <m:rPr>
            <m:sty m:val="p"/>
          </m:rPr>
          <m:t>&gt;</m:t>
        </m:r>
        <m:r>
          <m:t>0</m:t>
        </m:r>
        <m:r>
          <m:rPr>
            <m:sty m:val="p"/>
          </m:rPr>
          <m:t>)</m:t>
        </m:r>
        <m:r>
          <m:rPr>
            <m:sty m:val="p"/>
          </m:rPr>
          <m:t>=</m:t>
        </m:r>
        <m:r>
          <m:t>0.91</m:t>
        </m:r>
      </m:oMath>
      <w:r>
        <w:t xml:space="preserve">, but it is not resolved as a departure from neutral, and refitting the bias separately to the early and late halves of the sequence recovers no shift between them. The inference rules out the strong conformist bias that a marker- or assortment-based dynamic would require by modeling copying dynamics rather than a single static moment. The posterior contraction should be read with one caveat: rejection sampling at a one percent acceptance tolerance is not formally calibrated here, so we present this inference as concordant with the record-matched recovery and the static signatures rather than as a standalone result.</w:t>
      </w:r>
    </w:p>
    <w:p>
      <w:pPr>
        <w:pStyle w:val="BodyText"/>
      </w:pPr>
      <w:r>
        <w:t xml:space="preserve">The second test asks, in plain terms, whether the collections’ diversity drifts aimlessly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types, binned along the oriented axis, we fit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and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S4B). The diversity trajectory is the trait of interest here, because the correspondence-analysis ordering does not arrange it by construction. Individual-type trajectories more often favor the directional model. That comparison, however, is weak and partly tautological because the seriation axis is designed to maximize monotonic type-frequency turnover, and only three types are abundant enough across the sequence to fit. The robust reading is neutral drift, not a sustained directional transition.</w:t>
      </w:r>
    </w:p>
    <w:p>
      <w:pPr>
        <w:pStyle w:val="CaptionedFigure"/>
      </w:pPr>
      <w:r>
        <w:drawing>
          <wp:inline>
            <wp:extent cx="5334000" cy="2794140"/>
            <wp:effectExtent b="0" l="0" r="0" t="0"/>
            <wp:docPr descr="Figure S2. 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type trajectories. The diversity trajectory, which the correspondence-analysis ordering does not arrange by construction, favors the unbiased random walk (neutral drift), a concordance rather than a decisive selection given only six points." title="" id="28" name="Picture"/>
            <a:graphic>
              <a:graphicData uri="http://schemas.openxmlformats.org/drawingml/2006/picture">
                <pic:pic>
                  <pic:nvPicPr>
                    <pic:cNvPr descr="../../figures/figS2_dynamic.png" id="29" name="Picture"/>
                    <pic:cNvPicPr>
                      <a:picLocks noChangeArrowheads="1" noChangeAspect="1"/>
                    </pic:cNvPicPr>
                  </pic:nvPicPr>
                  <pic:blipFill>
                    <a:blip r:embed="rId27"/>
                    <a:stretch>
                      <a:fillRect/>
                    </a:stretch>
                  </pic:blipFill>
                  <pic:spPr bwMode="auto">
                    <a:xfrm>
                      <a:off x="0" y="0"/>
                      <a:ext cx="5334000" cy="2794140"/>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type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0"/>
    <w:bookmarkStart w:id="34" w:name="radiocarbon-chronology"/>
    <w:p>
      <w:pPr>
        <w:pStyle w:val="Heading2"/>
      </w:pPr>
      <w:r>
        <w:t xml:space="preserve">Radiocarbon chronology</w:t>
      </w:r>
    </w:p>
    <w:p>
      <w:pPr>
        <w:pStyle w:val="FirstParagraph"/>
      </w:pPr>
      <w:r>
        <w:t xml:space="preserve">We calibrated the Mainfort compilation of central-valley determinations</w:t>
      </w:r>
      <w:r>
        <w:t xml:space="preserve"> </w:t>
      </w:r>
      <w:r>
        <w:t xml:space="preserve">(Mainfort 2001)</w:t>
      </w:r>
      <w:r>
        <w:t xml:space="preserve"> </w:t>
      </w:r>
      <w:r>
        <w:t xml:space="preserve">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and declines across the contact interval: 29 percent of the basin probability mass postdates AD 1541 and 18 percent postdates AD 1600 (Figure S3).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3.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32" name="Picture"/>
            <a:graphic>
              <a:graphicData uri="http://schemas.openxmlformats.org/drawingml/2006/picture">
                <pic:pic>
                  <pic:nvPicPr>
                    <pic:cNvPr descr="../../figures/figS3_chronology.png" id="33" name="Picture"/>
                    <pic:cNvPicPr>
                      <a:picLocks noChangeArrowheads="1" noChangeAspect="1"/>
                    </pic:cNvPicPr>
                  </pic:nvPicPr>
                  <pic:blipFill>
                    <a:blip r:embed="rId31"/>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34"/>
    <w:bookmarkStart w:id="81" w:name="references"/>
    <w:p>
      <w:pPr>
        <w:pStyle w:val="Heading2"/>
      </w:pPr>
      <w:r>
        <w:t xml:space="preserve">References</w:t>
      </w:r>
    </w:p>
    <w:bookmarkStart w:id="80" w:name="refs"/>
    <w:bookmarkStart w:id="36"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35">
        <w:r>
          <w:rPr>
            <w:rStyle w:val="Hyperlink"/>
          </w:rPr>
          <w:t xml:space="preserve">https://doi.org/10.1073/pnas.0903232106</w:t>
        </w:r>
      </w:hyperlink>
      <w:r>
        <w:t xml:space="preserve">.</w:t>
      </w:r>
    </w:p>
    <w:bookmarkEnd w:id="36"/>
    <w:bookmarkStart w:id="38"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37">
        <w:r>
          <w:rPr>
            <w:rStyle w:val="Hyperlink"/>
          </w:rPr>
          <w:t xml:space="preserve">https://doi.org/10.1057/s41599-019-0295-9</w:t>
        </w:r>
      </w:hyperlink>
      <w:r>
        <w:t xml:space="preserve">.</w:t>
      </w:r>
    </w:p>
    <w:bookmarkEnd w:id="38"/>
    <w:bookmarkStart w:id="39"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39"/>
    <w:bookmarkStart w:id="41"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40">
        <w:r>
          <w:rPr>
            <w:rStyle w:val="Hyperlink"/>
          </w:rPr>
          <w:t xml:space="preserve">https://doi.org/10.1016/j.jas.2014.07.014</w:t>
        </w:r>
      </w:hyperlink>
      <w:r>
        <w:t xml:space="preserve">.</w:t>
      </w:r>
    </w:p>
    <w:bookmarkEnd w:id="41"/>
    <w:bookmarkStart w:id="43"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42">
        <w:r>
          <w:rPr>
            <w:rStyle w:val="Hyperlink"/>
          </w:rPr>
          <w:t xml:space="preserve">https://doi.org/10.1038/srep39122</w:t>
        </w:r>
      </w:hyperlink>
      <w:r>
        <w:t xml:space="preserve">.</w:t>
      </w:r>
    </w:p>
    <w:bookmarkEnd w:id="43"/>
    <w:bookmarkStart w:id="45"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44">
        <w:r>
          <w:rPr>
            <w:rStyle w:val="Hyperlink"/>
          </w:rPr>
          <w:t xml:space="preserve">https://doi.org/10.1371/journal.pone.0041010</w:t>
        </w:r>
      </w:hyperlink>
      <w:r>
        <w:t xml:space="preserve">.</w:t>
      </w:r>
    </w:p>
    <w:bookmarkEnd w:id="45"/>
    <w:bookmarkStart w:id="4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46">
        <w:r>
          <w:rPr>
            <w:rStyle w:val="Hyperlink"/>
          </w:rPr>
          <w:t xml:space="preserve">https://doi.org/10.2307/278341</w:t>
        </w:r>
      </w:hyperlink>
      <w:r>
        <w:t xml:space="preserve">.</w:t>
      </w:r>
    </w:p>
    <w:bookmarkEnd w:id="47"/>
    <w:bookmarkStart w:id="4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48"/>
    <w:bookmarkStart w:id="5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49">
        <w:r>
          <w:rPr>
            <w:rStyle w:val="Hyperlink"/>
          </w:rPr>
          <w:t xml:space="preserve">https://doi.org/10.1534/genetics.113.158220</w:t>
        </w:r>
      </w:hyperlink>
      <w:r>
        <w:t xml:space="preserve">.</w:t>
      </w:r>
    </w:p>
    <w:bookmarkEnd w:id="50"/>
    <w:bookmarkStart w:id="51"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51"/>
    <w:bookmarkStart w:id="52"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52"/>
    <w:bookmarkStart w:id="54"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53">
        <w:r>
          <w:rPr>
            <w:rStyle w:val="Hyperlink"/>
          </w:rPr>
          <w:t xml:space="preserve">https://doi.org/10.1666/05070.1</w:t>
        </w:r>
      </w:hyperlink>
      <w:r>
        <w:t xml:space="preserve">.</w:t>
      </w:r>
    </w:p>
    <w:bookmarkEnd w:id="54"/>
    <w:bookmarkStart w:id="56"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55">
        <w:r>
          <w:rPr>
            <w:rStyle w:val="Hyperlink"/>
          </w:rPr>
          <w:t xml:space="preserve">https://doi.org/10.1111/j.1558-5646.2007.00310.x</w:t>
        </w:r>
      </w:hyperlink>
      <w:r>
        <w:t xml:space="preserve">.</w:t>
      </w:r>
    </w:p>
    <w:bookmarkEnd w:id="56"/>
    <w:bookmarkStart w:id="58"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57">
        <w:r>
          <w:rPr>
            <w:rStyle w:val="Hyperlink"/>
          </w:rPr>
          <w:t xml:space="preserve">https://doi.org/10.1371/journal.pone.0250690</w:t>
        </w:r>
      </w:hyperlink>
      <w:r>
        <w:t xml:space="preserve">.</w:t>
      </w:r>
    </w:p>
    <w:bookmarkEnd w:id="58"/>
    <w:bookmarkStart w:id="60"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59">
        <w:r>
          <w:rPr>
            <w:rStyle w:val="Hyperlink"/>
          </w:rPr>
          <w:t xml:space="preserve">https://doi.org/10.1371/journal.pone.0124942</w:t>
        </w:r>
      </w:hyperlink>
      <w:r>
        <w:t xml:space="preserve">.</w:t>
      </w:r>
    </w:p>
    <w:bookmarkEnd w:id="60"/>
    <w:bookmarkStart w:id="62"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61">
        <w:r>
          <w:rPr>
            <w:rStyle w:val="Hyperlink"/>
          </w:rPr>
          <w:t xml:space="preserve">https://doi.org/10.1006/jaar.1997.0314</w:t>
        </w:r>
      </w:hyperlink>
      <w:r>
        <w:t xml:space="preserve">.</w:t>
      </w:r>
    </w:p>
    <w:bookmarkEnd w:id="62"/>
    <w:bookmarkStart w:id="63"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63"/>
    <w:bookmarkStart w:id="64"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64"/>
    <w:bookmarkStart w:id="65"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65"/>
    <w:bookmarkStart w:id="66"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66"/>
    <w:bookmarkStart w:id="67"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67"/>
    <w:bookmarkStart w:id="6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68"/>
    <w:bookmarkStart w:id="7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69">
        <w:r>
          <w:rPr>
            <w:rStyle w:val="Hyperlink"/>
          </w:rPr>
          <w:t xml:space="preserve">https://doi.org/10.1017/RDC.2020.41</w:t>
        </w:r>
      </w:hyperlink>
      <w:r>
        <w:t xml:space="preserve">.</w:t>
      </w:r>
    </w:p>
    <w:bookmarkEnd w:id="70"/>
    <w:bookmarkStart w:id="71"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71"/>
    <w:bookmarkStart w:id="73"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72">
        <w:r>
          <w:rPr>
            <w:rStyle w:val="Hyperlink"/>
          </w:rPr>
          <w:t xml:space="preserve">https://doi.org/10.1038/nature08227</w:t>
        </w:r>
      </w:hyperlink>
      <w:r>
        <w:t xml:space="preserve">.</w:t>
      </w:r>
    </w:p>
    <w:bookmarkEnd w:id="73"/>
    <w:bookmarkStart w:id="75"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74">
        <w:r>
          <w:rPr>
            <w:rStyle w:val="Hyperlink"/>
          </w:rPr>
          <w:t xml:space="preserve">https://doi.org/10.1016/j.jas.2007.01.003</w:t>
        </w:r>
      </w:hyperlink>
      <w:r>
        <w:t xml:space="preserve">.</w:t>
      </w:r>
    </w:p>
    <w:bookmarkEnd w:id="75"/>
    <w:bookmarkStart w:id="77"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76">
        <w:r>
          <w:rPr>
            <w:rStyle w:val="Hyperlink"/>
          </w:rPr>
          <w:t xml:space="preserve">https://doi.org/10.1016/j.jas.2009.03.029</w:t>
        </w:r>
      </w:hyperlink>
      <w:r>
        <w:t xml:space="preserve">.</w:t>
      </w:r>
    </w:p>
    <w:bookmarkEnd w:id="77"/>
    <w:bookmarkStart w:id="78"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78"/>
    <w:bookmarkStart w:id="79" w:name="ref-williams_1954"/>
    <w:p>
      <w:pPr>
        <w:pStyle w:val="Bibliography"/>
      </w:pPr>
      <w:r>
        <w:t xml:space="preserve">Williams, Stephen. 1954. An Archeological Study of the Mississippian Culture in Southeast Missouri. PhD thesis, Yale University, New Haven.</w:t>
      </w:r>
    </w:p>
    <w:bookmarkEnd w:id="79"/>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hyperlink" Id="rId61" Target="https://doi.org/10.1006/jaar.1997.0314" TargetMode="External" /><Relationship Type="http://schemas.openxmlformats.org/officeDocument/2006/relationships/hyperlink" Id="rId74" Target="https://doi.org/10.1016/j.jas.2007.01.003" TargetMode="External" /><Relationship Type="http://schemas.openxmlformats.org/officeDocument/2006/relationships/hyperlink" Id="rId76" Target="https://doi.org/10.1016/j.jas.2009.03.029" TargetMode="External" /><Relationship Type="http://schemas.openxmlformats.org/officeDocument/2006/relationships/hyperlink" Id="rId40" Target="https://doi.org/10.1016/j.jas.2014.07.014" TargetMode="External" /><Relationship Type="http://schemas.openxmlformats.org/officeDocument/2006/relationships/hyperlink" Id="rId69" Target="https://doi.org/10.1017/RDC.2020.41" TargetMode="External" /><Relationship Type="http://schemas.openxmlformats.org/officeDocument/2006/relationships/hyperlink" Id="rId72" Target="https://doi.org/10.1038/nature08227" TargetMode="External" /><Relationship Type="http://schemas.openxmlformats.org/officeDocument/2006/relationships/hyperlink" Id="rId42" Target="https://doi.org/10.1038/srep39122" TargetMode="External" /><Relationship Type="http://schemas.openxmlformats.org/officeDocument/2006/relationships/hyperlink" Id="rId37" Target="https://doi.org/10.1057/s41599-019-0295-9" TargetMode="External" /><Relationship Type="http://schemas.openxmlformats.org/officeDocument/2006/relationships/hyperlink" Id="rId35" Target="https://doi.org/10.1073/pnas.0903232106" TargetMode="External" /><Relationship Type="http://schemas.openxmlformats.org/officeDocument/2006/relationships/hyperlink" Id="rId55" Target="https://doi.org/10.1111/j.1558-5646.2007.00310.x" TargetMode="External" /><Relationship Type="http://schemas.openxmlformats.org/officeDocument/2006/relationships/hyperlink" Id="rId44" Target="https://doi.org/10.1371/journal.pone.0041010" TargetMode="External" /><Relationship Type="http://schemas.openxmlformats.org/officeDocument/2006/relationships/hyperlink" Id="rId59" Target="https://doi.org/10.1371/journal.pone.0124942" TargetMode="External" /><Relationship Type="http://schemas.openxmlformats.org/officeDocument/2006/relationships/hyperlink" Id="rId57" Target="https://doi.org/10.1371/journal.pone.0250690" TargetMode="External" /><Relationship Type="http://schemas.openxmlformats.org/officeDocument/2006/relationships/hyperlink" Id="rId49" Target="https://doi.org/10.1534/genetics.113.158220" TargetMode="External" /><Relationship Type="http://schemas.openxmlformats.org/officeDocument/2006/relationships/hyperlink" Id="rId53" Target="https://doi.org/10.1666/05070.1" TargetMode="External" /><Relationship Type="http://schemas.openxmlformats.org/officeDocument/2006/relationships/hyperlink" Id="rId46"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61" Target="https://doi.org/10.1006/jaar.1997.0314" TargetMode="External" /><Relationship Type="http://schemas.openxmlformats.org/officeDocument/2006/relationships/hyperlink" Id="rId74" Target="https://doi.org/10.1016/j.jas.2007.01.003" TargetMode="External" /><Relationship Type="http://schemas.openxmlformats.org/officeDocument/2006/relationships/hyperlink" Id="rId76" Target="https://doi.org/10.1016/j.jas.2009.03.029" TargetMode="External" /><Relationship Type="http://schemas.openxmlformats.org/officeDocument/2006/relationships/hyperlink" Id="rId40" Target="https://doi.org/10.1016/j.jas.2014.07.014" TargetMode="External" /><Relationship Type="http://schemas.openxmlformats.org/officeDocument/2006/relationships/hyperlink" Id="rId69" Target="https://doi.org/10.1017/RDC.2020.41" TargetMode="External" /><Relationship Type="http://schemas.openxmlformats.org/officeDocument/2006/relationships/hyperlink" Id="rId72" Target="https://doi.org/10.1038/nature08227" TargetMode="External" /><Relationship Type="http://schemas.openxmlformats.org/officeDocument/2006/relationships/hyperlink" Id="rId42" Target="https://doi.org/10.1038/srep39122" TargetMode="External" /><Relationship Type="http://schemas.openxmlformats.org/officeDocument/2006/relationships/hyperlink" Id="rId37" Target="https://doi.org/10.1057/s41599-019-0295-9" TargetMode="External" /><Relationship Type="http://schemas.openxmlformats.org/officeDocument/2006/relationships/hyperlink" Id="rId35" Target="https://doi.org/10.1073/pnas.0903232106" TargetMode="External" /><Relationship Type="http://schemas.openxmlformats.org/officeDocument/2006/relationships/hyperlink" Id="rId55" Target="https://doi.org/10.1111/j.1558-5646.2007.00310.x" TargetMode="External" /><Relationship Type="http://schemas.openxmlformats.org/officeDocument/2006/relationships/hyperlink" Id="rId44" Target="https://doi.org/10.1371/journal.pone.0041010" TargetMode="External" /><Relationship Type="http://schemas.openxmlformats.org/officeDocument/2006/relationships/hyperlink" Id="rId59" Target="https://doi.org/10.1371/journal.pone.0124942" TargetMode="External" /><Relationship Type="http://schemas.openxmlformats.org/officeDocument/2006/relationships/hyperlink" Id="rId57" Target="https://doi.org/10.1371/journal.pone.0250690" TargetMode="External" /><Relationship Type="http://schemas.openxmlformats.org/officeDocument/2006/relationships/hyperlink" Id="rId49" Target="https://doi.org/10.1534/genetics.113.158220" TargetMode="External" /><Relationship Type="http://schemas.openxmlformats.org/officeDocument/2006/relationships/hyperlink" Id="rId53" Target="https://doi.org/10.1666/05070.1" TargetMode="External" /><Relationship Type="http://schemas.openxmlformats.org/officeDocument/2006/relationships/hyperlink" Id="rId46"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2026-06-14T00:02:19Z</dcterms:created>
  <dcterms:modified xsi:type="dcterms:W3CDTF">2026-06-14T00:02:19Z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