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judged against bootstrap confidence intervals on the class frequencies, so it counts as a real break only when it exceeds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of each assemblage pair</w:t>
      </w:r>
      <w:r>
        <w:t xml:space="preserve"> </w:t>
      </w:r>
      <w:r>
        <w:t xml:space="preserve">(Brainerd 1951; Robinson 1951)</w:t>
      </w:r>
      <w:r>
        <w:t xml:space="preserve">, a standard index from 0 to 200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2026-06-19T16:21:41Z</dcterms:created>
  <dcterms:modified xsi:type="dcterms:W3CDTF">2026-06-19T16:21:41Z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