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3.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1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2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3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4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5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1" w:name="X5d6952d695dbc914608b60821375c599c91309d"/>
    <w:p>
      <w:pPr>
        <w:pStyle w:val="Heading2"/>
      </w:pPr>
      <w:r>
        <w:t xml:space="preserve">Regional extension: the southeast-Missouri phases</w:t>
      </w:r>
    </w:p>
    <w:p>
      <w:pPr>
        <w:pStyle w:val="FirstParagraph"/>
      </w:pPr>
      <w:r>
        <w:t xml:space="preserve">We extended the within-region test to the southeast-Missouri survey assemblages of Williams</w:t>
      </w:r>
      <w:r>
        <w:t xml:space="preserve"> </w:t>
      </w:r>
      <w:r>
        <w:t xml:space="preserve">(1954)</w:t>
      </w:r>
      <w:r>
        <w:t xml:space="preserve">, comprising 50 assemblages from 28 sites, digitized from the survey tables and georeferenced using the Lower Mississippi Survey grid. Williams divided these lowlands into four named Mississippian phases. Across the named physiographic regions the cultural F_ST is 0.11. Most of that differentiation is a Woodland-to-Mississippian composition gradient rather than synchronic social structure. Restricting the analysis to Mississippian classes collapses the F_ST to 0.03, near the drift level. Within the region the assemblages do not separate into bounded clusters. They intermix on the ordination, and the between-cluster F_ST sits at the neutral-drift expectation and far below the bounded-groups null (Figure 11). Williams’s southeast-Missouri phases, like the named phases of the St. Francis basin, are arbitrary divisions of a continuous field structured by geography and time. This is the same verdict Fox</w:t>
      </w:r>
      <w:r>
        <w:t xml:space="preserve"> </w:t>
      </w:r>
      <w:r>
        <w:t xml:space="preserve">(1998)</w:t>
      </w:r>
      <w:r>
        <w:t xml:space="preserve"> </w:t>
      </w:r>
      <w:r>
        <w:t xml:space="preserve">reached for these phases by cluster analysis and ordination.</w:t>
      </w:r>
    </w:p>
    <w:bookmarkEnd w:id="31"/>
    <w:bookmarkStart w:id="35"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and simulated a six-bin sequence from each. We then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S6A).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S6B).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6.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3" name="Picture"/>
            <a:graphic>
              <a:graphicData uri="http://schemas.openxmlformats.org/drawingml/2006/picture">
                <pic:pic>
                  <pic:nvPicPr>
                    <pic:cNvPr descr="../../figures/figS6_dynamic.png" id="34" name="Picture"/>
                    <pic:cNvPicPr>
                      <a:picLocks noChangeArrowheads="1" noChangeAspect="1"/>
                    </pic:cNvPicPr>
                  </pic:nvPicPr>
                  <pic:blipFill>
                    <a:blip r:embed="rId32"/>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5"/>
    <w:bookmarkStart w:id="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S7).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7.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7" name="Picture"/>
            <a:graphic>
              <a:graphicData uri="http://schemas.openxmlformats.org/drawingml/2006/picture">
                <pic:pic>
                  <pic:nvPicPr>
                    <pic:cNvPr descr="../../figures/figS7_chronology.png" id="38" name="Picture"/>
                    <pic:cNvPicPr>
                      <a:picLocks noChangeArrowheads="1" noChangeAspect="1"/>
                    </pic:cNvPicPr>
                  </pic:nvPicPr>
                  <pic:blipFill>
                    <a:blip r:embed="rId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9"/>
    <w:bookmarkStart w:id="90" w:name="references"/>
    <w:p>
      <w:pPr>
        <w:pStyle w:val="Heading2"/>
      </w:pPr>
      <w:r>
        <w:t xml:space="preserve">References</w:t>
      </w:r>
    </w:p>
    <w:bookmarkStart w:id="89" w:name="refs"/>
    <w:bookmarkStart w:id="4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0">
        <w:r>
          <w:rPr>
            <w:rStyle w:val="Hyperlink"/>
          </w:rPr>
          <w:t xml:space="preserve">https://doi.org/10.1073/pnas.0903232106</w:t>
        </w:r>
      </w:hyperlink>
      <w:r>
        <w:t xml:space="preserve">.</w:t>
      </w:r>
    </w:p>
    <w:bookmarkEnd w:id="41"/>
    <w:bookmarkStart w:id="4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2">
        <w:r>
          <w:rPr>
            <w:rStyle w:val="Hyperlink"/>
          </w:rPr>
          <w:t xml:space="preserve">https://doi.org/10.1098/rspb.2004.2746</w:t>
        </w:r>
      </w:hyperlink>
      <w:r>
        <w:t xml:space="preserve">.</w:t>
      </w:r>
    </w:p>
    <w:bookmarkEnd w:id="43"/>
    <w:bookmarkStart w:id="4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4">
        <w:r>
          <w:rPr>
            <w:rStyle w:val="Hyperlink"/>
          </w:rPr>
          <w:t xml:space="preserve">https://doi.org/10.1057/s41599-019-0295-9</w:t>
        </w:r>
      </w:hyperlink>
      <w:r>
        <w:t xml:space="preserve">.</w:t>
      </w:r>
    </w:p>
    <w:bookmarkEnd w:id="45"/>
    <w:bookmarkStart w:id="46"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6"/>
    <w:bookmarkStart w:id="48"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7">
        <w:r>
          <w:rPr>
            <w:rStyle w:val="Hyperlink"/>
          </w:rPr>
          <w:t xml:space="preserve">https://doi.org/10.1016/j.jas.2014.07.014</w:t>
        </w:r>
      </w:hyperlink>
      <w:r>
        <w:t xml:space="preserve">.</w:t>
      </w:r>
    </w:p>
    <w:bookmarkEnd w:id="48"/>
    <w:bookmarkStart w:id="5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9">
        <w:r>
          <w:rPr>
            <w:rStyle w:val="Hyperlink"/>
          </w:rPr>
          <w:t xml:space="preserve">https://doi.org/10.1038/srep39122</w:t>
        </w:r>
      </w:hyperlink>
      <w:r>
        <w:t xml:space="preserve">.</w:t>
      </w:r>
    </w:p>
    <w:bookmarkEnd w:id="50"/>
    <w:bookmarkStart w:id="5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1">
        <w:r>
          <w:rPr>
            <w:rStyle w:val="Hyperlink"/>
          </w:rPr>
          <w:t xml:space="preserve">https://doi.org/10.1371/journal.pone.0041010</w:t>
        </w:r>
      </w:hyperlink>
      <w:r>
        <w:t xml:space="preserve">.</w:t>
      </w:r>
    </w:p>
    <w:bookmarkEnd w:id="52"/>
    <w:bookmarkStart w:id="5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3">
        <w:r>
          <w:rPr>
            <w:rStyle w:val="Hyperlink"/>
          </w:rPr>
          <w:t xml:space="preserve">https://doi.org/10.2307/278341</w:t>
        </w:r>
      </w:hyperlink>
      <w:r>
        <w:t xml:space="preserve">.</w:t>
      </w:r>
    </w:p>
    <w:bookmarkEnd w:id="54"/>
    <w:bookmarkStart w:id="5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5"/>
    <w:bookmarkStart w:id="5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6">
        <w:r>
          <w:rPr>
            <w:rStyle w:val="Hyperlink"/>
          </w:rPr>
          <w:t xml:space="preserve">https://doi.org/10.1534/genetics.113.158220</w:t>
        </w:r>
      </w:hyperlink>
      <w:r>
        <w:t xml:space="preserve">.</w:t>
      </w:r>
    </w:p>
    <w:bookmarkEnd w:id="57"/>
    <w:bookmarkStart w:id="58"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58"/>
    <w:bookmarkStart w:id="59"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9"/>
    <w:bookmarkStart w:id="61"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0">
        <w:r>
          <w:rPr>
            <w:rStyle w:val="Hyperlink"/>
          </w:rPr>
          <w:t xml:space="preserve">https://doi.org/10.1525/aa.2001.103.4.992</w:t>
        </w:r>
      </w:hyperlink>
      <w:r>
        <w:t xml:space="preserve">.</w:t>
      </w:r>
    </w:p>
    <w:bookmarkEnd w:id="61"/>
    <w:bookmarkStart w:id="6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2"/>
    <w:bookmarkStart w:id="6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3">
        <w:r>
          <w:rPr>
            <w:rStyle w:val="Hyperlink"/>
          </w:rPr>
          <w:t xml:space="preserve">https://doi.org/10.1666/05070.1</w:t>
        </w:r>
      </w:hyperlink>
      <w:r>
        <w:t xml:space="preserve">.</w:t>
      </w:r>
    </w:p>
    <w:bookmarkEnd w:id="64"/>
    <w:bookmarkStart w:id="6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5">
        <w:r>
          <w:rPr>
            <w:rStyle w:val="Hyperlink"/>
          </w:rPr>
          <w:t xml:space="preserve">https://doi.org/10.1111/j.1558-5646.2007.00310.x</w:t>
        </w:r>
      </w:hyperlink>
      <w:r>
        <w:t xml:space="preserve">.</w:t>
      </w:r>
    </w:p>
    <w:bookmarkEnd w:id="66"/>
    <w:bookmarkStart w:id="6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7">
        <w:r>
          <w:rPr>
            <w:rStyle w:val="Hyperlink"/>
          </w:rPr>
          <w:t xml:space="preserve">https://doi.org/10.1371/journal.pone.0250690</w:t>
        </w:r>
      </w:hyperlink>
      <w:r>
        <w:t xml:space="preserve">.</w:t>
      </w:r>
    </w:p>
    <w:bookmarkEnd w:id="68"/>
    <w:bookmarkStart w:id="7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69">
        <w:r>
          <w:rPr>
            <w:rStyle w:val="Hyperlink"/>
          </w:rPr>
          <w:t xml:space="preserve">https://doi.org/10.1371/journal.pone.0124942</w:t>
        </w:r>
      </w:hyperlink>
      <w:r>
        <w:t xml:space="preserve">.</w:t>
      </w:r>
    </w:p>
    <w:bookmarkEnd w:id="70"/>
    <w:bookmarkStart w:id="7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1">
        <w:r>
          <w:rPr>
            <w:rStyle w:val="Hyperlink"/>
          </w:rPr>
          <w:t xml:space="preserve">https://doi.org/10.1006/jaar.1997.0314</w:t>
        </w:r>
      </w:hyperlink>
      <w:r>
        <w:t xml:space="preserve">.</w:t>
      </w:r>
    </w:p>
    <w:bookmarkEnd w:id="72"/>
    <w:bookmarkStart w:id="73"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3"/>
    <w:bookmarkStart w:id="7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4"/>
    <w:bookmarkStart w:id="7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5"/>
    <w:bookmarkStart w:id="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6"/>
    <w:bookmarkStart w:id="7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7"/>
    <w:bookmarkStart w:id="7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8">
        <w:r>
          <w:rPr>
            <w:rStyle w:val="Hyperlink"/>
          </w:rPr>
          <w:t xml:space="preserve">https://doi.org/10.1017/RDC.2020.41</w:t>
        </w:r>
      </w:hyperlink>
      <w:r>
        <w:t xml:space="preserve">.</w:t>
      </w:r>
    </w:p>
    <w:bookmarkEnd w:id="79"/>
    <w:bookmarkStart w:id="8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0"/>
    <w:bookmarkStart w:id="8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1">
        <w:r>
          <w:rPr>
            <w:rStyle w:val="Hyperlink"/>
          </w:rPr>
          <w:t xml:space="preserve">https://doi.org/10.1038/nature08227</w:t>
        </w:r>
      </w:hyperlink>
      <w:r>
        <w:t xml:space="preserve">.</w:t>
      </w:r>
    </w:p>
    <w:bookmarkEnd w:id="82"/>
    <w:bookmarkStart w:id="8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3">
        <w:r>
          <w:rPr>
            <w:rStyle w:val="Hyperlink"/>
          </w:rPr>
          <w:t xml:space="preserve">https://doi.org/10.1016/j.jas.2007.01.003</w:t>
        </w:r>
      </w:hyperlink>
      <w:r>
        <w:t xml:space="preserve">.</w:t>
      </w:r>
    </w:p>
    <w:bookmarkEnd w:id="84"/>
    <w:bookmarkStart w:id="8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5">
        <w:r>
          <w:rPr>
            <w:rStyle w:val="Hyperlink"/>
          </w:rPr>
          <w:t xml:space="preserve">https://doi.org/10.1016/j.jas.2009.03.029</w:t>
        </w:r>
      </w:hyperlink>
      <w:r>
        <w:t xml:space="preserve">.</w:t>
      </w:r>
    </w:p>
    <w:bookmarkEnd w:id="86"/>
    <w:bookmarkStart w:id="87"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7"/>
    <w:bookmarkStart w:id="88" w:name="ref-williams_1954"/>
    <w:p>
      <w:pPr>
        <w:pStyle w:val="Bibliography"/>
      </w:pPr>
      <w:r>
        <w:t xml:space="preserve">Williams, Stephen. 1954. An Archeological Study of the Mississippian Culture in Southeast Missouri. PhD thesis, Yale University, New Haven.</w:t>
      </w:r>
    </w:p>
    <w:bookmarkEnd w:id="88"/>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71"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5"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9" Target="https://doi.org/10.1371/journal.pone.0124942" TargetMode="External" /><Relationship Type="http://schemas.openxmlformats.org/officeDocument/2006/relationships/hyperlink" Id="rId67" Target="https://doi.org/10.1371/journal.pone.0250690" TargetMode="External" /><Relationship Type="http://schemas.openxmlformats.org/officeDocument/2006/relationships/hyperlink" Id="rId60"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3" Target="https://doi.org/10.1666/05070.1" TargetMode="External" /><Relationship Type="http://schemas.openxmlformats.org/officeDocument/2006/relationships/hyperlink" Id="rId53"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5"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9" Target="https://doi.org/10.1371/journal.pone.0124942" TargetMode="External" /><Relationship Type="http://schemas.openxmlformats.org/officeDocument/2006/relationships/hyperlink" Id="rId67" Target="https://doi.org/10.1371/journal.pone.0250690" TargetMode="External" /><Relationship Type="http://schemas.openxmlformats.org/officeDocument/2006/relationships/hyperlink" Id="rId60"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3" Target="https://doi.org/10.1666/05070.1" TargetMode="External" /><Relationship Type="http://schemas.openxmlformats.org/officeDocument/2006/relationships/hyperlink" Id="rId53"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2026-06-19T18:33:16Z</dcterms:created>
  <dcterms:modified xsi:type="dcterms:W3CDTF">2026-06-19T18:33:16Z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