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6"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nearby than to distant neighbors record a bounded society. While the validity of phases has been questioned, the rationale for assuming these units is rarely tested or evaluated. Neutral transmission produces the same clustering with no bounded groups since drift concentrates similar styles nearby.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que los conjuntos más similares a sus vecinos cercanos que a los distantes registran una sociedad delimitada. Aunque la validez de las fases ha sido cuestionada, la justificación para asumir estas unidades rara vez se pone a prueba o se evalúa.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a los tamaños de muestra pequeños y al promediado temporal del registro mediante un experimento de recuperación de señal. Tanto en la cuenca del St. Francis como en los conjuntos del sureste de Misuri, la estructura se reproduce mediante deriva y no requiere grupos delimitados, y en el conjunto del valle la deriva genera muchos menos grupos coherentes de los que distingue el esquema de fases nombradas. Encontramos que Parkin, a menudo considerada el centro de una entidad política, es un puente de transmisión más que una capital. Evaluada directamente frente a las demás fases nombradas, la fase Parkin muestra a lo sumo una señal débil en el límite de lo que predice la deriva. Una frontera más marcada aparece solo entre el valle central y el valle inferior, confundida con el recambio cronológico y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among these units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This chiefdom is inferred to have drawn tribute from the smaller villages around it, an argument based on its position on agriculturally poor soil, which required surrounding communities to provide it with provisions</w:t>
      </w:r>
      <w:r>
        <w:t xml:space="preserve"> </w:t>
      </w:r>
      <w:r>
        <w:t xml:space="preserve">(Phyllis A. Morse 1990)</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a landscape of competing peer communities as with a centralized and consolidated hierarchy</w:t>
      </w:r>
      <w:r>
        <w:t xml:space="preserve"> </w:t>
      </w:r>
      <w:r>
        <w:t xml:space="preserve">(King and Freer 1995; Rees 2001)</w:t>
      </w:r>
      <w:r>
        <w:t xml:space="preserve">. The 16th-century historical chronicles describe Casqui and its neighbor Pacaha in open conflict, a relationship interpreted both as rivalry between competing peers and as a ranked order in which Casqui stood below Pacaha. Thus, if Parkin is indeed Casqui, the chronicles do not, by themselves, establish a single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The record shows no evidence of hierarchy.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The answer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goes beyond the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therefore, built into the unit before any independent evidence of hierarchy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(Cobb and Butler 2002)</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therefore,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an imagined moment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one-signature inferences</w:t>
      </w:r>
      <w:r>
        <w:t xml:space="preserve"> </w:t>
      </w:r>
      <w:r>
        <w:t xml:space="preserve">(Barrett 2019; Crema et al. 2016; Kandler and Shennan 2015; Mesoudi 2021)</w:t>
      </w:r>
      <w:r>
        <w:t xml:space="preserve">. Therefore, we compare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part of a hierarchy and find that no line of evidence, settlement, exchange, or transmission supports it.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This approach frames the question of phases differently from how the central-valley record is usually interpreted. Archaeologists are traditionally trained to assume the past was made of bounded units: the phase, the polity, the society. These units are treated as discrete entities with members and edges. A cluster of similar assemblages is considered one of them. In contrast, we treat transmission instead as a continuous, variable field of copying events among potters, with no intrinsic boundaries. Interaction falls off with distance, and learning is more local in some places and times than in others. A group, on this view, is not a thing with a boundary but a region where copying is locally intensified. Similarity is a matter of degree, set by how copying is distributed across space. The patterns of interaction can also be closed by degree. In this scenario, interaction narrows until potters copy mostly within a subset and rarely outside it, producing something that resembles the bounded groups that archaeologists assume.</w:t>
      </w:r>
    </w:p>
    <w:p>
      <w:pPr>
        <w:pStyle w:val="BodyText"/>
      </w:pPr>
      <w:r>
        <w:t xml:space="preserve">The phase gives the central valley record its social structure. Operationally, a phase is a set of assemblages that seriate together and cluster in space. It is interpreted, however, as a social entity, a bounded, interacting community, on the premise that assemblages that are more alike within a phase than across its edges are generated by individuals who interacted mostly within</w:t>
      </w:r>
      <w:r>
        <w:t xml:space="preserve"> </w:t>
      </w:r>
      <w:r>
        <w:t xml:space="preserve">(McNutt 1996; Morse and Morse 1983; Phillips et al. 1951; Williams 1954)</w:t>
      </w:r>
      <w:r>
        <w:t xml:space="preserve">. The premise is not an unreasonable possibility. Under the neutral transmission model, it would hold if learning were confined within social boundaries, so that decoration drifted in separate pools and diverged between them. The difficulty is that the same pattern arises with no boundary at all. When interaction declines with distance, spatially structured drift concentrates similarity among near neighbors. This is the isolation-by-distance expectation for cultural similarity</w:t>
      </w:r>
      <w:r>
        <w:t xml:space="preserve"> </w:t>
      </w:r>
      <w:r>
        <w:t xml:space="preserve">(Lipo et al. 2021; Neiman 1995; Shennan et al. 2015)</w:t>
      </w:r>
      <w:r>
        <w:t xml:space="preserve">. A cluster of similar assemblages, therefore, need not record a bounded group. What would mark a real bounded group is closure beyond what distance predicts, and that excess is the signal we must test for. Our operational question is whether the structure of similarity records bounds interaction or spatially structured drift. We can treat decoration transmitted preferentially within a group and divergent between groups as a marker, rather than a neutral style drifting in a shared pool. A marker is the ceramic proxy for interaction closing into a bounded group, so the drift-versus-groups question, then, is equivalently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Neutral style is the null condition: assemblages drawn from a single interacting community share one drifting pool, and their decorated-class frequencies admit a single battleship-curve seriation</w:t>
      </w:r>
      <w:r>
        <w:t xml:space="preserve"> </w:t>
      </w:r>
      <w:r>
        <w:t xml:space="preserve">(Dunnell 1995b; Lipo 2001; Lipo et al. 2015; Lipo and Madsen 2001; O’Brien and Leonard 2001)</w:t>
      </w:r>
      <w:r>
        <w:t xml:space="preserve">. Assortment, the tendency for like to learn from like, so that interaction sorts into distinct groups, changes this.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The obstacle is that no single frequency pattern identifies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sharpened in archaeological assemblages, which are time-averaged, because aggregation over the use-life of a deposit inflates richness, flattens evenness, and biases neutrality statistics by an amount that depends on the mean lifetime of the variants</w:t>
      </w:r>
      <w:r>
        <w:t xml:space="preserve"> </w:t>
      </w:r>
      <w:r>
        <w:t xml:space="preserve">(Madsen 2012; Premo 2014)</w:t>
      </w:r>
      <w:r>
        <w:t xml:space="preserve">. The result is equifinality: multiple transmission processes produce the same population-level pattern, so a single statistic cannot recover the process that generated it, and the discriminating signal, where it survives,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A.D. 1400 to 1600,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suggests that it drew tribute from smaller villages, a hallmark of an emerging chiefly hierarchy</w:t>
      </w:r>
      <w:r>
        <w:t xml:space="preserve"> </w:t>
      </w:r>
      <w:r>
        <w:t xml:space="preserve">(Phyllis A. Morse 1990)</w:t>
      </w:r>
      <w:r>
        <w:t xml:space="preserve">. Because contact and the demographic collapse associated with the protohistoric</w:t>
      </w:r>
      <w:r>
        <w:t xml:space="preserve"> </w:t>
      </w:r>
      <w:r>
        <w:t xml:space="preserve">“Vacant Quarter”</w:t>
      </w:r>
      <w:r>
        <w:t xml:space="preserve"> </w:t>
      </w:r>
      <w:r>
        <w:t xml:space="preserve">(Williams 1990)</w:t>
      </w:r>
      <w:r>
        <w:t xml:space="preserve"> </w:t>
      </w:r>
      <w:r>
        <w:t xml:space="preserve">interrupted the sequence, any such transition would have been truncated before it could consolidate and overwrite its own beginnings</w:t>
      </w:r>
      <w:r>
        <w:t xml:space="preserve"> </w:t>
      </w:r>
      <w:r>
        <w:t xml:space="preserve">(Cobb and Butler 2002; Morse and Morse 1996)</w:t>
      </w:r>
      <w:r>
        <w:t xml:space="preserve">. We treat this truncation as a working premise rather than a settled fact, since the timing and extent of the Vacant Quarter abandonment relative to the Parkin phase remain debated</w:t>
      </w:r>
      <w:r>
        <w:t xml:space="preserve"> </w:t>
      </w:r>
      <w:r>
        <w:t xml:space="preserve">(Cobb et al. 2024; Cobb and Butler 2002)</w:t>
      </w:r>
      <w:r>
        <w:t xml:space="preserve">. The second interpretation holds that the central valley was a stable, non-consolidated landscape of competing peer polities that never reorganized into a regional hierarchy</w:t>
      </w:r>
      <w:r>
        <w:t xml:space="preserve"> </w:t>
      </w:r>
      <w:r>
        <w:t xml:space="preserve">(Anderson 1996; Beck 2003; Blitz 1999; King and Freer 1995; Lulewicz 2019; Milner 1998; Rees 2001)</w:t>
      </w:r>
      <w:r>
        <w:t xml:space="preserve">. The chronicles describe Casqui and its neighbor, Pacaha, in open conflict, which fits within a landscape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cannot be separated by settlement morphology alone. They can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The test rests on one principle: a process that genuinely reorganizes a population into groups leaves a mark on every aspect of how pottery styles were copied, whereas a process that merely mimics group structure marks only some aspects. The reorganization at issue, which we call the closure of interaction, is central to the rest of the paper, so we define it plainly. In an open community, a potter can learn a design from anyone she encounters, near or far, so styles circulate through one connected population. Interaction closes when that circulation narrows: potters come to copy mostly from others inside their own group and rarely from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the test sets out to measure, and in the synthetic experiments below, we tune it as a parameter,</w:t>
      </w:r>
      <w:r>
        <w:t xml:space="preserve"> </w:t>
      </w:r>
      <w:r>
        <w:rPr>
          <w:i/>
          <w:iCs/>
        </w:rPr>
        <w:t xml:space="preserve">s</w:t>
      </w:r>
      <w:r>
        <w:t xml:space="preserve">, from 0 (pure drift, no closure) to 1 (strongly bounded, sharply separated groups). The four signatures are each a different consequence of closure, and we state each first in plain terms before naming its formal measure.</w:t>
      </w:r>
    </w:p>
    <w:p>
      <w:pPr>
        <w:pStyle w:val="BodyText"/>
      </w:pPr>
      <w:r>
        <w:t xml:space="preserve">The first asks whether potters copied decorated styles at random or with a bias. Under unbiased copying, where a potter is as likely to reproduce any design she encounters as any other, two independent ways of gauging an assemblage’s diversity agree.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Each yields an estimate of the same underlying transmission parameter, and under random copying, the two estimates coincide. Conformity, in which potters disproportionately copy whatever is already common, is a process that will concentrate frequency to a few ceramic classes. It raises homozygosity, lowering the homozygosity-based estimate while leaving richness little changed, pulling the two apart. A taste for novelty does the reverse. The disagreement between the two estimates, expressed as their ratio, therefore both detect a departure from random copying and show which way it leans</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 That single-peaked rise and fall is what a style traces when it is introduced, becomes popular, and is abandoned within one community, drawing on a shared pool of designs. In classical uses of seriation, all available assemblages were typically pooled into a single seriation, and deviations from the frequency guidelines were dismissed as sampling error. Sampling error certainly needs to be accounted for. Classical practice, however, ignores the most valuable aspect of the method: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The number of groups and the number of groups any one site joins directly measure the structure of past interaction. A single large group means one connected field of learning, a proliferation of small groups means a fragmented one, and a site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compute it here on Gini-Simpson diversity, the chance that two sherds drawn at random from an assemblage are of different classes. F_ST is the share of the total diversity that is due to differences between groups rather than to variation within them. When every assemblage draws on one shared, drifting pool of styles, between-group differences are small, and F_ST sits near zero. As groups come to favor distinct repertoires, the between-group share grows, and F_ST climbs</w:t>
      </w:r>
      <w:r>
        <w:t xml:space="preserve"> </w:t>
      </w:r>
      <w:r>
        <w:t xml:space="preserve">(Neiman 1995)</w:t>
      </w:r>
      <w:r>
        <w:t xml:space="preserve">. It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pairs of assemblages within the same cluster are more similar than pairs in neighboring clusters, even when the two pairs span the same geographic distance. We capture that step as a boundary-excess statistic, the gap between within-cluster and between-cluster similarity once distance is held constant, which a plain correlation of similarity with distance cannot isolate. It is useful here because it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drives all four signatures together at full strength. But the table is idealized in a way that matters here: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S5). The linked movement of these two measures cannot separate a real interaction group from drift. Therefore, we do not depend on these signatures alone. Instead, we compare the two processes generatively by simulating each one, neutral spatial drift and bounded groups alike, using the real geography of the deposits. Using the data from the simulations, we ask which reproduces the observed structure, treating the signatures as diagnostics of where each process leaves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a process drive, and an open circle (○) that leaves it flat. The process columns give the idealized discrimination logic: under smooth, deterministic processes, only a bounded interaction group drives all four, and each alternative drives a characteristic subset, the pattern an idealized simulation confirms (Figure S4).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S5). Stochastic drift thus reproduces the same two-signature pattern as environmental patchiness, so a positive result on either signature cannot by itself separate a bounded group from drift or patchiness. The final column reports the recovery experiment (Figure 4). At this record’s 29 time-averaged assemblages, only cultural F_ST registers an injected-closure signal, and even then, it must be compared against the stochastic-drift null rather than zero. Seriation-coherence breakdown, which only a bounded group drives in principle, is the cleanest discriminator on paper yet undetectable here. The four signatures are therefore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make the central difficulty explicit. Smooth, deterministic isolation by distance produces only a raw decay of similarity with distance, and the distance-controlled boundary excess is near zero under it, so it drives none of the four signatures. Stochastic neutral drift on a finite network is less forgiving. It generates patchy divergence that raises cultural F_ST and registers as a positive boundary excess in the absence of a social boundary, the mimicry that the record-matched controls expose directly (Results, Figure S5).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so on idealized data, genuine convergence would take the form of a trajectory: a coherent, same-direction shift in all four signatures across the ordinal sequence of assemblages, concentrated where and when interaction closes into bounded groups. The logic is only as strong as the independence of the signatures, because four measures that were merely redundant converge trivially. As a consequence, we validate the test using simulated assemblages before applying it to confirm that convergence arises only when interactions close into a bounded group and not under any mimic. We also use the simulation to assess whether the four signatures are tightly correlated under such closure yet nearly independent under the mimics, so their joint movement is informative rather than automatic. The use of convergence logic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that two-measure agreement and apply it to our four. Whether all four signatures, or only some, can actually do so on a record like ours is a separate question that we settle by calibrating the test directly to synthetic data matched to the Parkin assemblages.</w:t>
      </w:r>
    </w:p>
    <w:p>
      <w:pPr>
        <w:pStyle w:val="BodyText"/>
      </w:pPr>
      <w:r>
        <w:t xml:space="preserve">Below, we describe the procedures, their methods, and outcomes. Figure 2 previews what the test distinguishes, the sharp structure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theoretically sufficient. The transmission model entails its assumptions, so the result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so that no single time-point statistic can be. And it should be empirically sufficient, matched to the quality of the archaeological record and defined at the time-averaged resolution the deposit preserves rather than at a generational resolution it does not</w:t>
      </w:r>
      <w:r>
        <w:t xml:space="preserve"> </w:t>
      </w:r>
      <w:r>
        <w:t xml:space="preserve">(Holdaway and Wandsnider 2008; Perreault 2019)</w:t>
      </w:r>
      <w:r>
        <w:t xml:space="preserve">. Our four signatures are theoretically grounded by construction, each of which is entailed by the transmission model. Empirical sufficiency, whether a signature can actually register a signal at the resolution the deposit preserves, is not guaranteed by that grounding, so we test it rather than assume it. The recovery experiment finds only between-group variance empirically sufficient at this record’s resolution.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are the decorated-class counts compiled by Phillips, Ford, and Griffin</w:t>
      </w:r>
      <w:r>
        <w:t xml:space="preserve"> </w:t>
      </w:r>
      <w:r>
        <w:t xml:space="preserve">(1951)</w:t>
      </w:r>
      <w:r>
        <w:t xml:space="preserve"> </w:t>
      </w:r>
      <w:r>
        <w:t xml:space="preserve">for the Lower Mississippi Survey, an assemblage-by-class matrix of 266 surface assemblages from the central valley</w:t>
      </w:r>
      <w:r>
        <w:t xml:space="preserve"> </w:t>
      </w:r>
      <w:r>
        <w:t xml:space="preserve">(Lipo 2001)</w:t>
      </w:r>
      <w:r>
        <w:t xml:space="preserve">. Each decorated class is a unit of measurement that the analyst defines to capture stylistic variation, not a native category assumed in advance. We restrict the analysis to the St. Francis basin of northeastern Arkansas, the setting of Parkin, defined hydrologically as the assemblages within 20 km of the St. Francis, Tyronza, and L’Anguille drainage (Figure 1). This yields 29 decorated assemblages for the transmission analysis and 92 sites for the settlement comparison.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therefore,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through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The assemblages are time-averaged surface assemblages, so each aggregate pottery over the use-life of its deposit, and such aggregation distorts diversity and neutrality statistics in proportion to the mean lifetime of the variants</w:t>
      </w:r>
      <w:r>
        <w:t xml:space="preserve"> </w:t>
      </w:r>
      <w:r>
        <w:t xml:space="preserve">(Madsen 2012; Miller-Atkins and Premo 2018)</w:t>
      </w:r>
      <w:r>
        <w:t xml:space="preserve">. The units transmitted are also durable objects rather than potters, which displaces the neutral expectation from the standard population-genetic null</w:t>
      </w:r>
      <w:r>
        <w:t xml:space="preserve"> </w:t>
      </w:r>
      <w:r>
        <w:t xml:space="preserve">(Crema et al. 2024)</w:t>
      </w:r>
      <w:r>
        <w:t xml:space="preserve">. Absolute chronology is the binding limitation, though the radiocarbon corpus is richer than a bare five-date anchor. The Mainfort</w:t>
      </w:r>
      <w:r>
        <w:t xml:space="preserve"> </w:t>
      </w:r>
      <w:r>
        <w:t xml:space="preserve">(2001)</w:t>
      </w:r>
      <w:r>
        <w:t xml:space="preserve"> </w:t>
      </w:r>
      <w:r>
        <w:t xml:space="preserve">compilation yields 109 determinations for the central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still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an improvement on the +0.50 of the single-date anchors. Four of the five sites fall in calendar order, with one late-dated site departing from it. The axis, therefore, tracks calendar time, but imperfectly. The trajectory we test is an ordinal measure,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w:t>
      </w:r>
      <w:r>
        <w:t xml:space="preserve">to estimate the number of classes expected under random copying, and took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the deterministic frequency-seriation method of Lipo, Madsen, and Dunnell</w:t>
      </w:r>
      <w:r>
        <w:t xml:space="preserve"> </w:t>
      </w:r>
      <w:r>
        <w:t xml:space="preserve">(Dunnell 1970; Graves and Cachola-Abad 1996; Lipo et al. 1997, 2015)</w:t>
      </w:r>
      <w:r>
        <w:t xml:space="preserve">. A set of assemblages is co-seriable if some ordering renders every decorated class both unimodal and continuous, and the method returns the complete set of maximal co-seriable groups.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variance partition is a cultural analog of Wright’s F_ST computed on Gini-Simpson diversity, the chance that two sherds drawn at random from an assemblage are of different classes: the difference between the diversity of the pooled assemblages and the mean within-group diversity, divided by the pooled diversity, taken across spatial clusters</w:t>
      </w:r>
      <w:r>
        <w:t xml:space="preserve"> </w:t>
      </w:r>
      <w:r>
        <w:t xml:space="preserve">(Bell et al. 2009)</w:t>
      </w:r>
      <w:r>
        <w:t xml:space="preserve">. It rises from zero as groups come to hold distinct decorated repertoires. Spatial assortativity measures whether ceramic similarity follows social rather than geographic distance. We computed the Brainerd-Robinson similarity</w:t>
      </w:r>
      <w:r>
        <w:t xml:space="preserve"> </w:t>
      </w:r>
      <w:r>
        <w:t xml:space="preserve">(Brainerd 1951; Robinson 1951)</w:t>
      </w:r>
      <w:r>
        <w:t xml:space="preserve">, a standard index ranging from 0 to 200 that indicates how alike two assemblages are in their class proportions, for every pair of assemblages. We tested its association with inter-site distance by a Mantel</w:t>
      </w:r>
      <w:r>
        <w:t xml:space="preserve"> </w:t>
      </w:r>
      <w:r>
        <w:t xml:space="preserve">(1967)</w:t>
      </w:r>
      <w:r>
        <w:t xml:space="preserve"> </w:t>
      </w:r>
      <w:r>
        <w:t xml:space="preserve">permutation test, which asks whether two distance matrices, here ceramic dissimilarity and geographic distance, are related. Because a Mantel correlation cannot separate a sharp social boundary from a smooth distance decay, we summarized the result as a boundary-excess statistic, the gap between mean within-cluster and between-cluster similarity after controlling for distance. Smooth isolation-by-distance returns a boundary excess near zero, and a genuine social boundary returns a large positive value. Two corrections are essential before any of these signatures is interpreted. Assemblage sample size trends with seriation position, and several of the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And which signatures can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The argument uses four simulations, each answering a different question. An idealized validation tests whether the four signatures, in principle, separate a bounded interaction group from its three mimics on large, clean synthetic assemblages (Figure S4). A record-matched recovery test assesses which signatures can detect a known, injected closure at the real record’s sample sizes and time-averaging (Figure 4). A positive control test that generates neutral spatial drift or bounded groups reproduces the structure observed in the basin (Figure S5). A forward demonstration runs neutral drift on the real site geography with no boundary imposed, counts how many phase-like groups it produces, and checks whether the named phases exceed that number (Figures 8 and 9). The first two establish what the test can resolve on a record of this size; the second two identify which process the data match. We describe the validation and recovery here and the two drift simulations in the next subsection.</w:t>
      </w:r>
    </w:p>
    <w:p>
      <w:pPr>
        <w:pStyle w:val="BodyText"/>
      </w:pPr>
      <w:r>
        <w:t xml:space="preserve">We validated the test in two stages. The first establishes the principle. A generative model copies decorated variants under neutral transmission, the random-copying process in which learners reproduce variants in proportion to their current frequency</w:t>
      </w:r>
      <w:r>
        <w:t xml:space="preserve"> </w:t>
      </w:r>
      <w:r>
        <w:t xml:space="preserve">(Bentley et al. 2004; Neiman 1995)</w:t>
      </w:r>
      <w:r>
        <w:t xml:space="preserve">, with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Run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S4). That test uses large, clean assemblages, and it shows what the test can do in principle, not what it can do on a record like ours.</w:t>
      </w:r>
    </w:p>
    <w:p>
      <w:pPr>
        <w:pStyle w:val="BodyText"/>
      </w:pPr>
      <w:r>
        <w:t xml:space="preserve">The recovery test is generative: we built synthetic pottery records in which we controlled whether group structure was emerging, dialed from none to strong, and then asked whether our four measures could see it. The synthetic records were matched to the real ones: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 s, with between-group divergence and within-group conformity rising together along the sequence to a maximum of s.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Assemblage sample size trends with seriation position (Spearman rho = +0.59), and several signatures are size-sensitive so that a size-dependent estimator can rise or fall along the axis through sampling alone. We therefore subsample every assemblage, synthetic and real, to a common count before scoring, thereby removing the confound. And the record is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(Supplemental Text) rather than a single setting. To extend the test to the wider valley, we added the southeast-Missouri survey assemblages of Williams</w:t>
      </w:r>
      <w:r>
        <w:t xml:space="preserve"> </w:t>
      </w:r>
      <w:r>
        <w:t xml:space="preserve">(1954)</w:t>
      </w:r>
      <w:r>
        <w:t xml:space="preserve">, digitized from the survey tables. We georeferenced both the Phillips-Ford-Griffin and the Williams assemblages using their Lower Mississippi Survey grid designations against the digitized survey point files, so that the two regions share a single coordinate frame. Decorated classes were harmonized between the two typologies, both rooted in the Phillips-Ford-Griffin framework, into a common vocabulary, and the between-region comparison was run both on all decorated classes and on the classes shared by the two typologies (Supplemental Text).</w:t>
      </w:r>
    </w:p>
    <w:p>
      <w:pPr>
        <w:pStyle w:val="BodyText"/>
      </w:pPr>
      <w:r>
        <w:t xml:space="preserve">The same neutral-drift model is also run forward to produce the phase-like groups of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across 500 runs,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but a polity, or any closure of interaction into bounded groups,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And we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but at this record’s resolution, only one of them registers the difference. The idealized validation behaves as designed. When interaction is made to close into bounded groups, all four signatures move together, while drift and the other mimics each move only a characteristic subset. The four are tightly correlated under closure (mean absolute pairwise correlation 0.88) yet nearly independent under the mimics (0.19 to 0.29), so their joint movement is informative rather than redundant (Figure S4). The record-matched recovery is the more informative of the two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bounded groups). The neutral departure is non-monotonic in conformity, the spatial boundary is unresponsive at the three spatial clusters the data support, and seriation coherence responds only weakly. With the false-positive rate held at five percent, F_ST recovers a closure of strength s greater than or equal to 0.5 with power above 0.8, the threshold rising to 0.7 under the record’s time-averaging. The other three signatures are not reliable discriminators at this resolution, and we treat them as weak corroboration only.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a raw value of +0.60 to +0.01. Its uncertainty range runs from no closure to a moderate signal, so it is uninformative rather than a resolved positive. The neutrality departure is likewise size-sensitive (its raw -0.94 only weakens to -0.83 under size control). The recovery shows that it does not track closure in either direction here, so it, too, cannot be interpreted as a transmission signal. On the recovery curve, the size-controlled empirical F_ST corresponds to a nominal injected strength of about 0.35, below the resolution limit. The record, therefore, shows no detectable closure of moderate or greater strength. The negative is informative for a closure of moderate or greater strength, which would have registered and is absent. It cannot exclude a weaker closure that, given a record of this size and time-averaging, is underpowered to resolve. The positive control reported next shows that the structure actually present is what neutral drift produces. The result is therefore not only that no bounded group is detectable, but that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The most diverse assemblages are also the most central, the pattern drift produces in a single shared community (Figure S1)</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 decaying over distance and the record’s time-averaging imposed.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and at higher mixing, it underproduces the structure, so the all-four match holds only in a plausible but specific corner of the space (Supplemental Text). The bounded-groups process, by contrast, overshoots the three structural signatures by roughly two to seven times across its range, predicting far sharper community structure than the data carry. The basin’s decorated-ceramic structure is therefore reproducible by neutral spatial drift under plausible parameters. It does not require bounded groups, which would have left a sharper mark than is present (Figure S5).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 The same conclusion is reached for the phase construct from outside the transmission framework. Fox’s</w:t>
      </w:r>
      <w:r>
        <w:t xml:space="preserve"> </w:t>
      </w:r>
      <w:r>
        <w:t xml:space="preserve">(1998)</w:t>
      </w:r>
      <w:r>
        <w:t xml:space="preserve"> </w:t>
      </w:r>
      <w:r>
        <w:t xml:space="preserve">cluster analysis and ordination of the southeast-Missouri assemblages that define the regional phases found them failing as both groups and classes, with assemblages assigned to statistical clusters at random rather than segregating by phase.</w:t>
      </w:r>
    </w:p>
    <w:p>
      <w:pPr>
        <w:pStyle w:val="BodyText"/>
      </w:pPr>
      <w:r>
        <w:t xml:space="preserve">What it means for assemblages to be co-seriable is central to this signature, and the deterministic method is stricter than the seriations most archaeologists have in mind. In conventional practice, an analyst can almost always arrange a set of assemblages into an order in which class frequencies more or less rise and fall, treating the places where a class breaks that pattern as noise to be tolerated by eye. Deterministic frequency seriation removes that tolerance. It accepts an ordering only when every decorated class is at once unimodal, rising to a single peak and then falling away, and continuous, changing without an abrupt jump. It treats any break in a class’s rise and fall as disqualifying that ordering unless the break is small enough to be explained by sampling error in the counts</w:t>
      </w:r>
      <w:r>
        <w:t xml:space="preserve"> </w:t>
      </w:r>
      <w:r>
        <w:t xml:space="preserve">(Dunnell 1970; Lipo et al. 2015)</w:t>
      </w:r>
      <w:r>
        <w:t xml:space="preserve">. Where a conventional seriation would accept one rough ordering and move on, the deterministic method asks whether even one ordering can satisfy every class at once, and reports when none can. A single community drawing on a shared, drifting pool of designs meets that requirement under a single ordering. When learning is partitioned among groups, each with its own rise and fall of styles, no single ordering can hold every class unimodal at once, and the assemblages resolve into several mutually incompatible orderings. The departures from a conventional seriation would be dismissed as minor irregularities, but, interpreted this way, they would reveal the signature of more than one interaction community. The number of maximal co-seriable groups, together with the number of groups any one assemblage joins, measures that fragmentation directly</w:t>
      </w:r>
      <w:r>
        <w:t xml:space="preserve"> </w:t>
      </w:r>
      <w:r>
        <w:t xml:space="preserve">(Lipo et al. 1997)</w:t>
      </w:r>
      <w:r>
        <w:t xml:space="preserve">.</w:t>
      </w:r>
    </w:p>
    <w:p>
      <w:pPr>
        <w:pStyle w:val="BodyText"/>
      </w:pPr>
      <w:r>
        <w:t xml:space="preserve">Parkin is a seriation bridge, not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We interpret it differently: a site that bridges several orderings is a hub of interaction, not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Settlement does single Parkin out, but on the comparable evidence,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regional database under-records the moated, multi-mound type-site, coding its mound area and defensive ditch as zero</w:t>
      </w:r>
      <w:r>
        <w:t xml:space="preserve"> </w:t>
      </w:r>
      <w:r>
        <w:t xml:space="preserve">(Mitchem 2001; Phyllis A. Morse 1990)</w:t>
      </w:r>
      <w:r>
        <w:t xml:space="preserve">, so we base the settlement comparison on recorded mound height rather than on mound area. Parkin’s roughly 17-acre site area would make it the largest center in the basin. That figure, however, is the total site area rather than the basal mound area on which the other sites are measured, so we treat it as indicative only.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p>
      <w:pPr>
        <w:pStyle w:val="BodyText"/>
      </w:pPr>
      <w:r>
        <w:t xml:space="preserve">The non-ceramic evidence converges on the same conclusion. Mound size within the basin is graded rather than redistributive, and Parkin’s dominance is one of scale rather than of an administrative tier set apart from the rest. The production and exchange of Mill Creek and Dover chert hoes, the capacity-linked tools whose control would mark an economic hierarchy, was decentralized at the regional scale, with distribution following a down-the-line gradient rather than redistribution from a central place</w:t>
      </w:r>
      <w:r>
        <w:t xml:space="preserve"> </w:t>
      </w:r>
      <w:r>
        <w:t xml:space="preserve">(Cobb 2000)</w:t>
      </w:r>
      <w:r>
        <w:t xml:space="preserve">. This is a regional pattern in which the St. Francis basin participates rather than a basin-internal measurement, so we treat it as consistent with, not independent proof of, the absence of economic centralization at Parkin. A separate nonmetric ordination of overlapping late-period assemblages finds that the named phases form a gradational continuum rather than discrete, bounded clusters, the cross-method counterpart of our seriation fragmentation</w:t>
      </w:r>
      <w:r>
        <w:t xml:space="preserve"> </w:t>
      </w:r>
      <w:r>
        <w:t xml:space="preserve">(Mainfort 2003)</w:t>
      </w:r>
      <w:r>
        <w:t xml:space="preserve">. These lines point in the same direction. Two of them, the settlement organization and the lithic exchange, are independent of the ceramic data, while the ordination shares that substrate and corroborates the seriation result by a different method rather than independently.</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mound size is graded rather than redistributive, and the production of capacity-linked chert hoes was decentralized, with their exchange following a down-the-line gradient rather than central redistribution</w:t>
      </w:r>
      <w:r>
        <w:t xml:space="preserve"> </w:t>
      </w:r>
      <w:r>
        <w:t xml:space="preserve">(Cobb 2000)</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assemblages resemble their near neighbors more than their distant ones.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The decoupling has an independent precedent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whose number grows with geographic extent; restoring the staggered deposition ages collapses the count toward two time-defined groups, because assemblages caught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therefore,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spatial and population structure, not population size, governs how drift partitions diversity in finite structured populations is established in both the cultural-transmission and population-genetics literatures</w:t>
      </w:r>
      <w:r>
        <w:t xml:space="preserve"> </w:t>
      </w:r>
      <w:r>
        <w:t xml:space="preserve">(Barton 1996; Premo 2016; Schneider et al. 2016; Wright 1943)</w:t>
      </w:r>
      <w:r>
        <w:t xml:space="preserve">. A localized neutral process is readily mistaken for biased transmission when diversity is taken at face value</w:t>
      </w:r>
      <w:r>
        <w:t xml:space="preserve"> </w:t>
      </w:r>
      <w:r>
        <w:t xml:space="preserve">(Premo and Scholnick 2011)</w:t>
      </w:r>
      <w:r>
        <w:t xml:space="preserve">. Structure shapes diversity under selective dynamics as well, through a different mechanism of maintenance and recombination</w:t>
      </w:r>
      <w:r>
        <w:t xml:space="preserve"> </w:t>
      </w:r>
      <w:r>
        <w:t xml:space="preserve">(Derex et al. 2018; Derex and Boyd 2016; Saxer et al. 2009)</w:t>
      </w:r>
      <w:r>
        <w:t xml:space="preserve">. The result is not contingent on a tuned parameter set. Across 432 runs spanning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S7 and S8).</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is whether the between-group cultural F_ST across the Parkin-versus-others partition exceeds the drift null. It sits at the extreme upper tail of the null and survives most single-site deletions. The contrast is nonetheless small: the null’s own tail reaches past it, and time-averaging, which deflates between-group variance, is not modeled in the null (Figure 9C, 9D). It is therefore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S7 and S8.</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The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fourteen individuals, the result is presented as tentative, and a health difference between two sites does not require an extractive hierarchy to produce it. Neither argument supplies the regional, structural signature that the drift-versus-groups comparison looks for and does not find.</w:t>
      </w:r>
    </w:p>
    <w:p>
      <w:pPr>
        <w:pStyle w:val="BodyText"/>
      </w:pPr>
      <w:r>
        <w:t xml:space="preserve">Three limits bound the result, and the recovery experiment forces the most important of them to the front. At this record’s resolution, the discrimination between a bounded group and drift rests on a single signature, cultural F_ST. That signature is confounded by a sample-size trend along the seriation axis (Spearman rho = +0.59). We removed the confound by subsampling every assemblage to a common count, which collapses the raw F_ST trend from +0.60 to +0.01. We calibrated the test on synthetic data matched to the record, in which F_ST recovers a moderate-strength closure (s of about 0.5, rising to 0.7 once the record’s time-averaging is imposed), while maintaining a false-positive rate of 5%. The size-controlled empirical F_ST is uninformative, its bootstrap interval spanning no closure to a moderate signal. The negative is therefore informative for a closure of moderate or greater strength, which would have registered as a resolved positive, but does not. It cannot exclude a weaker closure than a record of 29 time-averaged assemblages, which is underpowered to resolve. We state the claim at that bound rather than beyond it. The other three signatures do not track closure reliably here. The neutral departure fails because it is non-monotonic in conformity and sensitive to sample size. The spatial boundary fails because the data support too few spatial clusters, and seriation coherence responds only weakly. We report them as corroboration rather than as independent confirmations. This reduction is a property of the record. When a known closure signal is injected instead through a within-group conformity pathway or a non-spatially-organized social-fragmentation pathway, neither the neutral nor the seriation signature recovers it either, so the three weak signatures fail at this resolution regardless of how closure is produced (Supplemental Text). The price is that the negative bounds are only closure expressed as between-group divergence. The closure carried purely by conformity, or by social structure not aligned with the spatial clusters, would lie below detection in this record at any strength. The second limit is the ordinal chronology. The basin radiocarbon corpus pools to five seriation anchors across a calibration plateau, so the axis is a relative order oriented toward later time at Spearman +0.70, imperfectly. The discriminating quantity, the size-controlled F_ST trend, is a magnitude that does not depend on the axis orientation.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argue that this makes the absence conservative, we built the damping into the recovery experiment directly, where it raises the detection threshold from s of 0.5 to 0.7, the quantified cost of the record’s temporal mixing. The verdict is stable across the watershed (19 assemblages) and corridor (29) basin definitions. The central methodological finding is that telling a bounded group from drift must be calibrated to the record to which it is applied. The same four signatures that discriminate cleanly on idealized data reduce, on a real time-averaged record of this size, to a single confound-controlled signature. Saying so is what licenses interpreting the structure as drift rather than weakening the claim.</w:t>
      </w:r>
    </w:p>
    <w:p>
      <w:pPr>
        <w:pStyle w:val="BodyText"/>
      </w:pPr>
      <w:r>
        <w:t xml:space="preserve">The contribution has two parts that should be kept distinct. The four signatures distinguish a bounded interaction group from drift in principle, and an idealized simulation confirms that closure drives them together while drift and the other mimics do not (Figure S4). The calibration is the part that travels to real data: it asks, before any similarity structure is interpreted as social, which signatures a given record can support and how strong a closure each could detect. The Parkin record shows the test reducing to its single most robust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resists the drift interpretation, if only faintly, and deserves to be named rather than buried. The single place in the valley that carries a faint signal of structure beyond drift is the Parkin phase, and Parkin is the one monumental node, the largest mound, the palisade, the confluence position, the candidate Casqui. A center beginning to differentiate as a distinct node, rather than a finished, bounded group, would leave just such a signal. This is what the origination stage of the two-regime model predicts: a local return generates a group-beneficial pattern at a node before assortment becomes binding and propagates into higher-level structure, with contact and the protohistoric depopulation truncating the sequence before it could consolidate. We do not claim this happened. The contrast is small, the drift null reaches past it, and the time-averaged surface record of eight Parkin-phase assemblages cannot support the claim. The possibility that Parkin was an incipient node nonetheless warrants direct investigation with data classes the present record lacks: stratified, excavated assemblages with independent radiocarbon, to test whether the differentiation grows through time rather than holding flat; compositional and petrographic sourcing of the ceramics, to test whether production and exchange were localizing on the center; and the non-ceramic lines,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to show whether economic and social differentiation track the ceramic hint or run independent of it. Whether Parkin was beginning to pull away from its neighbors, or sits where drift on the river network happens to concentrate interaction, is a question this record raises but cannot settle.</w:t>
      </w:r>
    </w:p>
    <w:p>
      <w:pPr>
        <w:pStyle w:val="BodyText"/>
      </w:pPr>
      <w:r>
        <w:t xml:space="preserve">The test also extends beyond the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Therefore,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separating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therefore, cannot be separated from the early-to-late turnover of the repertoire, as reflected in time-averaged surface assemblages. Resolving whether the inter-regional boundary is synchronic and social or a chronological succession would require independent radiocarbon control of the central-valley assemblages, which the present compilation lacks. A second confound compounds the first. The lower-valley assemblages were collected and classified by Ford, later by Phillips, Ford, and Griffin.</w:t>
      </w:r>
    </w:p>
    <w:p>
      <w:pPr>
        <w:pStyle w:val="BodyText"/>
      </w:pPr>
      <w:r>
        <w:t xml:space="preserve">In contrast, the central-valley assemblages were collected and classified separately by Williams, so the two blocks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of the central Mississippi Valley: the southeast-Missouri survey of Williams (CMV, blue) and the lower-valley St. Francis basin Parkin-phase assemblages (LMV, orange), with the gap between the two clusters of assemblages and Parkin starred. Labels mark the named physiographic phase regions (Cairo Lowland, Sikeston Ridge, Malden Plain, and Little River in the central valley, with the St. Francis basin in the lower valley). Hydrography combines the Lower Mississippi Survey layer with Natural Earth, state boundaries, and the North America locator inset, which are from Natural Earth. The central-valley assemblages were collected and classified by Williams, and the lower-valley assemblages in the Phillips-Ford-Griffin tradition, the separate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colored by within-region spatial cluster, and the assemblages intermix rather than separating into clusters. Bottom: the observed between-cluster cultural F_ST for each region (diamond) against the 95% nulls of a neutral spatial-drift model (blue) and a bounded-groups model (orange)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sufficient,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On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A third probe, for the early-warning signature of a critical transition, is underpowered at this ordinal resolution and does not meet the empirical sufficiency criterion, so we report it in the supplementary code but do not rely on it</w:t>
      </w:r>
      <w:r>
        <w:t xml:space="preserve"> </w:t>
      </w:r>
      <w:r>
        <w:t xml:space="preserve">(Dakos et al. 2012; Scheffer et al. 2009)</w:t>
      </w:r>
      <w:r>
        <w:t xml:space="preserve">.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No evidence of settlement, exchange, or ceramic transmission marks it as the apex of a polity. The greater similarity among nearby assemblages that defines the phase is reproduced by neutral drift on the basin’s geography, the ordinary residue of continuous interaction structured by where sites sit.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the discipline should weigh: a similarity cluster is not, by itself, a society, and before a phase is interpreted as a social group, the record must be shown to distinguish a real interaction boundary from drift across geography.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45" w:name="references"/>
    <w:p>
      <w:pPr>
        <w:pStyle w:val="Heading2"/>
      </w:pPr>
      <w:r>
        <w:t xml:space="preserve">References</w:t>
      </w:r>
    </w:p>
    <w:bookmarkStart w:id="244"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5" w:name="ref-cobb_butler_2002"/>
    <w:p>
      <w:pPr>
        <w:pStyle w:val="Bibliography"/>
      </w:pPr>
      <w:r>
        <w:t xml:space="preserve">Cobb, Charles R., and Brian M. Butler. 2002. The Vacant Quarter Revisited: Late</w:t>
      </w:r>
      <w:r>
        <w:t xml:space="preserve"> </w:t>
      </w:r>
      <w:r>
        <w:t xml:space="preserve">Mississippian</w:t>
      </w:r>
      <w:r>
        <w:t xml:space="preserve"> </w:t>
      </w:r>
      <w:r>
        <w:t xml:space="preserve">Abandonment of the Lower</w:t>
      </w:r>
      <w:r>
        <w:t xml:space="preserve"> </w:t>
      </w:r>
      <w:r>
        <w:t xml:space="preserve">Ohio</w:t>
      </w:r>
      <w:r>
        <w:t xml:space="preserve"> </w:t>
      </w:r>
      <w:r>
        <w:t xml:space="preserve">Valley.</w:t>
      </w:r>
      <w:r>
        <w:t xml:space="preserve"> </w:t>
      </w:r>
      <w:r>
        <w:rPr>
          <w:i/>
          <w:iCs/>
        </w:rPr>
        <w:t xml:space="preserve">American Antiquity</w:t>
      </w:r>
      <w:r>
        <w:t xml:space="preserve"> </w:t>
      </w:r>
      <w:r>
        <w:t xml:space="preserve">67(4):625–641.</w:t>
      </w:r>
    </w:p>
    <w:bookmarkEnd w:id="85"/>
    <w:bookmarkStart w:id="87" w:name="ref-cobb_etal_2024"/>
    <w:p>
      <w:pPr>
        <w:pStyle w:val="Bibliography"/>
      </w:pPr>
      <w:r>
        <w:t xml:space="preserve">Cobb, Charles R., Anthony M. Krus, Aaron Deter-Wolf, Kevin E. Smith, Edmond A. Boudreaux, and Brad R. Lieb. 2024. The Beginning of the End: Abandonment Micro-Histories in the</w:t>
      </w:r>
      <w:r>
        <w:t xml:space="preserve"> </w:t>
      </w:r>
      <w:r>
        <w:t xml:space="preserve">Mississippian</w:t>
      </w:r>
      <w:r>
        <w:t xml:space="preserve"> </w:t>
      </w:r>
      <w:r>
        <w:t xml:space="preserve">Vacant</w:t>
      </w:r>
      <w:r>
        <w:t xml:space="preserve"> </w:t>
      </w:r>
      <w:r>
        <w:t xml:space="preserve">Quarter</w:t>
      </w:r>
      <w:r>
        <w:t xml:space="preserve">.</w:t>
      </w:r>
      <w:r>
        <w:t xml:space="preserve"> </w:t>
      </w:r>
      <w:r>
        <w:rPr>
          <w:i/>
          <w:iCs/>
        </w:rPr>
        <w:t xml:space="preserve">Journal of Archaeological Method and Theory</w:t>
      </w:r>
      <w:r>
        <w:t xml:space="preserve"> </w:t>
      </w:r>
      <w:r>
        <w:t xml:space="preserve">31:619–643.</w:t>
      </w:r>
      <w:r>
        <w:t xml:space="preserve"> </w:t>
      </w:r>
      <w:hyperlink r:id="rId86">
        <w:r>
          <w:rPr>
            <w:rStyle w:val="Hyperlink"/>
          </w:rPr>
          <w:t xml:space="preserve">https://doi.org/10.1007/s10816-023-09613-w</w:t>
        </w:r>
      </w:hyperlink>
      <w:r>
        <w:t xml:space="preserve">.</w:t>
      </w:r>
    </w:p>
    <w:bookmarkEnd w:id="87"/>
    <w:bookmarkStart w:id="89"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8">
        <w:r>
          <w:rPr>
            <w:rStyle w:val="Hyperlink"/>
          </w:rPr>
          <w:t xml:space="preserve">https://doi.org/10.1057/s41599-020-00635-3</w:t>
        </w:r>
      </w:hyperlink>
      <w:r>
        <w:t xml:space="preserve">.</w:t>
      </w:r>
    </w:p>
    <w:bookmarkEnd w:id="89"/>
    <w:bookmarkStart w:id="91"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90">
        <w:r>
          <w:rPr>
            <w:rStyle w:val="Hyperlink"/>
          </w:rPr>
          <w:t xml:space="preserve">https://doi.org/10.1007/s10816-022-09599-x</w:t>
        </w:r>
      </w:hyperlink>
      <w:r>
        <w:t xml:space="preserve">.</w:t>
      </w:r>
    </w:p>
    <w:bookmarkEnd w:id="91"/>
    <w:bookmarkStart w:id="93"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92">
        <w:r>
          <w:rPr>
            <w:rStyle w:val="Hyperlink"/>
          </w:rPr>
          <w:t xml:space="preserve">https://doi.org/10.1016/j.jas.2014.07.014</w:t>
        </w:r>
      </w:hyperlink>
      <w:r>
        <w:t xml:space="preserve">.</w:t>
      </w:r>
    </w:p>
    <w:bookmarkEnd w:id="93"/>
    <w:bookmarkStart w:id="95"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4">
        <w:r>
          <w:rPr>
            <w:rStyle w:val="Hyperlink"/>
          </w:rPr>
          <w:t xml:space="preserve">https://doi.org/10.1038/srep39122</w:t>
        </w:r>
      </w:hyperlink>
      <w:r>
        <w:t xml:space="preserve">.</w:t>
      </w:r>
    </w:p>
    <w:bookmarkEnd w:id="95"/>
    <w:bookmarkStart w:id="97"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96">
        <w:r>
          <w:rPr>
            <w:rStyle w:val="Hyperlink"/>
          </w:rPr>
          <w:t xml:space="preserve">https://doi.org/10.1371/journal.pone.0041010</w:t>
        </w:r>
      </w:hyperlink>
      <w:r>
        <w:t xml:space="preserve">.</w:t>
      </w:r>
    </w:p>
    <w:bookmarkEnd w:id="97"/>
    <w:bookmarkStart w:id="99" w:name="ref-derex_boyd_2016"/>
    <w:p>
      <w:pPr>
        <w:pStyle w:val="Bibliography"/>
      </w:pPr>
      <w:r>
        <w:t xml:space="preserve">Derex, Maxime, and Robert Boyd. 2016. Partial Connectivity Increases Cultural Accumulation Within Groups.</w:t>
      </w:r>
      <w:r>
        <w:t xml:space="preserve"> </w:t>
      </w:r>
      <w:r>
        <w:rPr>
          <w:i/>
          <w:iCs/>
        </w:rPr>
        <w:t xml:space="preserve">Proceedings of the National Academy of Sciences</w:t>
      </w:r>
      <w:r>
        <w:t xml:space="preserve"> </w:t>
      </w:r>
      <w:r>
        <w:t xml:space="preserve">113(11):2982–2987.</w:t>
      </w:r>
      <w:r>
        <w:t xml:space="preserve"> </w:t>
      </w:r>
      <w:hyperlink r:id="rId98">
        <w:r>
          <w:rPr>
            <w:rStyle w:val="Hyperlink"/>
          </w:rPr>
          <w:t xml:space="preserve">https://doi.org/10.1073/pnas.1518798113</w:t>
        </w:r>
      </w:hyperlink>
      <w:r>
        <w:t xml:space="preserve">.</w:t>
      </w:r>
    </w:p>
    <w:bookmarkEnd w:id="99"/>
    <w:bookmarkStart w:id="101" w:name="ref-derex_perreault_boyd_2018"/>
    <w:p>
      <w:pPr>
        <w:pStyle w:val="Bibliography"/>
      </w:pPr>
      <w:r>
        <w:t xml:space="preserve">Derex, Maxime, Charles Perreault, and Robert Boyd. 2018. Divide and Conquer: Intermediate Levels of Population Fragmentation Maximize Cultural Accumulation.</w:t>
      </w:r>
      <w:r>
        <w:t xml:space="preserve"> </w:t>
      </w:r>
      <w:r>
        <w:rPr>
          <w:i/>
          <w:iCs/>
        </w:rPr>
        <w:t xml:space="preserve">Philosophical Transactions of the Royal Society B</w:t>
      </w:r>
      <w:r>
        <w:t xml:space="preserve"> </w:t>
      </w:r>
      <w:r>
        <w:t xml:space="preserve">373(1743):20170062.</w:t>
      </w:r>
      <w:r>
        <w:t xml:space="preserve"> </w:t>
      </w:r>
      <w:hyperlink r:id="rId100">
        <w:r>
          <w:rPr>
            <w:rStyle w:val="Hyperlink"/>
          </w:rPr>
          <w:t xml:space="preserve">https://doi.org/10.1098/rstb.2017.0062</w:t>
        </w:r>
      </w:hyperlink>
      <w:r>
        <w:t xml:space="preserve">.</w:t>
      </w:r>
    </w:p>
    <w:bookmarkEnd w:id="101"/>
    <w:bookmarkStart w:id="103"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02">
        <w:r>
          <w:rPr>
            <w:rStyle w:val="Hyperlink"/>
          </w:rPr>
          <w:t xml:space="preserve">https://doi.org/10.2307/278341</w:t>
        </w:r>
      </w:hyperlink>
      <w:r>
        <w:t xml:space="preserve">.</w:t>
      </w:r>
    </w:p>
    <w:bookmarkEnd w:id="103"/>
    <w:bookmarkStart w:id="105"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04">
        <w:r>
          <w:rPr>
            <w:rStyle w:val="Hyperlink"/>
          </w:rPr>
          <w:t xml:space="preserve">https://doi.org/10.2307/279244</w:t>
        </w:r>
      </w:hyperlink>
      <w:r>
        <w:t xml:space="preserve">.</w:t>
      </w:r>
    </w:p>
    <w:bookmarkEnd w:id="105"/>
    <w:bookmarkStart w:id="106"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06"/>
    <w:bookmarkStart w:id="107"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07"/>
    <w:bookmarkStart w:id="108" w:name="ref-dunnell_1995b"/>
    <w:p>
      <w:pPr>
        <w:pStyle w:val="Bibliography"/>
      </w:pPr>
      <w:r>
        <w:t xml:space="preserve">Dunnell, Robert C. 1995b. Style: Concepts and Practice.</w:t>
      </w:r>
    </w:p>
    <w:bookmarkEnd w:id="108"/>
    <w:bookmarkStart w:id="109"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9"/>
    <w:bookmarkStart w:id="111"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10">
        <w:r>
          <w:rPr>
            <w:rStyle w:val="Hyperlink"/>
          </w:rPr>
          <w:t xml:space="preserve">https://doi.org/10.1016/j.jaa.2005.08.001</w:t>
        </w:r>
      </w:hyperlink>
      <w:r>
        <w:t xml:space="preserve">.</w:t>
      </w:r>
    </w:p>
    <w:bookmarkEnd w:id="111"/>
    <w:bookmarkStart w:id="113"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12">
        <w:r>
          <w:rPr>
            <w:rStyle w:val="Hyperlink"/>
          </w:rPr>
          <w:t xml:space="preserve">https://doi.org/10.1007/s10814-007-9013-z</w:t>
        </w:r>
      </w:hyperlink>
      <w:r>
        <w:t xml:space="preserve">.</w:t>
      </w:r>
    </w:p>
    <w:bookmarkEnd w:id="113"/>
    <w:bookmarkStart w:id="114"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14"/>
    <w:bookmarkStart w:id="116"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15">
        <w:r>
          <w:rPr>
            <w:rStyle w:val="Hyperlink"/>
          </w:rPr>
          <w:t xml:space="preserve">https://doi.org/10.1534/genetics.113.158220</w:t>
        </w:r>
      </w:hyperlink>
      <w:r>
        <w:t xml:space="preserve">.</w:t>
      </w:r>
    </w:p>
    <w:bookmarkEnd w:id="116"/>
    <w:bookmarkStart w:id="118"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17">
        <w:r>
          <w:rPr>
            <w:rStyle w:val="Hyperlink"/>
          </w:rPr>
          <w:t xml:space="preserve">https://doi.org/10.1073/pnas.2418106121</w:t>
        </w:r>
      </w:hyperlink>
      <w:r>
        <w:t xml:space="preserve">.</w:t>
      </w:r>
    </w:p>
    <w:bookmarkEnd w:id="118"/>
    <w:bookmarkStart w:id="119"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9"/>
    <w:bookmarkStart w:id="120"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20"/>
    <w:bookmarkStart w:id="121"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21"/>
    <w:bookmarkStart w:id="122"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22"/>
    <w:bookmarkStart w:id="124"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23">
        <w:r>
          <w:rPr>
            <w:rStyle w:val="Hyperlink"/>
          </w:rPr>
          <w:t xml:space="preserve">https://doi.org/10.1525/aa.2001.103.4.992</w:t>
        </w:r>
      </w:hyperlink>
      <w:r>
        <w:t xml:space="preserve">.</w:t>
      </w:r>
    </w:p>
    <w:bookmarkEnd w:id="124"/>
    <w:bookmarkStart w:id="126"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25">
        <w:r>
          <w:rPr>
            <w:rStyle w:val="Hyperlink"/>
          </w:rPr>
          <w:t xml:space="preserve">https://doi.org/10.2307/4128416</w:t>
        </w:r>
      </w:hyperlink>
      <w:r>
        <w:t xml:space="preserve">.</w:t>
      </w:r>
    </w:p>
    <w:bookmarkEnd w:id="126"/>
    <w:bookmarkStart w:id="128"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27">
        <w:r>
          <w:rPr>
            <w:rStyle w:val="Hyperlink"/>
          </w:rPr>
          <w:t xml:space="preserve">https://doi.org/10.1016/S1090-5138(98)00018-X</w:t>
        </w:r>
      </w:hyperlink>
      <w:r>
        <w:t xml:space="preserve">.</w:t>
      </w:r>
    </w:p>
    <w:bookmarkEnd w:id="128"/>
    <w:bookmarkStart w:id="129"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9"/>
    <w:bookmarkStart w:id="131"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30">
        <w:r>
          <w:rPr>
            <w:rStyle w:val="Hyperlink"/>
          </w:rPr>
          <w:t xml:space="preserve">https://doi.org/10.1017/aap.2021.10</w:t>
        </w:r>
      </w:hyperlink>
      <w:r>
        <w:t xml:space="preserve">.</w:t>
      </w:r>
    </w:p>
    <w:bookmarkEnd w:id="131"/>
    <w:bookmarkStart w:id="132"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32"/>
    <w:bookmarkStart w:id="133"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33"/>
    <w:bookmarkStart w:id="134"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34"/>
    <w:bookmarkStart w:id="136"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35">
        <w:r>
          <w:rPr>
            <w:rStyle w:val="Hyperlink"/>
          </w:rPr>
          <w:t xml:space="preserve">https://doi.org/10.1666/05070.1</w:t>
        </w:r>
      </w:hyperlink>
      <w:r>
        <w:t xml:space="preserve">.</w:t>
      </w:r>
    </w:p>
    <w:bookmarkEnd w:id="136"/>
    <w:bookmarkStart w:id="138"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37">
        <w:r>
          <w:rPr>
            <w:rStyle w:val="Hyperlink"/>
          </w:rPr>
          <w:t xml:space="preserve">https://doi.org/10.1111/j.1558-5646.2007.00310.x</w:t>
        </w:r>
      </w:hyperlink>
      <w:r>
        <w:t xml:space="preserve">.</w:t>
      </w:r>
    </w:p>
    <w:bookmarkEnd w:id="138"/>
    <w:bookmarkStart w:id="139"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9"/>
    <w:bookmarkStart w:id="141"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40">
        <w:r>
          <w:rPr>
            <w:rStyle w:val="Hyperlink"/>
          </w:rPr>
          <w:t xml:space="preserve">https://doi.org/10.1016/j.jtbi.2013.03.006</w:t>
        </w:r>
      </w:hyperlink>
      <w:r>
        <w:t xml:space="preserve">.</w:t>
      </w:r>
    </w:p>
    <w:bookmarkEnd w:id="141"/>
    <w:bookmarkStart w:id="143"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42">
        <w:r>
          <w:rPr>
            <w:rStyle w:val="Hyperlink"/>
          </w:rPr>
          <w:t xml:space="preserve">https://doi.org/10.1098/rsif.2015.0905</w:t>
        </w:r>
      </w:hyperlink>
      <w:r>
        <w:t xml:space="preserve">.</w:t>
      </w:r>
    </w:p>
    <w:bookmarkEnd w:id="143"/>
    <w:bookmarkStart w:id="145"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44">
        <w:r>
          <w:rPr>
            <w:rStyle w:val="Hyperlink"/>
          </w:rPr>
          <w:t xml:space="preserve">https://doi.org/10.1098/rsos.170949</w:t>
        </w:r>
      </w:hyperlink>
      <w:r>
        <w:t xml:space="preserve">.</w:t>
      </w:r>
    </w:p>
    <w:bookmarkEnd w:id="145"/>
    <w:bookmarkStart w:id="147"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46">
        <w:r>
          <w:rPr>
            <w:rStyle w:val="Hyperlink"/>
          </w:rPr>
          <w:t xml:space="preserve">https://doi.org/10.1146/annurev-ecolsys-110512-135838</w:t>
        </w:r>
      </w:hyperlink>
      <w:r>
        <w:t xml:space="preserve">.</w:t>
      </w:r>
    </w:p>
    <w:bookmarkEnd w:id="147"/>
    <w:bookmarkStart w:id="148"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8"/>
    <w:bookmarkStart w:id="150"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9">
        <w:r>
          <w:rPr>
            <w:rStyle w:val="Hyperlink"/>
          </w:rPr>
          <w:t xml:space="preserve">https://doi.org/10.2307/2694529</w:t>
        </w:r>
      </w:hyperlink>
      <w:r>
        <w:t xml:space="preserve">.</w:t>
      </w:r>
    </w:p>
    <w:bookmarkEnd w:id="150"/>
    <w:bookmarkStart w:id="151"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51"/>
    <w:bookmarkStart w:id="152"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52"/>
    <w:bookmarkStart w:id="154"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53">
        <w:r>
          <w:rPr>
            <w:rStyle w:val="Hyperlink"/>
          </w:rPr>
          <w:t xml:space="preserve">https://doi.org/10.1371/journal.pone.0250690</w:t>
        </w:r>
      </w:hyperlink>
      <w:r>
        <w:t xml:space="preserve">.</w:t>
      </w:r>
    </w:p>
    <w:bookmarkEnd w:id="154"/>
    <w:bookmarkStart w:id="155"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55"/>
    <w:bookmarkStart w:id="157"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56">
        <w:r>
          <w:rPr>
            <w:rStyle w:val="Hyperlink"/>
          </w:rPr>
          <w:t xml:space="preserve">https://doi.org/10.1016/j.jas.2010.05.015</w:t>
        </w:r>
      </w:hyperlink>
      <w:r>
        <w:t xml:space="preserve">.</w:t>
      </w:r>
    </w:p>
    <w:bookmarkEnd w:id="157"/>
    <w:bookmarkStart w:id="158"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8"/>
    <w:bookmarkStart w:id="160"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9">
        <w:r>
          <w:rPr>
            <w:rStyle w:val="Hyperlink"/>
          </w:rPr>
          <w:t xml:space="preserve">https://doi.org/10.1371/journal.pone.0124942</w:t>
        </w:r>
      </w:hyperlink>
      <w:r>
        <w:t xml:space="preserve">.</w:t>
      </w:r>
    </w:p>
    <w:bookmarkEnd w:id="160"/>
    <w:bookmarkStart w:id="162"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61">
        <w:r>
          <w:rPr>
            <w:rStyle w:val="Hyperlink"/>
          </w:rPr>
          <w:t xml:space="preserve">https://doi.org/10.1006/jaar.1997.0314</w:t>
        </w:r>
      </w:hyperlink>
      <w:r>
        <w:t xml:space="preserve">.</w:t>
      </w:r>
    </w:p>
    <w:bookmarkEnd w:id="162"/>
    <w:bookmarkStart w:id="164"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63">
        <w:r>
          <w:rPr>
            <w:rStyle w:val="Hyperlink"/>
          </w:rPr>
          <w:t xml:space="preserve">https://doi.org/10.1073/pnas.1818346116</w:t>
        </w:r>
      </w:hyperlink>
      <w:r>
        <w:t xml:space="preserve">.</w:t>
      </w:r>
    </w:p>
    <w:bookmarkEnd w:id="164"/>
    <w:bookmarkStart w:id="166"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65">
        <w:r>
          <w:rPr>
            <w:rStyle w:val="Hyperlink"/>
          </w:rPr>
          <w:t xml:space="preserve">https://doi.org/10.1016/j.jas.2021.105412</w:t>
        </w:r>
      </w:hyperlink>
      <w:r>
        <w:t xml:space="preserve">.</w:t>
      </w:r>
    </w:p>
    <w:bookmarkEnd w:id="166"/>
    <w:bookmarkStart w:id="167" w:name="ref-madsen_2012"/>
    <w:p>
      <w:pPr>
        <w:pStyle w:val="Bibliography"/>
      </w:pPr>
      <w:r>
        <w:t xml:space="preserve">Madsen, Mark E. 2012. Neutral Cultural Transmission in Time-Averaged Archaeological Assemblages. arXiv preprint arXiv:1204.2043 [physics.soc-ph].</w:t>
      </w:r>
    </w:p>
    <w:bookmarkEnd w:id="167"/>
    <w:bookmarkStart w:id="168"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8"/>
    <w:bookmarkStart w:id="169"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9"/>
    <w:bookmarkStart w:id="170"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70"/>
    <w:bookmarkStart w:id="171"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71"/>
    <w:bookmarkStart w:id="172"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72"/>
    <w:bookmarkStart w:id="173"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73"/>
    <w:bookmarkStart w:id="174"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74"/>
    <w:bookmarkStart w:id="176"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75">
        <w:r>
          <w:rPr>
            <w:rStyle w:val="Hyperlink"/>
          </w:rPr>
          <w:t xml:space="preserve">https://doi.org/10.1080/20548923.2018.1504490</w:t>
        </w:r>
      </w:hyperlink>
      <w:r>
        <w:t xml:space="preserve">.</w:t>
      </w:r>
    </w:p>
    <w:bookmarkEnd w:id="176"/>
    <w:bookmarkStart w:id="177"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7"/>
    <w:bookmarkStart w:id="178"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8"/>
    <w:bookmarkStart w:id="179"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9"/>
    <w:bookmarkStart w:id="180"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80"/>
    <w:bookmarkStart w:id="181"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81"/>
    <w:bookmarkStart w:id="182"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82"/>
    <w:bookmarkStart w:id="183"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83"/>
    <w:bookmarkStart w:id="184"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84"/>
    <w:bookmarkStart w:id="186"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85">
        <w:r>
          <w:rPr>
            <w:rStyle w:val="Hyperlink"/>
          </w:rPr>
          <w:t xml:space="preserve">https://doi.org/10.1098/rstb.2016.0426</w:t>
        </w:r>
      </w:hyperlink>
      <w:r>
        <w:t xml:space="preserve">.</w:t>
      </w:r>
    </w:p>
    <w:bookmarkEnd w:id="186"/>
    <w:bookmarkStart w:id="188"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7">
        <w:r>
          <w:rPr>
            <w:rStyle w:val="Hyperlink"/>
          </w:rPr>
          <w:t xml:space="preserve">https://doi.org/10.2307/279066</w:t>
        </w:r>
      </w:hyperlink>
      <w:r>
        <w:t xml:space="preserve">.</w:t>
      </w:r>
    </w:p>
    <w:bookmarkEnd w:id="188"/>
    <w:bookmarkStart w:id="190"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9">
        <w:r>
          <w:rPr>
            <w:rStyle w:val="Hyperlink"/>
          </w:rPr>
          <w:t xml:space="preserve">https://doi.org/10.1016/j.jas.2012.04.040</w:t>
        </w:r>
      </w:hyperlink>
      <w:r>
        <w:t xml:space="preserve">.</w:t>
      </w:r>
    </w:p>
    <w:bookmarkEnd w:id="190"/>
    <w:bookmarkStart w:id="192"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91">
        <w:r>
          <w:rPr>
            <w:rStyle w:val="Hyperlink"/>
          </w:rPr>
          <w:t xml:space="preserve">https://doi.org/10.1007/s10816-018-9364-4</w:t>
        </w:r>
      </w:hyperlink>
      <w:r>
        <w:t xml:space="preserve">.</w:t>
      </w:r>
    </w:p>
    <w:bookmarkEnd w:id="192"/>
    <w:bookmarkStart w:id="193"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93"/>
    <w:bookmarkStart w:id="194"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94"/>
    <w:bookmarkStart w:id="195"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95"/>
    <w:bookmarkStart w:id="197"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96">
        <w:r>
          <w:rPr>
            <w:rStyle w:val="Hyperlink"/>
          </w:rPr>
          <w:t xml:space="preserve">https://doi.org/10.1525/aa.1953.55.5.02a00030</w:t>
        </w:r>
      </w:hyperlink>
      <w:r>
        <w:t xml:space="preserve">.</w:t>
      </w:r>
    </w:p>
    <w:bookmarkEnd w:id="197"/>
    <w:bookmarkStart w:id="199"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8">
        <w:r>
          <w:rPr>
            <w:rStyle w:val="Hyperlink"/>
          </w:rPr>
          <w:t xml:space="preserve">https://doi.org/10.1126/science.1170165</w:t>
        </w:r>
      </w:hyperlink>
      <w:r>
        <w:t xml:space="preserve">.</w:t>
      </w:r>
    </w:p>
    <w:bookmarkEnd w:id="199"/>
    <w:bookmarkStart w:id="201"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200">
        <w:r>
          <w:rPr>
            <w:rStyle w:val="Hyperlink"/>
          </w:rPr>
          <w:t xml:space="preserve">https://doi.org/10.1086/674873</w:t>
        </w:r>
      </w:hyperlink>
      <w:r>
        <w:t xml:space="preserve">.</w:t>
      </w:r>
    </w:p>
    <w:bookmarkEnd w:id="201"/>
    <w:bookmarkStart w:id="203"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02">
        <w:r>
          <w:rPr>
            <w:rStyle w:val="Hyperlink"/>
          </w:rPr>
          <w:t xml:space="preserve">https://doi.org/10.7183/0002-7316.81.4.605</w:t>
        </w:r>
      </w:hyperlink>
      <w:r>
        <w:t xml:space="preserve">.</w:t>
      </w:r>
    </w:p>
    <w:bookmarkEnd w:id="203"/>
    <w:bookmarkStart w:id="205"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04">
        <w:r>
          <w:rPr>
            <w:rStyle w:val="Hyperlink"/>
          </w:rPr>
          <w:t xml:space="preserve">https://doi.org/10.7183/0002-7316.76.1.163</w:t>
        </w:r>
      </w:hyperlink>
      <w:r>
        <w:t xml:space="preserve">.</w:t>
      </w:r>
    </w:p>
    <w:bookmarkEnd w:id="205"/>
    <w:bookmarkStart w:id="206"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06"/>
    <w:bookmarkStart w:id="208"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7">
        <w:r>
          <w:rPr>
            <w:rStyle w:val="Hyperlink"/>
          </w:rPr>
          <w:t xml:space="preserve">https://doi.org/10.1017/RDC.2020.41</w:t>
        </w:r>
      </w:hyperlink>
      <w:r>
        <w:t xml:space="preserve">.</w:t>
      </w:r>
    </w:p>
    <w:bookmarkEnd w:id="208"/>
    <w:bookmarkStart w:id="210"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9">
        <w:r>
          <w:rPr>
            <w:rStyle w:val="Hyperlink"/>
          </w:rPr>
          <w:t xml:space="preserve">https://doi.org/10.1017/S0140525X1400106X</w:t>
        </w:r>
      </w:hyperlink>
      <w:r>
        <w:t xml:space="preserve">.</w:t>
      </w:r>
    </w:p>
    <w:bookmarkEnd w:id="210"/>
    <w:bookmarkStart w:id="212"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11">
        <w:r>
          <w:rPr>
            <w:rStyle w:val="Hyperlink"/>
          </w:rPr>
          <w:t xml:space="preserve">https://doi.org/10.1057/s41599-019-0260-7</w:t>
        </w:r>
      </w:hyperlink>
      <w:r>
        <w:t xml:space="preserve">.</w:t>
      </w:r>
    </w:p>
    <w:bookmarkEnd w:id="212"/>
    <w:bookmarkStart w:id="213"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13"/>
    <w:bookmarkStart w:id="214"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14"/>
    <w:bookmarkStart w:id="216" w:name="ref-saxer_doebeli_travisano_2009"/>
    <w:p>
      <w:pPr>
        <w:pStyle w:val="Bibliography"/>
      </w:pPr>
      <w:r>
        <w:t xml:space="preserve">Saxer, Gerda, Michael Doebeli, and Michael Travisano. 2009. Spatial Structure Leads to Ecological Breakdown and Loss of Diversity.</w:t>
      </w:r>
      <w:r>
        <w:t xml:space="preserve"> </w:t>
      </w:r>
      <w:r>
        <w:rPr>
          <w:i/>
          <w:iCs/>
        </w:rPr>
        <w:t xml:space="preserve">Proceedings of the Royal Society B: Biological Sciences</w:t>
      </w:r>
      <w:r>
        <w:t xml:space="preserve"> </w:t>
      </w:r>
      <w:r>
        <w:t xml:space="preserve">276(1664):2065–2070.</w:t>
      </w:r>
      <w:r>
        <w:t xml:space="preserve"> </w:t>
      </w:r>
      <w:hyperlink r:id="rId215">
        <w:r>
          <w:rPr>
            <w:rStyle w:val="Hyperlink"/>
          </w:rPr>
          <w:t xml:space="preserve">https://doi.org/10.1098/rspb.2008.1827</w:t>
        </w:r>
      </w:hyperlink>
      <w:r>
        <w:t xml:space="preserve">.</w:t>
      </w:r>
    </w:p>
    <w:bookmarkEnd w:id="216"/>
    <w:bookmarkStart w:id="218"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17">
        <w:r>
          <w:rPr>
            <w:rStyle w:val="Hyperlink"/>
          </w:rPr>
          <w:t xml:space="preserve">https://doi.org/10.1038/nature08227</w:t>
        </w:r>
      </w:hyperlink>
      <w:r>
        <w:t xml:space="preserve">.</w:t>
      </w:r>
    </w:p>
    <w:bookmarkEnd w:id="218"/>
    <w:bookmarkStart w:id="21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19"/>
    <w:bookmarkStart w:id="22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20">
        <w:r>
          <w:rPr>
            <w:rStyle w:val="Hyperlink"/>
          </w:rPr>
          <w:t xml:space="preserve">https://doi.org/10.1016/j.jtbi.2016.04.024</w:t>
        </w:r>
      </w:hyperlink>
      <w:r>
        <w:t xml:space="preserve">.</w:t>
      </w:r>
    </w:p>
    <w:bookmarkEnd w:id="221"/>
    <w:bookmarkStart w:id="22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22">
        <w:r>
          <w:rPr>
            <w:rStyle w:val="Hyperlink"/>
          </w:rPr>
          <w:t xml:space="preserve">https://doi.org/10.1016/j.evolhumbehav.2014.09.006</w:t>
        </w:r>
      </w:hyperlink>
      <w:r>
        <w:t xml:space="preserve">.</w:t>
      </w:r>
    </w:p>
    <w:bookmarkEnd w:id="223"/>
    <w:bookmarkStart w:id="22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24"/>
    <w:bookmarkStart w:id="22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25"/>
    <w:bookmarkStart w:id="22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26"/>
    <w:bookmarkStart w:id="22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27"/>
    <w:bookmarkStart w:id="22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28">
        <w:r>
          <w:rPr>
            <w:rStyle w:val="Hyperlink"/>
          </w:rPr>
          <w:t xml:space="preserve">https://doi.org/10.1006/jhev.1994.1037</w:t>
        </w:r>
      </w:hyperlink>
      <w:r>
        <w:t xml:space="preserve">.</w:t>
      </w:r>
    </w:p>
    <w:bookmarkEnd w:id="229"/>
    <w:bookmarkStart w:id="23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30">
        <w:r>
          <w:rPr>
            <w:rStyle w:val="Hyperlink"/>
          </w:rPr>
          <w:t xml:space="preserve">https://doi.org/10.1017/aaq.2024.1</w:t>
        </w:r>
      </w:hyperlink>
      <w:r>
        <w:t xml:space="preserve">.</w:t>
      </w:r>
    </w:p>
    <w:bookmarkEnd w:id="231"/>
    <w:bookmarkStart w:id="23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32"/>
    <w:bookmarkStart w:id="23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33">
        <w:r>
          <w:rPr>
            <w:rStyle w:val="Hyperlink"/>
          </w:rPr>
          <w:t xml:space="preserve">https://doi.org/10.1086/651661</w:t>
        </w:r>
      </w:hyperlink>
      <w:r>
        <w:t xml:space="preserve">.</w:t>
      </w:r>
    </w:p>
    <w:bookmarkEnd w:id="234"/>
    <w:bookmarkStart w:id="23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35"/>
    <w:bookmarkStart w:id="236" w:name="ref-williams_1954"/>
    <w:p>
      <w:pPr>
        <w:pStyle w:val="Bibliography"/>
      </w:pPr>
      <w:r>
        <w:t xml:space="preserve">Williams, Stephen. 1954. An Archeological Study of the Mississippian Culture in Southeast Missouri. PhD thesis, Yale University, New Haven.</w:t>
      </w:r>
    </w:p>
    <w:bookmarkEnd w:id="236"/>
    <w:bookmarkStart w:id="237" w:name="ref-williams_1990"/>
    <w:p>
      <w:pPr>
        <w:pStyle w:val="Bibliography"/>
      </w:pPr>
      <w:r>
        <w:t xml:space="preserve">Williams, Stephen. 1990. The Vacant Quarter and Other Late Events in the Lower Valley.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170–180. University of Alabama Press, Tuscaloosa.</w:t>
      </w:r>
    </w:p>
    <w:bookmarkEnd w:id="237"/>
    <w:bookmarkStart w:id="239"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38">
        <w:r>
          <w:rPr>
            <w:rStyle w:val="Hyperlink"/>
          </w:rPr>
          <w:t xml:space="preserve">https://doi.org/10.1093/genetics/28.2.114</w:t>
        </w:r>
      </w:hyperlink>
      <w:r>
        <w:t xml:space="preserve">.</w:t>
      </w:r>
    </w:p>
    <w:bookmarkEnd w:id="239"/>
    <w:bookmarkStart w:id="241"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40">
        <w:r>
          <w:rPr>
            <w:rStyle w:val="Hyperlink"/>
          </w:rPr>
          <w:t xml:space="preserve">https://doi.org/10.1111/j.1469-1809.1949.tb02451.x</w:t>
        </w:r>
      </w:hyperlink>
      <w:r>
        <w:t xml:space="preserve">.</w:t>
      </w:r>
    </w:p>
    <w:bookmarkEnd w:id="241"/>
    <w:bookmarkStart w:id="243"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42">
        <w:r>
          <w:rPr>
            <w:rStyle w:val="Hyperlink"/>
          </w:rPr>
          <w:t xml:space="preserve">https://doi.org/10.1017/ehs.2023.5</w:t>
        </w:r>
      </w:hyperlink>
      <w:r>
        <w:t xml:space="preserve">.</w:t>
      </w:r>
    </w:p>
    <w:bookmarkEnd w:id="243"/>
    <w:bookmarkEnd w:id="244"/>
    <w:bookmarkEnd w:id="245"/>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61" Target="https://doi.org/10.1006/jaar.1997.0314" TargetMode="External" /><Relationship Type="http://schemas.openxmlformats.org/officeDocument/2006/relationships/hyperlink" Id="rId228" Target="https://doi.org/10.1006/jhev.1994.1037" TargetMode="External" /><Relationship Type="http://schemas.openxmlformats.org/officeDocument/2006/relationships/hyperlink" Id="rId112" Target="https://doi.org/10.1007/s10814-007-9013-z" TargetMode="External" /><Relationship Type="http://schemas.openxmlformats.org/officeDocument/2006/relationships/hyperlink" Id="rId191"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7"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22" Target="https://doi.org/10.1016/j.evolhumbehav.2014.09.006" TargetMode="External" /><Relationship Type="http://schemas.openxmlformats.org/officeDocument/2006/relationships/hyperlink" Id="rId110"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6" Target="https://doi.org/10.1016/j.jas.2010.05.015" TargetMode="External" /><Relationship Type="http://schemas.openxmlformats.org/officeDocument/2006/relationships/hyperlink" Id="rId189"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65" Target="https://doi.org/10.1016/j.jas.2021.105412" TargetMode="External" /><Relationship Type="http://schemas.openxmlformats.org/officeDocument/2006/relationships/hyperlink" Id="rId140" Target="https://doi.org/10.1016/j.jtbi.2013.03.006" TargetMode="External" /><Relationship Type="http://schemas.openxmlformats.org/officeDocument/2006/relationships/hyperlink" Id="rId220" Target="https://doi.org/10.1016/j.jtbi.2016.04.024" TargetMode="External" /><Relationship Type="http://schemas.openxmlformats.org/officeDocument/2006/relationships/hyperlink" Id="rId207"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9" Target="https://doi.org/10.1017/S0140525X1400106X" TargetMode="External" /><Relationship Type="http://schemas.openxmlformats.org/officeDocument/2006/relationships/hyperlink" Id="rId130" Target="https://doi.org/10.1017/aap.2021.10" TargetMode="External" /><Relationship Type="http://schemas.openxmlformats.org/officeDocument/2006/relationships/hyperlink" Id="rId230" Target="https://doi.org/10.1017/aaq.2024.1" TargetMode="External" /><Relationship Type="http://schemas.openxmlformats.org/officeDocument/2006/relationships/hyperlink" Id="rId242" Target="https://doi.org/10.1017/ehs.2023.5" TargetMode="External" /><Relationship Type="http://schemas.openxmlformats.org/officeDocument/2006/relationships/hyperlink" Id="rId217" Target="https://doi.org/10.1038/nature08227" TargetMode="External" /><Relationship Type="http://schemas.openxmlformats.org/officeDocument/2006/relationships/hyperlink" Id="rId94" Target="https://doi.org/10.1038/srep39122" TargetMode="External" /><Relationship Type="http://schemas.openxmlformats.org/officeDocument/2006/relationships/hyperlink" Id="rId211"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98" Target="https://doi.org/10.1073/pnas.1518798113" TargetMode="External" /><Relationship Type="http://schemas.openxmlformats.org/officeDocument/2006/relationships/hyperlink" Id="rId163" Target="https://doi.org/10.1073/pnas.1818346116" TargetMode="External" /><Relationship Type="http://schemas.openxmlformats.org/officeDocument/2006/relationships/hyperlink" Id="rId117" Target="https://doi.org/10.1073/pnas.2418106121" TargetMode="External" /><Relationship Type="http://schemas.openxmlformats.org/officeDocument/2006/relationships/hyperlink" Id="rId175" Target="https://doi.org/10.1080/20548923.2018.1504490" TargetMode="External" /><Relationship Type="http://schemas.openxmlformats.org/officeDocument/2006/relationships/hyperlink" Id="rId233" Target="https://doi.org/10.1086/651661" TargetMode="External" /><Relationship Type="http://schemas.openxmlformats.org/officeDocument/2006/relationships/hyperlink" Id="rId200" Target="https://doi.org/10.1086/674873" TargetMode="External" /><Relationship Type="http://schemas.openxmlformats.org/officeDocument/2006/relationships/hyperlink" Id="rId238" Target="https://doi.org/10.1093/genetics/28.2.114" TargetMode="External" /><Relationship Type="http://schemas.openxmlformats.org/officeDocument/2006/relationships/hyperlink" Id="rId142" Target="https://doi.org/10.1098/rsif.2015.0905" TargetMode="External" /><Relationship Type="http://schemas.openxmlformats.org/officeDocument/2006/relationships/hyperlink" Id="rId144"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215" Target="https://doi.org/10.1098/rspb.2008.1827" TargetMode="External" /><Relationship Type="http://schemas.openxmlformats.org/officeDocument/2006/relationships/hyperlink" Id="rId65" Target="https://doi.org/10.1098/rstb.1996.0073" TargetMode="External" /><Relationship Type="http://schemas.openxmlformats.org/officeDocument/2006/relationships/hyperlink" Id="rId185" Target="https://doi.org/10.1098/rstb.2016.0426" TargetMode="External" /><Relationship Type="http://schemas.openxmlformats.org/officeDocument/2006/relationships/hyperlink" Id="rId100" Target="https://doi.org/10.1098/rstb.2017.0062" TargetMode="External" /><Relationship Type="http://schemas.openxmlformats.org/officeDocument/2006/relationships/hyperlink" Id="rId240" Target="https://doi.org/10.1111/j.1469-1809.1949.tb02451.x" TargetMode="External" /><Relationship Type="http://schemas.openxmlformats.org/officeDocument/2006/relationships/hyperlink" Id="rId137" Target="https://doi.org/10.1111/j.1558-5646.2007.00310.x" TargetMode="External" /><Relationship Type="http://schemas.openxmlformats.org/officeDocument/2006/relationships/hyperlink" Id="rId198" Target="https://doi.org/10.1126/science.1170165" TargetMode="External" /><Relationship Type="http://schemas.openxmlformats.org/officeDocument/2006/relationships/hyperlink" Id="rId146"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96" Target="https://doi.org/10.1371/journal.pone.0041010" TargetMode="External" /><Relationship Type="http://schemas.openxmlformats.org/officeDocument/2006/relationships/hyperlink" Id="rId159" Target="https://doi.org/10.1371/journal.pone.0124942" TargetMode="External" /><Relationship Type="http://schemas.openxmlformats.org/officeDocument/2006/relationships/hyperlink" Id="rId153" Target="https://doi.org/10.1371/journal.pone.0250690" TargetMode="External" /><Relationship Type="http://schemas.openxmlformats.org/officeDocument/2006/relationships/hyperlink" Id="rId196" Target="https://doi.org/10.1525/aa.1953.55.5.02a00030" TargetMode="External" /><Relationship Type="http://schemas.openxmlformats.org/officeDocument/2006/relationships/hyperlink" Id="rId123" Target="https://doi.org/10.1525/aa.2001.103.4.992" TargetMode="External" /><Relationship Type="http://schemas.openxmlformats.org/officeDocument/2006/relationships/hyperlink" Id="rId115" Target="https://doi.org/10.1534/genetics.113.158220" TargetMode="External" /><Relationship Type="http://schemas.openxmlformats.org/officeDocument/2006/relationships/hyperlink" Id="rId135"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9" Target="https://doi.org/10.2307/2694529" TargetMode="External" /><Relationship Type="http://schemas.openxmlformats.org/officeDocument/2006/relationships/hyperlink" Id="rId102" Target="https://doi.org/10.2307/278341" TargetMode="External" /><Relationship Type="http://schemas.openxmlformats.org/officeDocument/2006/relationships/hyperlink" Id="rId187" Target="https://doi.org/10.2307/279066" TargetMode="External" /><Relationship Type="http://schemas.openxmlformats.org/officeDocument/2006/relationships/hyperlink" Id="rId104"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25" Target="https://doi.org/10.2307/4128416" TargetMode="External" /><Relationship Type="http://schemas.openxmlformats.org/officeDocument/2006/relationships/hyperlink" Id="rId204" Target="https://doi.org/10.7183/0002-7316.76.1.163" TargetMode="External" /><Relationship Type="http://schemas.openxmlformats.org/officeDocument/2006/relationships/hyperlink" Id="rId202"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61" Target="https://doi.org/10.1006/jaar.1997.0314" TargetMode="External" /><Relationship Type="http://schemas.openxmlformats.org/officeDocument/2006/relationships/hyperlink" Id="rId228" Target="https://doi.org/10.1006/jhev.1994.1037" TargetMode="External" /><Relationship Type="http://schemas.openxmlformats.org/officeDocument/2006/relationships/hyperlink" Id="rId112" Target="https://doi.org/10.1007/s10814-007-9013-z" TargetMode="External" /><Relationship Type="http://schemas.openxmlformats.org/officeDocument/2006/relationships/hyperlink" Id="rId191" Target="https://doi.org/10.1007/s10816-018-9364-4" TargetMode="External" /><Relationship Type="http://schemas.openxmlformats.org/officeDocument/2006/relationships/hyperlink" Id="rId90" Target="https://doi.org/10.1007/s10816-022-09599-x" TargetMode="External" /><Relationship Type="http://schemas.openxmlformats.org/officeDocument/2006/relationships/hyperlink" Id="rId86" Target="https://doi.org/10.1007/s10816-023-09613-w" TargetMode="External" /><Relationship Type="http://schemas.openxmlformats.org/officeDocument/2006/relationships/hyperlink" Id="rId127"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22" Target="https://doi.org/10.1016/j.evolhumbehav.2014.09.006" TargetMode="External" /><Relationship Type="http://schemas.openxmlformats.org/officeDocument/2006/relationships/hyperlink" Id="rId110"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56" Target="https://doi.org/10.1016/j.jas.2010.05.015" TargetMode="External" /><Relationship Type="http://schemas.openxmlformats.org/officeDocument/2006/relationships/hyperlink" Id="rId189" Target="https://doi.org/10.1016/j.jas.2012.04.040" TargetMode="External" /><Relationship Type="http://schemas.openxmlformats.org/officeDocument/2006/relationships/hyperlink" Id="rId92" Target="https://doi.org/10.1016/j.jas.2014.07.014" TargetMode="External" /><Relationship Type="http://schemas.openxmlformats.org/officeDocument/2006/relationships/hyperlink" Id="rId165" Target="https://doi.org/10.1016/j.jas.2021.105412" TargetMode="External" /><Relationship Type="http://schemas.openxmlformats.org/officeDocument/2006/relationships/hyperlink" Id="rId140" Target="https://doi.org/10.1016/j.jtbi.2013.03.006" TargetMode="External" /><Relationship Type="http://schemas.openxmlformats.org/officeDocument/2006/relationships/hyperlink" Id="rId220" Target="https://doi.org/10.1016/j.jtbi.2016.04.024" TargetMode="External" /><Relationship Type="http://schemas.openxmlformats.org/officeDocument/2006/relationships/hyperlink" Id="rId207"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9" Target="https://doi.org/10.1017/S0140525X1400106X" TargetMode="External" /><Relationship Type="http://schemas.openxmlformats.org/officeDocument/2006/relationships/hyperlink" Id="rId130" Target="https://doi.org/10.1017/aap.2021.10" TargetMode="External" /><Relationship Type="http://schemas.openxmlformats.org/officeDocument/2006/relationships/hyperlink" Id="rId230" Target="https://doi.org/10.1017/aaq.2024.1" TargetMode="External" /><Relationship Type="http://schemas.openxmlformats.org/officeDocument/2006/relationships/hyperlink" Id="rId242" Target="https://doi.org/10.1017/ehs.2023.5" TargetMode="External" /><Relationship Type="http://schemas.openxmlformats.org/officeDocument/2006/relationships/hyperlink" Id="rId217" Target="https://doi.org/10.1038/nature08227" TargetMode="External" /><Relationship Type="http://schemas.openxmlformats.org/officeDocument/2006/relationships/hyperlink" Id="rId94" Target="https://doi.org/10.1038/srep39122" TargetMode="External" /><Relationship Type="http://schemas.openxmlformats.org/officeDocument/2006/relationships/hyperlink" Id="rId211"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8"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98" Target="https://doi.org/10.1073/pnas.1518798113" TargetMode="External" /><Relationship Type="http://schemas.openxmlformats.org/officeDocument/2006/relationships/hyperlink" Id="rId163" Target="https://doi.org/10.1073/pnas.1818346116" TargetMode="External" /><Relationship Type="http://schemas.openxmlformats.org/officeDocument/2006/relationships/hyperlink" Id="rId117" Target="https://doi.org/10.1073/pnas.2418106121" TargetMode="External" /><Relationship Type="http://schemas.openxmlformats.org/officeDocument/2006/relationships/hyperlink" Id="rId175" Target="https://doi.org/10.1080/20548923.2018.1504490" TargetMode="External" /><Relationship Type="http://schemas.openxmlformats.org/officeDocument/2006/relationships/hyperlink" Id="rId233" Target="https://doi.org/10.1086/651661" TargetMode="External" /><Relationship Type="http://schemas.openxmlformats.org/officeDocument/2006/relationships/hyperlink" Id="rId200" Target="https://doi.org/10.1086/674873" TargetMode="External" /><Relationship Type="http://schemas.openxmlformats.org/officeDocument/2006/relationships/hyperlink" Id="rId238" Target="https://doi.org/10.1093/genetics/28.2.114" TargetMode="External" /><Relationship Type="http://schemas.openxmlformats.org/officeDocument/2006/relationships/hyperlink" Id="rId142" Target="https://doi.org/10.1098/rsif.2015.0905" TargetMode="External" /><Relationship Type="http://schemas.openxmlformats.org/officeDocument/2006/relationships/hyperlink" Id="rId144"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215" Target="https://doi.org/10.1098/rspb.2008.1827" TargetMode="External" /><Relationship Type="http://schemas.openxmlformats.org/officeDocument/2006/relationships/hyperlink" Id="rId65" Target="https://doi.org/10.1098/rstb.1996.0073" TargetMode="External" /><Relationship Type="http://schemas.openxmlformats.org/officeDocument/2006/relationships/hyperlink" Id="rId185" Target="https://doi.org/10.1098/rstb.2016.0426" TargetMode="External" /><Relationship Type="http://schemas.openxmlformats.org/officeDocument/2006/relationships/hyperlink" Id="rId100" Target="https://doi.org/10.1098/rstb.2017.0062" TargetMode="External" /><Relationship Type="http://schemas.openxmlformats.org/officeDocument/2006/relationships/hyperlink" Id="rId240" Target="https://doi.org/10.1111/j.1469-1809.1949.tb02451.x" TargetMode="External" /><Relationship Type="http://schemas.openxmlformats.org/officeDocument/2006/relationships/hyperlink" Id="rId137" Target="https://doi.org/10.1111/j.1558-5646.2007.00310.x" TargetMode="External" /><Relationship Type="http://schemas.openxmlformats.org/officeDocument/2006/relationships/hyperlink" Id="rId198" Target="https://doi.org/10.1126/science.1170165" TargetMode="External" /><Relationship Type="http://schemas.openxmlformats.org/officeDocument/2006/relationships/hyperlink" Id="rId146"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96" Target="https://doi.org/10.1371/journal.pone.0041010" TargetMode="External" /><Relationship Type="http://schemas.openxmlformats.org/officeDocument/2006/relationships/hyperlink" Id="rId159" Target="https://doi.org/10.1371/journal.pone.0124942" TargetMode="External" /><Relationship Type="http://schemas.openxmlformats.org/officeDocument/2006/relationships/hyperlink" Id="rId153" Target="https://doi.org/10.1371/journal.pone.0250690" TargetMode="External" /><Relationship Type="http://schemas.openxmlformats.org/officeDocument/2006/relationships/hyperlink" Id="rId196" Target="https://doi.org/10.1525/aa.1953.55.5.02a00030" TargetMode="External" /><Relationship Type="http://schemas.openxmlformats.org/officeDocument/2006/relationships/hyperlink" Id="rId123" Target="https://doi.org/10.1525/aa.2001.103.4.992" TargetMode="External" /><Relationship Type="http://schemas.openxmlformats.org/officeDocument/2006/relationships/hyperlink" Id="rId115" Target="https://doi.org/10.1534/genetics.113.158220" TargetMode="External" /><Relationship Type="http://schemas.openxmlformats.org/officeDocument/2006/relationships/hyperlink" Id="rId135"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9" Target="https://doi.org/10.2307/2694529" TargetMode="External" /><Relationship Type="http://schemas.openxmlformats.org/officeDocument/2006/relationships/hyperlink" Id="rId102" Target="https://doi.org/10.2307/278341" TargetMode="External" /><Relationship Type="http://schemas.openxmlformats.org/officeDocument/2006/relationships/hyperlink" Id="rId187" Target="https://doi.org/10.2307/279066" TargetMode="External" /><Relationship Type="http://schemas.openxmlformats.org/officeDocument/2006/relationships/hyperlink" Id="rId104"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25" Target="https://doi.org/10.2307/4128416" TargetMode="External" /><Relationship Type="http://schemas.openxmlformats.org/officeDocument/2006/relationships/hyperlink" Id="rId204" Target="https://doi.org/10.7183/0002-7316.76.1.163" TargetMode="External" /><Relationship Type="http://schemas.openxmlformats.org/officeDocument/2006/relationships/hyperlink" Id="rId202"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2026-06-17T00:57:08Z</dcterms:created>
  <dcterms:modified xsi:type="dcterms:W3CDTF">2026-06-17T00:57:08Z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