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7.png" ContentType="image/png"/>
  <Override PartName="/word/media/rId31.png" ContentType="image/png"/>
  <Override PartName="/word/media/rId10.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and Robert J. DiNapoli</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 application of the infinite-alleles model</w:t>
      </w:r>
      <w:r>
        <w:t xml:space="preserve"> </w:t>
      </w:r>
      <w:r>
        <w:t xml:space="preserve">(Neiman 1995)</w:t>
      </w:r>
      <w:r>
        <w:t xml:space="preserve">.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type</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 sampling expectation for the number of types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w:t>
      </w:r>
      <w:r>
        <w:t xml:space="preserve">(Ewens 1972)</w:t>
      </w:r>
      <w:r>
        <w:t xml:space="preserve">. Under neutral drift, the two estimators agree. Conformist copying concentrates frequency on common types,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(Lipo et al. 2015)</w:t>
      </w:r>
      <w:r>
        <w:t xml:space="preserve">. A set of assemblages is co-seriable if some ordering renders every decorated type’s frequency both unimodal and continuous.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with three mechanism-faithful controls: the between-group divergence of type profiles, the strength of within-group conformity, and a spatial rule placing group profiles on the landscape. Four generators instantiate the four processes of Table 1.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group-by-type slices along an ordinal axis. We ran the four-signature pipeline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 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w:t>
      </w:r>
      <w:r>
        <w:t xml:space="preserve"> </w:t>
      </w:r>
      <w:r>
        <w:t xml:space="preserve">(Neiman 1995)</w:t>
      </w:r>
      <w:r>
        <w:t xml:space="preserve">.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type’s binned frequency trajectory. Neiman’s squared-Euclidean interassemblage-distance is computed with its diversity-distance relationship and divergence trajectory</w:t>
      </w:r>
      <w:r>
        <w:t xml:space="preserve"> </w:t>
      </w:r>
      <w:r>
        <w:t xml:space="preserve">(Neiman 1995)</w:t>
      </w:r>
      <w:r>
        <w:t xml:space="preserve">. The alternative basin definition, the stricter watershed rule, is evaluated in full. Clustering-tendency statistics (Hopkins, silhouette, and the gap statistic) 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a fair objection is that the experiment merely certifies an F_ST detector recovering an F_ST-shaped signal. We tested this by injecting closure through two further channels, each matched to a different signature, and asking which signature recovers each. A within-group conformity channel raises conformity in a single undivided pool with no between-group divergence, the channel that the neutral departure is built to detect. A non-spatial social channel assembles assemblages into social groups scrambled relative to the spatial clusters, the channel seriation coherence is built to detect. The result is one-sided, and in two ways. First, the conformity channel is recovered by no signature (the neutral departure, which should detect it, inverts rather than rises), and the non-spatial social channel is not recovered by seriation either. Hence, the neutral and seriation signatures fail to register an injected signal even through the channel each is designed for. Second, F_ST is not a clean spatial-divergence detector but a near-omnibus one, responding to group structure, however it is organized. It recovers the spatial-divergence channel strongly (mean trend rising from the null to +0.76 at strong injection) and also recovers the non-spatial social channel (+0.77), because both ultimately raise between-group variance somewhere the partition can see it. The four signatures are therefore not four independent channels, even in this diagnostic. The only one that registers an injected signal at this resolution is F_ST, and it does so for divergence. However, its signal is organized. The reduction to F_ST is a property of the record’s resolution, 29 time-averaged assemblages rarefied to a common count over ten aggregated types, not an artifact of a generator whose closure axis is collinear with F_ST. A rarefaction-depth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result in divergence-channel closure.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(Lipo et al. 2021)</w:t>
      </w:r>
      <w:r>
        <w:t xml:space="preserve">. Each assemblage is a node holding a finite population of learners that copies decorated-type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rarefied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blue) and a bounded-groups model (orange) on the real coordinate layout, both time-averaged and rarefi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rarefied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(Williams 1954)</w:t>
      </w:r>
      <w:r>
        <w:t xml:space="preserve">, comprising 50 collections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0.04, near the drift level, once the analysis is restricted to Mississippian types.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types differing in proportion. Restricting the comparison to types present in both regions, which removes the mutually exclusive distinctive types that carry the strongest temporal contrast, reduces the step but does not erase it: the boundary excess falls to +38 Brainerd-Robinson units. It remains above the neutral-drift null, so the boundary is not solely an artifact of distinctive-type turnover, although the shared types themselves retain some temporal structure. The step is real but confounded by time, because the northern distinctive types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type names may have been applied to different criteria. The shared-type restriction (boundary excess falling to +38 Brainerd-Robinson units but not vanishing) limits this artifact without removing it, leaving open the possibility that the interaction was continuous across the entire region and that the apparent boundary is a product of two separate collection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24" name="Picture"/>
            <a:graphic>
              <a:graphicData uri="http://schemas.openxmlformats.org/drawingml/2006/picture">
                <pic:pic>
                  <pic:nvPicPr>
                    <pic:cNvPr descr="../../figures/figS6_macro_transect.png" id="25" name="Picture"/>
                    <pic:cNvPicPr>
                      <a:picLocks noChangeArrowheads="1" noChangeAspect="1"/>
                    </pic:cNvPicPr>
                  </pic:nvPicPr>
                  <pic:blipFill>
                    <a:blip r:embed="rId23"/>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26"/>
    <w:bookmarkStart w:id="30" w:name="X61b4c874ea32e31666b882bda5fae1d71873809"/>
    <w:p>
      <w:pPr>
        <w:pStyle w:val="Heading2"/>
      </w:pPr>
      <w:r>
        <w:t xml:space="preserve">Dynamic-sufficiency tests in the time domain</w:t>
      </w:r>
    </w:p>
    <w:p>
      <w:pPr>
        <w:pStyle w:val="FirstParagraph"/>
      </w:pPr>
      <w:r>
        <w:t xml:space="preserve">The four convergence signatures are read as states along the seriation sequence, so on their own they are only partially dynamically sufficient.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collections, then read off the kind of copying implied by the surviving scenarios, with the record’s time-averaging built into each simulation (the approximate-Bayesian-computation approach)</w:t>
      </w:r>
      <w:r>
        <w:t xml:space="preserve"> </w:t>
      </w:r>
      <w:r>
        <w:t xml:space="preserve">(Carrignon et al. 2019; Crema et al. 2016)</w:t>
      </w:r>
      <w:r>
        <w:t xml:space="preserve">. We modeled the basin sequence as frequency-dependent copying among the ten decorated types in a finite population. Each generation, the adoption weight of a type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types.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S4A).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read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collections’ diversity drifts aimlessly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types,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S4B). The diversity trajectory is the trait of interest here, because the correspondence-analysis ordering does not arrange it by construction. Individual-type trajectories more often favor the directional model. That comparison, however, is weak and partly tautological because the seriation axis is designed to maximize monotonic type-frequency turnover, and only three types are abundant enough across the sequence to fit. The robust reading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 title="" id="28" name="Picture"/>
            <a:graphic>
              <a:graphicData uri="http://schemas.openxmlformats.org/drawingml/2006/picture">
                <pic:pic>
                  <pic:nvPicPr>
                    <pic:cNvPr descr="../../figures/figS2_dynamic.png" id="29" name="Picture"/>
                    <pic:cNvPicPr>
                      <a:picLocks noChangeArrowheads="1" noChangeAspect="1"/>
                    </pic:cNvPicPr>
                  </pic:nvPicPr>
                  <pic:blipFill>
                    <a:blip r:embed="rId27"/>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0"/>
    <w:bookmarkStart w:id="34" w:name="radiocarbon-chronology"/>
    <w:p>
      <w:pPr>
        <w:pStyle w:val="Heading2"/>
      </w:pPr>
      <w:r>
        <w:t xml:space="preserve">Radiocarbon chronology</w:t>
      </w:r>
    </w:p>
    <w:p>
      <w:pPr>
        <w:pStyle w:val="FirstParagraph"/>
      </w:pPr>
      <w:r>
        <w:t xml:space="preserve">We calibrated the Mainfort compilation of central-valley determinations against IntCal20</w:t>
      </w:r>
      <w:r>
        <w:t xml:space="preserve"> </w:t>
      </w:r>
      <w:r>
        <w:t xml:space="preserve">(Mainfort 2001)</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32" name="Picture"/>
            <a:graphic>
              <a:graphicData uri="http://schemas.openxmlformats.org/drawingml/2006/picture">
                <pic:pic>
                  <pic:nvPicPr>
                    <pic:cNvPr descr="../../figures/figS3_chronology.png" id="33" name="Picture"/>
                    <pic:cNvPicPr>
                      <a:picLocks noChangeArrowheads="1" noChangeAspect="1"/>
                    </pic:cNvPicPr>
                  </pic:nvPicPr>
                  <pic:blipFill>
                    <a:blip r:embed="rId31"/>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34"/>
    <w:bookmarkStart w:id="61" w:name="references"/>
    <w:p>
      <w:pPr>
        <w:pStyle w:val="Heading2"/>
      </w:pPr>
      <w:r>
        <w:t xml:space="preserve">References</w:t>
      </w:r>
    </w:p>
    <w:bookmarkStart w:id="60" w:name="refs"/>
    <w:bookmarkStart w:id="36"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35">
        <w:r>
          <w:rPr>
            <w:rStyle w:val="Hyperlink"/>
          </w:rPr>
          <w:t xml:space="preserve">https://doi.org/10.1073/pnas.0903232106</w:t>
        </w:r>
      </w:hyperlink>
      <w:r>
        <w:t xml:space="preserve">.</w:t>
      </w:r>
    </w:p>
    <w:bookmarkEnd w:id="36"/>
    <w:bookmarkStart w:id="38"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37">
        <w:r>
          <w:rPr>
            <w:rStyle w:val="Hyperlink"/>
          </w:rPr>
          <w:t xml:space="preserve">https://doi.org/10.1057/s41599-019-0295-9</w:t>
        </w:r>
      </w:hyperlink>
      <w:r>
        <w:t xml:space="preserve">.</w:t>
      </w:r>
    </w:p>
    <w:bookmarkEnd w:id="38"/>
    <w:bookmarkStart w:id="40"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39">
        <w:r>
          <w:rPr>
            <w:rStyle w:val="Hyperlink"/>
          </w:rPr>
          <w:t xml:space="preserve">https://doi.org/10.1038/srep39122</w:t>
        </w:r>
      </w:hyperlink>
      <w:r>
        <w:t xml:space="preserve">.</w:t>
      </w:r>
    </w:p>
    <w:bookmarkEnd w:id="40"/>
    <w:bookmarkStart w:id="42"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41">
        <w:r>
          <w:rPr>
            <w:rStyle w:val="Hyperlink"/>
          </w:rPr>
          <w:t xml:space="preserve">https://doi.org/10.1371/journal.pone.0041010</w:t>
        </w:r>
      </w:hyperlink>
      <w:r>
        <w:t xml:space="preserve">.</w:t>
      </w:r>
    </w:p>
    <w:bookmarkEnd w:id="42"/>
    <w:bookmarkStart w:id="43"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43"/>
    <w:bookmarkStart w:id="45"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44">
        <w:r>
          <w:rPr>
            <w:rStyle w:val="Hyperlink"/>
          </w:rPr>
          <w:t xml:space="preserve">https://doi.org/10.1534/genetics.113.158220</w:t>
        </w:r>
      </w:hyperlink>
      <w:r>
        <w:t xml:space="preserve">.</w:t>
      </w:r>
    </w:p>
    <w:bookmarkEnd w:id="45"/>
    <w:bookmarkStart w:id="47"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46">
        <w:r>
          <w:rPr>
            <w:rStyle w:val="Hyperlink"/>
          </w:rPr>
          <w:t xml:space="preserve">https://doi.org/10.1666/05070.1</w:t>
        </w:r>
      </w:hyperlink>
      <w:r>
        <w:t xml:space="preserve">.</w:t>
      </w:r>
    </w:p>
    <w:bookmarkEnd w:id="47"/>
    <w:bookmarkStart w:id="49"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48">
        <w:r>
          <w:rPr>
            <w:rStyle w:val="Hyperlink"/>
          </w:rPr>
          <w:t xml:space="preserve">https://doi.org/10.1111/j.1558-5646.2007.00310.x</w:t>
        </w:r>
      </w:hyperlink>
      <w:r>
        <w:t xml:space="preserve">.</w:t>
      </w:r>
    </w:p>
    <w:bookmarkEnd w:id="49"/>
    <w:bookmarkStart w:id="51"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50">
        <w:r>
          <w:rPr>
            <w:rStyle w:val="Hyperlink"/>
          </w:rPr>
          <w:t xml:space="preserve">https://doi.org/10.1371/journal.pone.0250690</w:t>
        </w:r>
      </w:hyperlink>
      <w:r>
        <w:t xml:space="preserve">.</w:t>
      </w:r>
    </w:p>
    <w:bookmarkEnd w:id="51"/>
    <w:bookmarkStart w:id="53"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52">
        <w:r>
          <w:rPr>
            <w:rStyle w:val="Hyperlink"/>
          </w:rPr>
          <w:t xml:space="preserve">https://doi.org/10.1371/journal.pone.0124942</w:t>
        </w:r>
      </w:hyperlink>
      <w:r>
        <w:t xml:space="preserve">.</w:t>
      </w:r>
    </w:p>
    <w:bookmarkEnd w:id="53"/>
    <w:bookmarkStart w:id="5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54"/>
    <w:bookmarkStart w:id="5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55"/>
    <w:bookmarkStart w:id="56"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56"/>
    <w:bookmarkStart w:id="58"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57">
        <w:r>
          <w:rPr>
            <w:rStyle w:val="Hyperlink"/>
          </w:rPr>
          <w:t xml:space="preserve">https://doi.org/10.1038/nature08227</w:t>
        </w:r>
      </w:hyperlink>
      <w:r>
        <w:t xml:space="preserve">.</w:t>
      </w:r>
    </w:p>
    <w:bookmarkEnd w:id="58"/>
    <w:bookmarkStart w:id="59" w:name="ref-williams_1954"/>
    <w:p>
      <w:pPr>
        <w:pStyle w:val="Bibliography"/>
      </w:pPr>
      <w:r>
        <w:t xml:space="preserve">Williams, Stephen. 1954. An Archeological Study of the Mississippian Culture in Southeast Missouri. PhD thesis, Yale University, New Haven.</w:t>
      </w:r>
    </w:p>
    <w:bookmarkEnd w:id="59"/>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57" Target="https://doi.org/10.1038/nature08227" TargetMode="External" /><Relationship Type="http://schemas.openxmlformats.org/officeDocument/2006/relationships/hyperlink" Id="rId39" Target="https://doi.org/10.1038/srep39122" TargetMode="External" /><Relationship Type="http://schemas.openxmlformats.org/officeDocument/2006/relationships/hyperlink" Id="rId37"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48" Target="https://doi.org/10.1111/j.1558-5646.2007.00310.x" TargetMode="External" /><Relationship Type="http://schemas.openxmlformats.org/officeDocument/2006/relationships/hyperlink" Id="rId41" Target="https://doi.org/10.1371/journal.pone.0041010" TargetMode="External" /><Relationship Type="http://schemas.openxmlformats.org/officeDocument/2006/relationships/hyperlink" Id="rId52" Target="https://doi.org/10.1371/journal.pone.0124942" TargetMode="External" /><Relationship Type="http://schemas.openxmlformats.org/officeDocument/2006/relationships/hyperlink" Id="rId50" Target="https://doi.org/10.1371/journal.pone.0250690" TargetMode="External" /><Relationship Type="http://schemas.openxmlformats.org/officeDocument/2006/relationships/hyperlink" Id="rId44" Target="https://doi.org/10.1534/genetics.113.158220" TargetMode="External" /><Relationship Type="http://schemas.openxmlformats.org/officeDocument/2006/relationships/hyperlink" Id="rId46" Target="https://doi.org/10.1666/05070.1"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38/nature08227" TargetMode="External" /><Relationship Type="http://schemas.openxmlformats.org/officeDocument/2006/relationships/hyperlink" Id="rId39" Target="https://doi.org/10.1038/srep39122" TargetMode="External" /><Relationship Type="http://schemas.openxmlformats.org/officeDocument/2006/relationships/hyperlink" Id="rId37"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48" Target="https://doi.org/10.1111/j.1558-5646.2007.00310.x" TargetMode="External" /><Relationship Type="http://schemas.openxmlformats.org/officeDocument/2006/relationships/hyperlink" Id="rId41" Target="https://doi.org/10.1371/journal.pone.0041010" TargetMode="External" /><Relationship Type="http://schemas.openxmlformats.org/officeDocument/2006/relationships/hyperlink" Id="rId52" Target="https://doi.org/10.1371/journal.pone.0124942" TargetMode="External" /><Relationship Type="http://schemas.openxmlformats.org/officeDocument/2006/relationships/hyperlink" Id="rId50" Target="https://doi.org/10.1371/journal.pone.0250690" TargetMode="External" /><Relationship Type="http://schemas.openxmlformats.org/officeDocument/2006/relationships/hyperlink" Id="rId44" Target="https://doi.org/10.1534/genetics.113.158220" TargetMode="External" /><Relationship Type="http://schemas.openxmlformats.org/officeDocument/2006/relationships/hyperlink" Id="rId46" Target="https://doi.org/10.1666/0507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2026-06-13T23:08:09Z</dcterms:created>
  <dcterms:modified xsi:type="dcterms:W3CDTF">2026-06-13T23:08:09Z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