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10.png" ContentType="image/png"/>
  <Override PartName="/word/media/rId14.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1"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and Robert J. DiNapoli</w:t>
      </w:r>
    </w:p>
    <w:p>
      <w:pPr>
        <w:pStyle w:val="BodyText"/>
      </w:pPr>
      <w:r>
        <w:rPr>
          <w:i/>
          <w:iCs/>
        </w:rPr>
        <w:t xml:space="preserve">Target: American Antiquity. Draft in progress. Heavy model derivation in the Supplemental Text. Citations verified against repo sources, with references in references.bib.</w:t>
      </w:r>
    </w:p>
    <w:bookmarkStart w:id="9" w:name="abstract"/>
    <w:p>
      <w:pPr>
        <w:pStyle w:val="Heading2"/>
      </w:pPr>
      <w:r>
        <w:t xml:space="preserve">Abstract</w:t>
      </w:r>
    </w:p>
    <w:p>
      <w:pPr>
        <w:pStyle w:val="FirstParagraph"/>
      </w:pPr>
      <w:r>
        <w:t xml:space="preserve">The phase is the foundational unit of Mississippian culture history, and it rests on a silent premise: that assemblages more similar to one another than to their neighbors record a bounded social group, a society whose members interacted preferentially among themselves. That premise is rarely tested, and it ignores a strong alternative. Neutral cultural transmission, in which potters copy one another’s decorated styles with no one favoring particular designs, produces the same within-greater-than-between similarity with no bounded groups at all. Style frequencies drift, changing at random from copying alone. When potters interact more with near neighbors than with distant ones, the drift concentrates similar styles in nearby areas, generating apparent clusters from geography rather than from social boundaries. Here, we test, for the late pre-contact central Mississippi Valley, whether decorated-ceramic similarity records bounded interaction groups or spatially structured drift. We compare two generative processes, neutral spatial drift and bounded groups, on the real geography of the assemblages. We calibrate the comparison to the record’s small sample sizes and its time-averaging, the blending of many years of pottery into one surface collection, by a signal-recovery experiment: into synthetic assemblages matched to the real ones, we inject a known group boundary of tunable strength and read off how strong a boundary would have to be before the measures could detect it. We read the result against four transmission signatures and an independent radiocarbon chronology. Within regions, in both the St. Francis basin Parkin phase and the southeast-Missouri survey assemblages of Williams, the decorated-ceramic structure is reproduced by neutral spatial drift under plausible parameters and does not require bounded groups. A bounded-groups process would have marked the record with far sharper structure than it shows. The within-region phase is therefore not demonstrably a bounded interaction group. Parkin, the basin’s tallest-mounded center, is a transmission bridge across orderings rather than the closed core of a society, the same conclusion Fox reached for the southeast Missouri phases using cluster analysis. A boundary that exceeds neutral drift appears only at the larger scale, between the central-valley and lower-valley blocks, where decorated similarity drops more sharply than drift can produce and survives when only shared types are compared. That drop is hard to interpret. It coincides with the early-to-late turnover in pottery types and with the two regions having been collected and classified by different investigators, so it cannot yet be read as a real social boundary rather than a difference in dating or analytical history. The phase, at the scale where it is drawn, is largely indistinguishable from spatially structured drift, and the calibration that licenses this conclusion is the transferable method. Before the similarity structure in ceramic decoration is read as social, the record must be shown to be able to distinguish drift from groups at all.</w:t>
      </w:r>
    </w:p>
    <w:bookmarkEnd w:id="9"/>
    <w:bookmarkStart w:id="13" w:name="introduction"/>
    <w:p>
      <w:pPr>
        <w:pStyle w:val="Heading2"/>
      </w:pPr>
      <w:r>
        <w:t xml:space="preserve">Introduction</w:t>
      </w:r>
    </w:p>
    <w:p>
      <w:pPr>
        <w:pStyle w:val="FirstParagraph"/>
      </w:pPr>
      <w:r>
        <w:t xml:space="preserve">Parkin is the largest of the moated, palisaded towns of the St. Francis basin in northeastern Arkansas, and the chronicles of the Hernando de Soto expedition place it as Casqui, the seat of a paramount chief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on the long-standing assumption that a dominant mound center marks the apex of a ranked society</w:t>
      </w:r>
      <w:r>
        <w:t xml:space="preserve"> </w:t>
      </w:r>
      <w:r>
        <w:t xml:space="preserve">(Peebles and Kus 1977)</w:t>
      </w:r>
      <w:r>
        <w:t xml:space="preserve">. This chiefdom drew tribute from the smaller villages around it, an inference made explicit by the argument that its position on agriculturally poor soil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it was is an empirical question, and settlement morphology alone cannot answer it, because a primate center,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and, as we show below, the decorated-ceramic record carries no signature of interaction closing in on bounded groups.</w:t>
      </w:r>
    </w:p>
    <w:p>
      <w:pPr>
        <w:pStyle w:val="BodyText"/>
      </w:pPr>
      <w:r>
        <w:t xml:space="preserve">The more revealing question is why Parkin was taken for a polity in the first place, and the answer is in the unit through which the record is read. The Parkin phase is a culture-history construct, a set of assemblages grouped because their decorated-type frequencies seriate together and because the sites cluster in space</w:t>
      </w:r>
      <w:r>
        <w:t xml:space="preserve"> </w:t>
      </w:r>
      <w:r>
        <w:t xml:space="preserve">(Phillips et al. 1951)</w:t>
      </w:r>
      <w:r>
        <w:t xml:space="preserve">. From its definition, the phase carried a social interpretation. In the Phillips-Ford-Griffin framework, it is the basic space-time-cultural unit</w:t>
      </w:r>
      <w:r>
        <w:t xml:space="preserve"> </w:t>
      </w:r>
      <w:r>
        <w:t xml:space="preserve">(Phillips and Willey 1953; Willey and Phillips 1958)</w:t>
      </w:r>
      <w:r>
        <w:t xml:space="preserve">. Williams, defining the southeast-Missouri phases on which the regional scheme rests, wrote that a phase probably equals a society</w:t>
      </w:r>
      <w:r>
        <w:t xml:space="preserve"> </w:t>
      </w:r>
      <w:r>
        <w:t xml:space="preserve">(Williams 1954)</w:t>
      </w:r>
      <w:r>
        <w:t xml:space="preserve">. That equation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 showed, by cluster analysis and ordination, that the southeast-Missouri phases fail as both groups and classes, with their member assemblages assigned to statistical clusters at random rather than segregating by phase</w:t>
      </w:r>
      <w:r>
        <w:t xml:space="preserve"> </w:t>
      </w:r>
      <w:r>
        <w:t xml:space="preserve">(Fox 1998; Mainfort 2003)</w:t>
      </w:r>
      <w:r>
        <w:t xml:space="preserve">.</w:t>
      </w:r>
    </w:p>
    <w:p>
      <w:pPr>
        <w:pStyle w:val="BodyText"/>
      </w:pPr>
      <w:r>
        <w:t xml:space="preserve">The premise is rarely tested, and it ignores a strong alternative. Under the neutral model of cultural transmission, decorated style behaves like a selectively neutral trait whose frequencies drift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within-greater-than-between similarity on its own, apparent clusters produced by geography with no bounded group anywhere</w:t>
      </w:r>
      <w:r>
        <w:t xml:space="preserve"> </w:t>
      </w:r>
      <w:r>
        <w:t xml:space="preserve">(Lipo et al. 2021)</w:t>
      </w:r>
      <w:r>
        <w:t xml:space="preserve">. On this account, a phase is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decorated-type frequencies records the structure of past interaction, and a genuine social boundary, had one existed, would make learning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Parkin phase of the St. Francis basin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decorated-type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5334000" cy="7630817"/>
            <wp:effectExtent b="0" l="0" r="0" t="0"/>
            <wp:docPr descr="Figure 1. 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 title="" id="11" name="Picture"/>
            <a:graphic>
              <a:graphicData uri="http://schemas.openxmlformats.org/drawingml/2006/picture">
                <pic:pic>
                  <pic:nvPicPr>
                    <pic:cNvPr descr="../../figures/fig1_studyarea.png" id="12" name="Picture"/>
                    <pic:cNvPicPr>
                      <a:picLocks noChangeArrowheads="1" noChangeAspect="1"/>
                    </pic:cNvPicPr>
                  </pic:nvPicPr>
                  <pic:blipFill>
                    <a:blip r:embed="rId10"/>
                    <a:stretch>
                      <a:fillRect/>
                    </a:stretch>
                  </pic:blipFill>
                  <pic:spPr bwMode="auto">
                    <a:xfrm>
                      <a:off x="0" y="0"/>
                      <a:ext cx="5334000" cy="763081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detector.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type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3"/>
    <w:bookmarkStart w:id="20" w:name="background"/>
    <w:p>
      <w:pPr>
        <w:pStyle w:val="Heading2"/>
      </w:pPr>
      <w:r>
        <w:t xml:space="preserve">Background</w:t>
      </w:r>
    </w:p>
    <w:bookmarkStart w:id="17" w:name="X79aed77a76c40496e6a63c7e5ba45a72c9f3f05"/>
    <w:p>
      <w:pPr>
        <w:pStyle w:val="Heading3"/>
      </w:pPr>
      <w:r>
        <w:t xml:space="preserve">The phase, the silent premise, and the drift alternative</w:t>
      </w:r>
    </w:p>
    <w:p>
      <w:pPr>
        <w:pStyle w:val="FirstParagraph"/>
      </w:pPr>
      <w:r>
        <w:t xml:space="preserve">The phase concept gives the central-valley record its social structure. A phase is formed operationally, as a set of assemblages that seriate together and cluster in space, but it is interpreted socially, as a bounded interacting community, on the premise that within-greater-than-between similarity records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within-greater-than-between similarity arises with no boundary at all when interaction declines with distance, because spatially structured drift concentrates similarity among near neighbors</w:t>
      </w:r>
      <w:r>
        <w:t xml:space="preserve"> </w:t>
      </w:r>
      <w:r>
        <w:t xml:space="preserve">(Lipo et al. 2021; Neiman 1995)</w:t>
      </w:r>
      <w:r>
        <w:t xml:space="preserve">. The question the ceramic record must answer is the operational one: does the similarity structure record bounded interaction, or spatially structured drift?</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5" name="Picture"/>
            <a:graphic>
              <a:graphicData uri="http://schemas.openxmlformats.org/drawingml/2006/picture">
                <pic:pic>
                  <pic:nvPicPr>
                    <pic:cNvPr descr="../../figures/fig2_concept.png" id="16" name="Picture"/>
                    <pic:cNvPicPr>
                      <a:picLocks noChangeArrowheads="1" noChangeAspect="1"/>
                    </pic:cNvPicPr>
                  </pic:nvPicPr>
                  <pic:blipFill>
                    <a:blip r:embed="rId14"/>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bookmarkEnd w:id="17"/>
    <w:bookmarkStart w:id="18"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decorated-type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neutral style toward a marker, transmitted conformist within groups and divergent between them, and the single transmission field fragments. The shift from neutral style to marker is the ceramic expression of interaction closing into a bounded group, and it is what such a group would produce.</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w:t>
      </w:r>
      <w:r>
        <w:t xml:space="preserve"> </w:t>
      </w:r>
      <w:r>
        <w:t xml:space="preserve">(Carrignon et al. 2019; Kandler et al. 2017; Mesoudi 2021)</w:t>
      </w:r>
      <w:r>
        <w:t xml:space="preserve">. This is the inferential wall the test is built to climb, and it is why we do not rest on any one signature.</w:t>
      </w:r>
    </w:p>
    <w:bookmarkEnd w:id="18"/>
    <w:bookmarkStart w:id="19"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and Butler 2002)</w:t>
      </w:r>
      <w:r>
        <w:t xml:space="preserve">. The second reading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because a primate center, fortification, and monumental construction are each compatible with both. They can be separated by whether the transmission record shows interaction closing into bounded groups, which is the test we now construct.</w:t>
      </w:r>
    </w:p>
    <w:bookmarkEnd w:id="19"/>
    <w:bookmarkEnd w:id="20"/>
    <w:bookmarkStart w:id="21" w:name="distinguishing-groups-from-drift"/>
    <w:p>
      <w:pPr>
        <w:pStyle w:val="Heading2"/>
      </w:pPr>
      <w:r>
        <w:t xml:space="preserve">Distinguishing groups from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We track four signatures, each a different consequence of the same underlying change, the closure of interaction, meaning the narrowing of social learning until potters copy within a group and rarely across its edge. We state each first in plain terms, then name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 collection’s diversity agree. One is based on how concentrated the common types are, its homozygosity, and one on the sheer number of types present, its richness. Each yields an estimate of the same underlying transmission parameter, and under random copying the two estimates coincide. Conformity, where potters disproportionately copy whatever is already common, concentrates frequency on a few types. It raises homozygosity and so lowers the homozygosity-based estimate while leaving richness little changed, pulling the two apart, and a taste for novelty does the reverse. The disagreement between the two estimates, expressed as their ratio, therefore both detects a departure from random copying and shows which way it leans</w:t>
      </w:r>
      <w:r>
        <w:t xml:space="preserve"> </w:t>
      </w:r>
      <w:r>
        <w:t xml:space="preserve">(Neiman 1995; Shennan and Wilkinson 2001)</w:t>
      </w:r>
      <w:r>
        <w:t xml:space="preserve">. This matters here because a bounded group that enforced a shared decorative marker would copy conformist within its edge, so the two estimates would diverge, whereas one pool of styles drifting at random keeps them equal.</w:t>
      </w:r>
    </w:p>
    <w:p>
      <w:pPr>
        <w:pStyle w:val="BodyText"/>
      </w:pPr>
      <w:r>
        <w:t xml:space="preserve">The second asks whether the collections all belong to one interacting community or to several, and it is the most direct test of fragmentation. It rests on frequency seriation, the classic archaeological method of ordering assemblages so that each decorated type’s relative frequency rises to a single peak and then falls away, the shape long known as a battleship curve. That single-peaked rise and fall is what a style traces when it is introduced, becomes popular, and is abandoned within one community drawing on a shared pool of designs. A set of collections is co-seriable when one ordering can make every type follow that single-peaked shape at the same time. When all the collections come from one continuously interacting population, such an ordering exists. When learning splits into separate groups, each with its own repertoire and its own independent rise and fall of styles, no single ordering can satisfy every type at once, and the collections break into several mutually incompatible orderings. The deterministic frequency-seriation procedure of Lipo, Madsen, and Dunnell finds the complete set of these maximal co-seriable groups algorithmically, without the analyst arranging the collections by eye</w:t>
      </w:r>
      <w:r>
        <w:t xml:space="preserve"> </w:t>
      </w:r>
      <w:r>
        <w:t xml:space="preserve">(Lipo et al. 1997, 2015)</w:t>
      </w:r>
      <w:r>
        <w:t xml:space="preserve">. The number of groups, and the number of groups any one site joins, then measures the structure of past interaction directly.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 a standard population-genetic index of group differentiation, computed here on Gini-Simpson diversity, the chance that two sherds drawn at random from a collection are of different types. F_ST is the share of the total diversity that is due to differences between groups rather than to variation within them. When every collection draws on one shared, drifting pool of styles, between-group differences are small and F_ST sits near zero, and as groups come to favor distinct repertoires the between-group share grows and F_ST climbs</w:t>
      </w:r>
      <w:r>
        <w:t xml:space="preserve"> </w:t>
      </w:r>
      <w:r>
        <w:t xml:space="preserve">(Bell et al. 2009)</w:t>
      </w:r>
      <w:r>
        <w:t xml:space="preserve">. It serves here as the most direct measure of how far decoration has sorted itself by group, with one important caveat developed below: stochastic drift on a spatially structured population also generates some between-group variance, so the measure must be calibrated against that null rather than read at face value.</w:t>
      </w:r>
    </w:p>
    <w:p>
      <w:pPr>
        <w:pStyle w:val="BodyText"/>
      </w:pPr>
      <w:r>
        <w:t xml:space="preserve">The fourth asks whether collections that are socially close are more alike than collections that are merely close on the map. Similarity normally fades smoothly with distance, because potters interact more with near neighbors than with distant ones, a gradient known as isolation by distance. A genuine social boundary adds a step to that gradient: pairs of collections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 the gradual fade of similarity with distance that follows when people interact mostly with near neighbors, without the sharp boundaries or neutrality departures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This is why we do not rest on the signatures alone but instead compare the two processes in generative terms on the real geography of the assemblages, using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and two qualifications make it motivating rather than operative. First, the generator diagnostic (Supplemental Text) shows that the non-F_ST rows are not realizable at this record’s resolution, because the neutral and seriation signatures fail to register a signal even when one is injected through its own channel, so the detectable discrimination reduces to cultural F_ST (Figure 4). Second, under realistic stochastic spatial drift, the F_ST and spatial-assortativity rows are themselves driven in the absence of a bounded group (Results, Figure S5). The table frames the question. The generative drift-versus-groups comparison, not the table, answers it.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 by 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 showed that two independently derived, theory-grounded measures of the same ceramic data, within-assemblage diversity and between-assemblage distance, converge on the same inference about past interaction, and we generalize that two-measure agreement to four</w:t>
      </w:r>
      <w:r>
        <w:t xml:space="preserve"> </w:t>
      </w:r>
      <w:r>
        <w:t xml:space="preserve">(Neiman 1995)</w:t>
      </w:r>
      <w:r>
        <w:t xml:space="preserve">. This validates the concept. Whether all four signatures, or only some, can actually deliver it on a record like ours is a separate question that we settle by calibrating the test directly to synthetic data matched to the Parkin assemblages. Both procedures are presented with their methods and outcomes.</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and Neiman’s diversity and distance estimators are likewise derived from the model</w:t>
      </w:r>
      <w:r>
        <w:t xml:space="preserve"> </w:t>
      </w:r>
      <w:r>
        <w:t xml:space="preserve">(Lipo et al. 2015; Neiman 1995)</w:t>
      </w:r>
      <w:r>
        <w:t xml:space="preserve">. It should be dynamically sufficient in Lewontin’s sense, with its state variables and their transformation laws sufficient to carry the system from one state to the next, so that no single time-point statistic can be</w:t>
      </w:r>
      <w:r>
        <w:t xml:space="preserve"> </w:t>
      </w:r>
      <w:r>
        <w:t xml:space="preserve">(Lewontin 1974)</w:t>
      </w:r>
      <w:r>
        <w:t xml:space="preserv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decorated-type counts compiled by Phillips, Ford, and Griffin for the Lower Mississippi Survey, an assemblage-by-type matrix of 266 surface collections from the central valley</w:t>
      </w:r>
      <w:r>
        <w:t xml:space="preserve"> </w:t>
      </w:r>
      <w:r>
        <w:t xml:space="preserve">(Lipo 2001; Phillips et al. 1951)</w:t>
      </w:r>
      <w:r>
        <w:t xml:space="preserve">. Because the hypothesis concerns the Parkin phase, we restrict the analysis to the St. Francis basin of northeastern Arkansas, defined hydrologically as the assemblages within 20 km of the St. Francis, Tyronza, and L’Anguille drainage (Figure 1). This excludes both the lower Yazoo Basin and the Mississippi River-proximal sites whose late-period centers belong to distinct phases, and it yields 29 decorated assemblages for the transmission analysis and 92 sites for the settlement comparison.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collections,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 compilation yields 109 determinations for the central valley, 41 of them from seven St. Francis basin Parkin-phase sites and 19 from Parkin itself</w:t>
      </w:r>
      <w:r>
        <w:t xml:space="preserve"> </w:t>
      </w:r>
      <w:r>
        <w:t xml:space="preserve">(House 1993; Mainfort 1996, 2001;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decorated-type-frequency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ordinal, not a calendar rate, and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 application of the infinite-alleles model to ceramic assemblages</w:t>
      </w:r>
      <w:r>
        <w:t xml:space="preserve"> </w:t>
      </w:r>
      <w:r>
        <w:t xml:space="preserve">(Neiman 1995)</w:t>
      </w:r>
      <w:r>
        <w:t xml:space="preserve">. We estimated the transmission parameter in two ways: from the unbiased homozygosity of an assemblage and from its number of types, using the Ewens sampling formula</w:t>
      </w:r>
      <w:r>
        <w:t xml:space="preserve"> </w:t>
      </w:r>
      <w:r>
        <w:t xml:space="preserve">(Ewens 1972)</w:t>
      </w:r>
      <w:r>
        <w:t xml:space="preserve"> </w:t>
      </w:r>
      <w:r>
        <w:t xml:space="preserve">to estimate the number of types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type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types: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 a standard index ranging from 0 to 200 that indicates how alike two assemblages are in their type proportions, for every pair of assemblages</w:t>
      </w:r>
      <w:r>
        <w:t xml:space="preserve"> </w:t>
      </w:r>
      <w:r>
        <w:t xml:space="preserve">(Brainerd 1951; Robinson 1951)</w:t>
      </w:r>
      <w:r>
        <w:t xml:space="preserve">. We tested its association with inter-site distance by a Mantel permutation test, which asks whether two distance matrices, here ceramic dissimilarity and geographic distance, are related</w:t>
      </w:r>
      <w:r>
        <w:t xml:space="preserve"> </w:t>
      </w:r>
      <w:r>
        <w:t xml:space="preserve">(Mantel 1967)</w:t>
      </w:r>
      <w:r>
        <w:t xml:space="preserve">.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rarefy every assemblage to a common count</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across groups under three mechanisms: faithful controls, the degree of between-group divergence, and the strength of within-group conformity. A spatial rule places group profiles on the landscape, and four generators instantiate the four processes of Table 1. Run blind through the four-signature pipeline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second stage is decisive, and its idea is simple. We built synthetic pottery records in which we ourselves controlled whether group structure was emerging, dialed from none to strong, and then asked whether our four measures could see it. Crucially, the synthetic records were matched to the real ones: the same number of collections, the same range of sample sizes, the same blurring of time that surface collections impose. If chiefdom structure had really been emerging at Parkin, this experiment would tell us whether tools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Two properties of the record make this essential rather than optional. Assemblage sample size trends with seriation position (Spearman rho = +0.59), and several signatures are size-sensitive so that a size-dependent estimator can rise or fall along the axis through sampling alone. We therefore rarefy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feature of the calibration is worth noting. Because rarefying the larger, later assemblages to a common count slightly inflates within-cluster diversity and so depresses F_ST toward later positions, the no-closure null itself carries a mild negative trend rather than a flat zero. The detector is calibrated against that null distribution, not against zero, so the false-positive rate is held at five percent regardless, and the empirical value is read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(Lipo et al. 2021)</w:t>
      </w:r>
      <w:r>
        <w:t xml:space="preserve">: each assemblage is a node holding a finite population of learners that copies decorated-type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rarefied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(Williams 1954)</w:t>
      </w:r>
      <w:r>
        <w:t xml:space="preserve">, digitized from the survey tables, and georeferenced both the Phillips-Ford-Griffin and the Williams assemblages through their Lower Mississippi Survey grid designations against the digitized survey point files, so that the two regions share one coordinate frame. Decorated types were harmonized between the two typologies, both rooted in the Phillips-Ford-Griffin framework, into a common vocabulary, and the between-region comparison was run both on all decorated types and on the types shared by the two typologies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 regional analysis of the production and distribution of Mill Creek and Dover chert hoes, the capacity-linked industrial goods whose control would mark economic centralization, rather than measuring it ourselves</w:t>
      </w:r>
      <w:r>
        <w:t xml:space="preserve"> </w:t>
      </w:r>
      <w:r>
        <w:t xml:space="preserve">(Cobb 2000)</w:t>
      </w:r>
      <w:r>
        <w:t xml:space="preserve">. And we compared our seriation result to Mainfort’s independent nonmetric multidimensional scaling of overlapping late-period assemblages, a published ordination of 39 collections from the central valley and adjacent areas, which tests whether the named phases form discrete bounded clusters or a gradational continuum</w:t>
      </w:r>
      <w:r>
        <w:t xml:space="preserve"> </w:t>
      </w:r>
      <w:r>
        <w:t xml:space="preserve">(Mainfort 2003)</w:t>
      </w:r>
      <w:r>
        <w:t xml:space="preserve">.</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Parkin phase,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rarefaction,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data appear in ways consistent with how continuous, spatially structured interaction makes them look.</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type’s rise and fall through the sequence and asks whether the changes resemble the aimless wobble of unbiased copying or the directed change a deliberate marker would exhibit. Seven of the nine testable types appear to be simple wobble (the frequency increment test)</w:t>
      </w:r>
      <w:r>
        <w:t xml:space="preserve"> </w:t>
      </w:r>
      <w:r>
        <w:t xml:space="preserve">(Feder et al. 2014)</w:t>
      </w:r>
      <w:r>
        <w:t xml:space="preserve">. The second compares how the collections’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collections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collections are the more central ones, the pattern drift produces in a single shared community (Figure S1)</w:t>
      </w:r>
      <w:r>
        <w:t xml:space="preserve"> </w:t>
      </w:r>
      <w:r>
        <w:t xml:space="preserve">(Neiman 1995)</w:t>
      </w:r>
      <w:r>
        <w:t xml:space="preserve">. The no-closure verdict is also robust to the analyst’s choices: across twenty-seven combinations of the basin’s spatial cutoff, the number of ordinal bins, and the number of spatial clusters, it appears in none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(Lipo et al. 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leaving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 cluster analysis and ordination of the southeast-Missouri assemblages that define the regional phases found them failing as both groups and classes, with assemblages assigned to statistical clusters at random rather than segregating by phase</w:t>
      </w:r>
      <w:r>
        <w:t xml:space="preserve"> </w:t>
      </w:r>
      <w:r>
        <w:t xml:space="preserve">(Fox 1998)</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 (2015) reported, with Parkin at the intersection of multiple non-co-seriable orderings rather than at the center of a single closed interaction community</w:t>
      </w:r>
      <w:r>
        <w:t xml:space="preserve"> </w:t>
      </w:r>
      <w:r>
        <w:t xml:space="preserve">(Lipo et al. 2015)</w:t>
      </w:r>
      <w:r>
        <w:t xml:space="preserve">.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0"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the capacity-linked chert hoes was decentralized and their exchange followed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What the record shows is that the within-greater-than-between similarity the phase is built on is what spatially structured drift produces, so the phase, at the scale at which it is drawn, marks continuous interaction structured by geography rather than by a bounded society. Parkin’s ceremonial and demographic prominence was real. The polity that prominence is taken to imply is not in the transmission record.</w:t>
      </w:r>
    </w:p>
    <w:p>
      <w:pPr>
        <w:pStyle w:val="BodyText"/>
      </w:pPr>
      <w:r>
        <w:t xml:space="preserve">This reading must answer the strongest case for the alternative.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rarefying every assemblage to a common count, which collapses the raw F_ST trend from +0.60 to +0.01. We calibrated the detector on synthetic data matched to the record, in which F_ST recovers a moderate-strength closure (s of about 0.5, rising to 0.7 once the record’s time-averaging is imposed), while holding the false-positive rate at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is due to its non-monotonicity with respect to conformity and size-sensitivity. The spatial boundary is problematic because there are too few spatial clusters, and seriation coherence is weak, so we report them as corroboration rather than as independent confirmations. This reduction is a property of the record. When a known closure signal is injected instead through a within-group conformity channel or a non-spatially-organized social-fragmentation channel, neither the neutral nor the seriation signature recovers it either, so the three weak signatures fail at this resolution regardless of how closure is delivered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The transferable claim is therefore the calibration, not a promise that similarity clusters can be read as societies wherever decorated assemblages exist, and it converts a vague question, whether the Parkin phase was a polity, into a specific and answerable one, whether interaction had closed into a bounded group at a strength the record can resolve. For the Parkin phase, the answer is that it had not, within the bounds supported by the record. The polity the De Soto encountered seems to reflect a distinction drawn in ceremonial practices, fortification, and settlement size, not one written into the structure of ceramic transmission.</w:t>
      </w:r>
    </w:p>
    <w:p>
      <w:pPr>
        <w:pStyle w:val="BodyText"/>
      </w:pPr>
      <w:r>
        <w:t xml:space="preserve">The test also extends beyond the basin, and the extension is instructive (Figure 8). Applied to the southeast-Missouri assemblages compiled by Williams</w:t>
      </w:r>
      <w:r>
        <w:t xml:space="preserve"> </w:t>
      </w:r>
      <w:r>
        <w:t xml:space="preserve">(Williams 1954)</w:t>
      </w:r>
      <w:r>
        <w:t xml:space="preserve">, the within-region decorated-ceramic structure is again drift-consistent once the earlier Woodland component is set aside. Therefore, the absence of bounded groups is not peculiar to the St. Francis basin (Figure 9).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types are early-to-middle Mississippian, and the distinctive lower-valley types are late</w:t>
      </w:r>
      <w:r>
        <w:t xml:space="preserve"> </w:t>
      </w:r>
      <w:r>
        <w:t xml:space="preserve">(Phillips 1970; Williams 1954)</w:t>
      </w:r>
      <w:r>
        <w:t xml:space="preserve">, so the step at the boundary cannot be separated from the early-to-late turnover of the repertoire with time-averaged surface collections,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type definition as well as in space and time. The shared-type restriction guards against the crudest version of this artifact, because a boundary built only from types unique to each typology would vanish when only the types both traditions record are compared, and the boundary does weaken under that restriction without disappearing. Even the shared types,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8. 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45" name="Picture"/>
            <a:graphic>
              <a:graphicData uri="http://schemas.openxmlformats.org/drawingml/2006/picture">
                <pic:pic>
                  <pic:nvPicPr>
                    <pic:cNvPr descr="../../figures/fig1_regional.png" id="46" name="Picture"/>
                    <pic:cNvPicPr>
                      <a:picLocks noChangeArrowheads="1" noChangeAspect="1"/>
                    </pic:cNvPicPr>
                  </pic:nvPicPr>
                  <pic:blipFill>
                    <a:blip r:embed="rId44"/>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9. 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 title="" id="48" name="Picture"/>
            <a:graphic>
              <a:graphicData uri="http://schemas.openxmlformats.org/drawingml/2006/picture">
                <pic:pic>
                  <pic:nvPicPr>
                    <pic:cNvPr descr="../../figures/fig9_within_region.png" id="49" name="Picture"/>
                    <pic:cNvPicPr>
                      <a:picLocks noChangeArrowheads="1" noChangeAspect="1"/>
                    </pic:cNvPicPr>
                  </pic:nvPicPr>
                  <pic:blipFill>
                    <a:blip r:embed="rId47"/>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0"/>
    <w:bookmarkStart w:id="51"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stands apart as the basin’s largest and tallest-mounded center. No line of evidence, settlement, exchange, or ceramic transmission marks it as the apex of a polity, and the within-greater-than-between ceramic similarity that defines the phase is reproduced by neutral drift on the basin’s geography, the ordinary residue of continuous interaction structured by where sites sit. A bounded interaction group would have a sharper structure than the data carry,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type repertoire. It cannot yet be read as a synchronic social division.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licenses a social reading, and, when applied to the central Mississippi Valley, it yields a landscape of continuous interaction with prominent nodes rather than a mosaic of bounded polities.</w:t>
      </w:r>
    </w:p>
    <w:bookmarkEnd w:id="51"/>
    <w:bookmarkStart w:id="52"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type counts, the georeferencing and radiocarbon data, the complete analysis pipeline, and instructions for reproducing every result and figure. The code is released under the MIT License and the data under a Creative Commons Attribution 4.0 International license.</w:t>
      </w:r>
    </w:p>
    <w:bookmarkEnd w:id="52"/>
    <w:bookmarkStart w:id="200" w:name="references"/>
    <w:p>
      <w:pPr>
        <w:pStyle w:val="Heading2"/>
      </w:pPr>
      <w:r>
        <w:t xml:space="preserve">References</w:t>
      </w:r>
    </w:p>
    <w:bookmarkStart w:id="199" w:name="refs"/>
    <w:bookmarkStart w:id="53"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3"/>
    <w:bookmarkStart w:id="55"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54">
        <w:r>
          <w:rPr>
            <w:rStyle w:val="Hyperlink"/>
          </w:rPr>
          <w:t xml:space="preserve">https://doi.org/10.1016/j.jaa.2006.08.002</w:t>
        </w:r>
      </w:hyperlink>
      <w:r>
        <w:t xml:space="preserve">.</w:t>
      </w:r>
    </w:p>
    <w:bookmarkEnd w:id="55"/>
    <w:bookmarkStart w:id="57"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56">
        <w:r>
          <w:rPr>
            <w:rStyle w:val="Hyperlink"/>
          </w:rPr>
          <w:t xml:space="preserve">https://doi.org/10.1016/j.beproc.2018.01.011</w:t>
        </w:r>
      </w:hyperlink>
      <w:r>
        <w:t xml:space="preserve">.</w:t>
      </w:r>
    </w:p>
    <w:bookmarkEnd w:id="57"/>
    <w:bookmarkStart w:id="58"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58"/>
    <w:bookmarkStart w:id="60"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59">
        <w:r>
          <w:rPr>
            <w:rStyle w:val="Hyperlink"/>
          </w:rPr>
          <w:t xml:space="preserve">https://doi.org/10.2307/3557066</w:t>
        </w:r>
      </w:hyperlink>
      <w:r>
        <w:t xml:space="preserve">.</w:t>
      </w:r>
    </w:p>
    <w:bookmarkEnd w:id="60"/>
    <w:bookmarkStart w:id="62"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1">
        <w:r>
          <w:rPr>
            <w:rStyle w:val="Hyperlink"/>
          </w:rPr>
          <w:t xml:space="preserve">https://doi.org/10.1017/S0094837300026907</w:t>
        </w:r>
      </w:hyperlink>
      <w:r>
        <w:t xml:space="preserve">.</w:t>
      </w:r>
    </w:p>
    <w:bookmarkEnd w:id="62"/>
    <w:bookmarkStart w:id="6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63">
        <w:r>
          <w:rPr>
            <w:rStyle w:val="Hyperlink"/>
          </w:rPr>
          <w:t xml:space="preserve">https://doi.org/10.1073/pnas.0903232106</w:t>
        </w:r>
      </w:hyperlink>
      <w:r>
        <w:t xml:space="preserve">.</w:t>
      </w:r>
    </w:p>
    <w:bookmarkEnd w:id="64"/>
    <w:bookmarkStart w:id="66"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65">
        <w:r>
          <w:rPr>
            <w:rStyle w:val="Hyperlink"/>
          </w:rPr>
          <w:t xml:space="preserve">https://doi.org/10.1371/journal.pone.0003057</w:t>
        </w:r>
      </w:hyperlink>
      <w:r>
        <w:t xml:space="preserve">.</w:t>
      </w:r>
    </w:p>
    <w:bookmarkEnd w:id="66"/>
    <w:bookmarkStart w:id="68"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67">
        <w:r>
          <w:rPr>
            <w:rStyle w:val="Hyperlink"/>
          </w:rPr>
          <w:t xml:space="preserve">https://doi.org/10.1098/rspb.2004.2746</w:t>
        </w:r>
      </w:hyperlink>
      <w:r>
        <w:t xml:space="preserve">.</w:t>
      </w:r>
    </w:p>
    <w:bookmarkEnd w:id="68"/>
    <w:bookmarkStart w:id="69"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69"/>
    <w:bookmarkStart w:id="71"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0">
        <w:r>
          <w:rPr>
            <w:rStyle w:val="Hyperlink"/>
          </w:rPr>
          <w:t xml:space="preserve">https://doi.org/10.2307/2694206</w:t>
        </w:r>
      </w:hyperlink>
      <w:r>
        <w:t xml:space="preserve">.</w:t>
      </w:r>
    </w:p>
    <w:bookmarkEnd w:id="71"/>
    <w:bookmarkStart w:id="72"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72"/>
    <w:bookmarkStart w:id="74"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73">
        <w:r>
          <w:rPr>
            <w:rStyle w:val="Hyperlink"/>
          </w:rPr>
          <w:t xml:space="preserve">https://doi.org/10.1057/s41599-019-0295-9</w:t>
        </w:r>
      </w:hyperlink>
      <w:r>
        <w:t xml:space="preserve">.</w:t>
      </w:r>
    </w:p>
    <w:bookmarkEnd w:id="74"/>
    <w:bookmarkStart w:id="75"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75"/>
    <w:bookmarkStart w:id="76"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76"/>
    <w:bookmarkStart w:id="78"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77">
        <w:r>
          <w:rPr>
            <w:rStyle w:val="Hyperlink"/>
          </w:rPr>
          <w:t xml:space="preserve">https://doi.org/10.1057/s41599-020-00635-3</w:t>
        </w:r>
      </w:hyperlink>
      <w:r>
        <w:t xml:space="preserve">.</w:t>
      </w:r>
    </w:p>
    <w:bookmarkEnd w:id="78"/>
    <w:bookmarkStart w:id="80"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79">
        <w:r>
          <w:rPr>
            <w:rStyle w:val="Hyperlink"/>
          </w:rPr>
          <w:t xml:space="preserve">https://doi.org/10.1007/s10816-022-09599-x</w:t>
        </w:r>
      </w:hyperlink>
      <w:r>
        <w:t xml:space="preserve">.</w:t>
      </w:r>
    </w:p>
    <w:bookmarkEnd w:id="80"/>
    <w:bookmarkStart w:id="8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81">
        <w:r>
          <w:rPr>
            <w:rStyle w:val="Hyperlink"/>
          </w:rPr>
          <w:t xml:space="preserve">https://doi.org/10.1038/srep39122</w:t>
        </w:r>
      </w:hyperlink>
      <w:r>
        <w:t xml:space="preserve">.</w:t>
      </w:r>
    </w:p>
    <w:bookmarkEnd w:id="82"/>
    <w:bookmarkStart w:id="84"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83">
        <w:r>
          <w:rPr>
            <w:rStyle w:val="Hyperlink"/>
          </w:rPr>
          <w:t xml:space="preserve">https://doi.org/10.1371/journal.pone.0041010</w:t>
        </w:r>
      </w:hyperlink>
      <w:r>
        <w:t xml:space="preserve">.</w:t>
      </w:r>
    </w:p>
    <w:bookmarkEnd w:id="84"/>
    <w:bookmarkStart w:id="86"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85">
        <w:r>
          <w:rPr>
            <w:rStyle w:val="Hyperlink"/>
          </w:rPr>
          <w:t xml:space="preserve">https://doi.org/10.2307/278341</w:t>
        </w:r>
      </w:hyperlink>
      <w:r>
        <w:t xml:space="preserve">.</w:t>
      </w:r>
    </w:p>
    <w:bookmarkEnd w:id="86"/>
    <w:bookmarkStart w:id="88"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87">
        <w:r>
          <w:rPr>
            <w:rStyle w:val="Hyperlink"/>
          </w:rPr>
          <w:t xml:space="preserve">https://doi.org/10.2307/279244</w:t>
        </w:r>
      </w:hyperlink>
      <w:r>
        <w:t xml:space="preserve">.</w:t>
      </w:r>
    </w:p>
    <w:bookmarkEnd w:id="88"/>
    <w:bookmarkStart w:id="89"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89"/>
    <w:bookmarkStart w:id="90"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0"/>
    <w:bookmarkStart w:id="9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91"/>
    <w:bookmarkStart w:id="9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92">
        <w:r>
          <w:rPr>
            <w:rStyle w:val="Hyperlink"/>
          </w:rPr>
          <w:t xml:space="preserve">https://doi.org/10.1016/j.jaa.2005.08.001</w:t>
        </w:r>
      </w:hyperlink>
      <w:r>
        <w:t xml:space="preserve">.</w:t>
      </w:r>
    </w:p>
    <w:bookmarkEnd w:id="93"/>
    <w:bookmarkStart w:id="9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94">
        <w:r>
          <w:rPr>
            <w:rStyle w:val="Hyperlink"/>
          </w:rPr>
          <w:t xml:space="preserve">https://doi.org/10.1007/s10814-007-9013-z</w:t>
        </w:r>
      </w:hyperlink>
      <w:r>
        <w:t xml:space="preserve">.</w:t>
      </w:r>
    </w:p>
    <w:bookmarkEnd w:id="95"/>
    <w:bookmarkStart w:id="9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96"/>
    <w:bookmarkStart w:id="9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97">
        <w:r>
          <w:rPr>
            <w:rStyle w:val="Hyperlink"/>
          </w:rPr>
          <w:t xml:space="preserve">https://doi.org/10.1534/genetics.113.158220</w:t>
        </w:r>
      </w:hyperlink>
      <w:r>
        <w:t xml:space="preserve">.</w:t>
      </w:r>
    </w:p>
    <w:bookmarkEnd w:id="98"/>
    <w:bookmarkStart w:id="10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99">
        <w:r>
          <w:rPr>
            <w:rStyle w:val="Hyperlink"/>
          </w:rPr>
          <w:t xml:space="preserve">https://doi.org/10.1073/pnas.2418106121</w:t>
        </w:r>
      </w:hyperlink>
      <w:r>
        <w:t xml:space="preserve">.</w:t>
      </w:r>
    </w:p>
    <w:bookmarkEnd w:id="100"/>
    <w:bookmarkStart w:id="101"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01"/>
    <w:bookmarkStart w:id="102"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02"/>
    <w:bookmarkStart w:id="10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143–168. Archaeological Report No. 25. Mississippi Department of Archives; History, Jackson.</w:t>
      </w:r>
    </w:p>
    <w:bookmarkEnd w:id="103"/>
    <w:bookmarkStart w:id="10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04"/>
    <w:bookmarkStart w:id="10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05">
        <w:r>
          <w:rPr>
            <w:rStyle w:val="Hyperlink"/>
          </w:rPr>
          <w:t xml:space="preserve">https://doi.org/10.1525/aa.2001.103.4.992</w:t>
        </w:r>
      </w:hyperlink>
      <w:r>
        <w:t xml:space="preserve">.</w:t>
      </w:r>
    </w:p>
    <w:bookmarkEnd w:id="106"/>
    <w:bookmarkStart w:id="10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07">
        <w:r>
          <w:rPr>
            <w:rStyle w:val="Hyperlink"/>
          </w:rPr>
          <w:t xml:space="preserve">https://doi.org/10.2307/4128416</w:t>
        </w:r>
      </w:hyperlink>
      <w:r>
        <w:t xml:space="preserve">.</w:t>
      </w:r>
    </w:p>
    <w:bookmarkEnd w:id="108"/>
    <w:bookmarkStart w:id="109"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09"/>
    <w:bookmarkStart w:id="111"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10">
        <w:r>
          <w:rPr>
            <w:rStyle w:val="Hyperlink"/>
          </w:rPr>
          <w:t xml:space="preserve">https://doi.org/10.1017/aap.2021.10</w:t>
        </w:r>
      </w:hyperlink>
      <w:r>
        <w:t xml:space="preserve">.</w:t>
      </w:r>
    </w:p>
    <w:bookmarkEnd w:id="111"/>
    <w:bookmarkStart w:id="112"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12"/>
    <w:bookmarkStart w:id="113"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13"/>
    <w:bookmarkStart w:id="115"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14">
        <w:r>
          <w:rPr>
            <w:rStyle w:val="Hyperlink"/>
          </w:rPr>
          <w:t xml:space="preserve">https://doi.org/10.1666/05070.1</w:t>
        </w:r>
      </w:hyperlink>
      <w:r>
        <w:t xml:space="preserve">.</w:t>
      </w:r>
    </w:p>
    <w:bookmarkEnd w:id="115"/>
    <w:bookmarkStart w:id="117"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16">
        <w:r>
          <w:rPr>
            <w:rStyle w:val="Hyperlink"/>
          </w:rPr>
          <w:t xml:space="preserve">https://doi.org/10.1111/j.1558-5646.2007.00310.x</w:t>
        </w:r>
      </w:hyperlink>
      <w:r>
        <w:t xml:space="preserve">.</w:t>
      </w:r>
    </w:p>
    <w:bookmarkEnd w:id="117"/>
    <w:bookmarkStart w:id="118"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18"/>
    <w:bookmarkStart w:id="120"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19">
        <w:r>
          <w:rPr>
            <w:rStyle w:val="Hyperlink"/>
          </w:rPr>
          <w:t xml:space="preserve">https://doi.org/10.1016/j.jtbi.2013.03.006</w:t>
        </w:r>
      </w:hyperlink>
      <w:r>
        <w:t xml:space="preserve">.</w:t>
      </w:r>
    </w:p>
    <w:bookmarkEnd w:id="120"/>
    <w:bookmarkStart w:id="122"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21">
        <w:r>
          <w:rPr>
            <w:rStyle w:val="Hyperlink"/>
          </w:rPr>
          <w:t xml:space="preserve">https://doi.org/10.1098/rsif.2015.0905</w:t>
        </w:r>
      </w:hyperlink>
      <w:r>
        <w:t xml:space="preserve">.</w:t>
      </w:r>
    </w:p>
    <w:bookmarkEnd w:id="122"/>
    <w:bookmarkStart w:id="124"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23">
        <w:r>
          <w:rPr>
            <w:rStyle w:val="Hyperlink"/>
          </w:rPr>
          <w:t xml:space="preserve">https://doi.org/10.1098/rsos.170949</w:t>
        </w:r>
      </w:hyperlink>
      <w:r>
        <w:t xml:space="preserve">.</w:t>
      </w:r>
    </w:p>
    <w:bookmarkEnd w:id="124"/>
    <w:bookmarkStart w:id="126"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25">
        <w:r>
          <w:rPr>
            <w:rStyle w:val="Hyperlink"/>
          </w:rPr>
          <w:t xml:space="preserve">https://doi.org/10.1146/annurev-ecolsys-110512-135838</w:t>
        </w:r>
      </w:hyperlink>
      <w:r>
        <w:t xml:space="preserve">.</w:t>
      </w:r>
    </w:p>
    <w:bookmarkEnd w:id="126"/>
    <w:bookmarkStart w:id="127"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27"/>
    <w:bookmarkStart w:id="129"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28">
        <w:r>
          <w:rPr>
            <w:rStyle w:val="Hyperlink"/>
          </w:rPr>
          <w:t xml:space="preserve">https://doi.org/10.2307/2694529</w:t>
        </w:r>
      </w:hyperlink>
      <w:r>
        <w:t xml:space="preserve">.</w:t>
      </w:r>
    </w:p>
    <w:bookmarkEnd w:id="129"/>
    <w:bookmarkStart w:id="130"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30"/>
    <w:bookmarkStart w:id="131"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31"/>
    <w:bookmarkStart w:id="133"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32">
        <w:r>
          <w:rPr>
            <w:rStyle w:val="Hyperlink"/>
          </w:rPr>
          <w:t xml:space="preserve">https://doi.org/10.1371/journal.pone.0250690</w:t>
        </w:r>
      </w:hyperlink>
      <w:r>
        <w:t xml:space="preserve">.</w:t>
      </w:r>
    </w:p>
    <w:bookmarkEnd w:id="133"/>
    <w:bookmarkStart w:id="134"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34"/>
    <w:bookmarkStart w:id="136"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35">
        <w:r>
          <w:rPr>
            <w:rStyle w:val="Hyperlink"/>
          </w:rPr>
          <w:t xml:space="preserve">https://doi.org/10.1016/j.jas.2010.05.015</w:t>
        </w:r>
      </w:hyperlink>
      <w:r>
        <w:t xml:space="preserve">.</w:t>
      </w:r>
    </w:p>
    <w:bookmarkEnd w:id="136"/>
    <w:bookmarkStart w:id="138"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37">
        <w:r>
          <w:rPr>
            <w:rStyle w:val="Hyperlink"/>
          </w:rPr>
          <w:t xml:space="preserve">https://doi.org/10.1371/journal.pone.0124942</w:t>
        </w:r>
      </w:hyperlink>
      <w:r>
        <w:t xml:space="preserve">.</w:t>
      </w:r>
    </w:p>
    <w:bookmarkEnd w:id="138"/>
    <w:bookmarkStart w:id="140"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39">
        <w:r>
          <w:rPr>
            <w:rStyle w:val="Hyperlink"/>
          </w:rPr>
          <w:t xml:space="preserve">https://doi.org/10.1006/jaar.1997.0314</w:t>
        </w:r>
      </w:hyperlink>
      <w:r>
        <w:t xml:space="preserve">.</w:t>
      </w:r>
    </w:p>
    <w:bookmarkEnd w:id="140"/>
    <w:bookmarkStart w:id="142"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41">
        <w:r>
          <w:rPr>
            <w:rStyle w:val="Hyperlink"/>
          </w:rPr>
          <w:t xml:space="preserve">https://doi.org/10.1073/pnas.1818346116</w:t>
        </w:r>
      </w:hyperlink>
      <w:r>
        <w:t xml:space="preserve">.</w:t>
      </w:r>
    </w:p>
    <w:bookmarkEnd w:id="142"/>
    <w:bookmarkStart w:id="143" w:name="ref-madsen_2012"/>
    <w:p>
      <w:pPr>
        <w:pStyle w:val="Bibliography"/>
      </w:pPr>
      <w:r>
        <w:t xml:space="preserve">Madsen, Mark E. 2012. Neutral Cultural Transmission in Time-Averaged Archaeological Assemblages. arXiv preprint arXiv:1204.2043 [physics.soc-ph].</w:t>
      </w:r>
    </w:p>
    <w:bookmarkEnd w:id="143"/>
    <w:bookmarkStart w:id="144"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44"/>
    <w:bookmarkStart w:id="145"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45"/>
    <w:bookmarkStart w:id="146"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46"/>
    <w:bookmarkStart w:id="147"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47"/>
    <w:bookmarkStart w:id="148"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48"/>
    <w:bookmarkStart w:id="149"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49"/>
    <w:bookmarkStart w:id="151"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50">
        <w:r>
          <w:rPr>
            <w:rStyle w:val="Hyperlink"/>
          </w:rPr>
          <w:t xml:space="preserve">https://doi.org/10.1080/20548923.2018.1504490</w:t>
        </w:r>
      </w:hyperlink>
      <w:r>
        <w:t xml:space="preserve">.</w:t>
      </w:r>
    </w:p>
    <w:bookmarkEnd w:id="151"/>
    <w:bookmarkStart w:id="152"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52"/>
    <w:bookmarkStart w:id="153"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53"/>
    <w:bookmarkStart w:id="154"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54"/>
    <w:bookmarkStart w:id="155"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55"/>
    <w:bookmarkStart w:id="15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56"/>
    <w:bookmarkStart w:id="15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57"/>
    <w:bookmarkStart w:id="159"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58">
        <w:r>
          <w:rPr>
            <w:rStyle w:val="Hyperlink"/>
          </w:rPr>
          <w:t xml:space="preserve">https://doi.org/10.2307/279066</w:t>
        </w:r>
      </w:hyperlink>
      <w:r>
        <w:t xml:space="preserve">.</w:t>
      </w:r>
    </w:p>
    <w:bookmarkEnd w:id="159"/>
    <w:bookmarkStart w:id="161"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60">
        <w:r>
          <w:rPr>
            <w:rStyle w:val="Hyperlink"/>
          </w:rPr>
          <w:t xml:space="preserve">https://doi.org/10.1016/j.jas.2012.04.040</w:t>
        </w:r>
      </w:hyperlink>
      <w:r>
        <w:t xml:space="preserve">.</w:t>
      </w:r>
    </w:p>
    <w:bookmarkEnd w:id="161"/>
    <w:bookmarkStart w:id="163"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62">
        <w:r>
          <w:rPr>
            <w:rStyle w:val="Hyperlink"/>
          </w:rPr>
          <w:t xml:space="preserve">https://doi.org/10.1007/s10816-018-9364-4</w:t>
        </w:r>
      </w:hyperlink>
      <w:r>
        <w:t xml:space="preserve">.</w:t>
      </w:r>
    </w:p>
    <w:bookmarkEnd w:id="163"/>
    <w:bookmarkStart w:id="164"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64"/>
    <w:bookmarkStart w:id="165"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65"/>
    <w:bookmarkStart w:id="166"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66"/>
    <w:bookmarkStart w:id="168"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67">
        <w:r>
          <w:rPr>
            <w:rStyle w:val="Hyperlink"/>
          </w:rPr>
          <w:t xml:space="preserve">https://doi.org/10.1525/aa.1953.55.5.02a00030</w:t>
        </w:r>
      </w:hyperlink>
      <w:r>
        <w:t xml:space="preserve">.</w:t>
      </w:r>
    </w:p>
    <w:bookmarkEnd w:id="168"/>
    <w:bookmarkStart w:id="170"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69">
        <w:r>
          <w:rPr>
            <w:rStyle w:val="Hyperlink"/>
          </w:rPr>
          <w:t xml:space="preserve">https://doi.org/10.1126/science.1170165</w:t>
        </w:r>
      </w:hyperlink>
      <w:r>
        <w:t xml:space="preserve">.</w:t>
      </w:r>
    </w:p>
    <w:bookmarkEnd w:id="170"/>
    <w:bookmarkStart w:id="172"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71">
        <w:r>
          <w:rPr>
            <w:rStyle w:val="Hyperlink"/>
          </w:rPr>
          <w:t xml:space="preserve">https://doi.org/10.1086/674873</w:t>
        </w:r>
      </w:hyperlink>
      <w:r>
        <w:t xml:space="preserve">.</w:t>
      </w:r>
    </w:p>
    <w:bookmarkEnd w:id="172"/>
    <w:bookmarkStart w:id="173"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73"/>
    <w:bookmarkStart w:id="175"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74">
        <w:r>
          <w:rPr>
            <w:rStyle w:val="Hyperlink"/>
          </w:rPr>
          <w:t xml:space="preserve">https://doi.org/10.1017/RDC.2020.41</w:t>
        </w:r>
      </w:hyperlink>
      <w:r>
        <w:t xml:space="preserve">.</w:t>
      </w:r>
    </w:p>
    <w:bookmarkEnd w:id="175"/>
    <w:bookmarkStart w:id="177"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176">
        <w:r>
          <w:rPr>
            <w:rStyle w:val="Hyperlink"/>
          </w:rPr>
          <w:t xml:space="preserve">https://doi.org/10.1017/S0140525X1400106X</w:t>
        </w:r>
      </w:hyperlink>
      <w:r>
        <w:t xml:space="preserve">.</w:t>
      </w:r>
    </w:p>
    <w:bookmarkEnd w:id="177"/>
    <w:bookmarkStart w:id="179"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178">
        <w:r>
          <w:rPr>
            <w:rStyle w:val="Hyperlink"/>
          </w:rPr>
          <w:t xml:space="preserve">https://doi.org/10.1057/s41599-019-0260-7</w:t>
        </w:r>
      </w:hyperlink>
      <w:r>
        <w:t xml:space="preserve">.</w:t>
      </w:r>
    </w:p>
    <w:bookmarkEnd w:id="179"/>
    <w:bookmarkStart w:id="180"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180"/>
    <w:bookmarkStart w:id="181"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181"/>
    <w:bookmarkStart w:id="183"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82">
        <w:r>
          <w:rPr>
            <w:rStyle w:val="Hyperlink"/>
          </w:rPr>
          <w:t xml:space="preserve">https://doi.org/10.1038/nature08227</w:t>
        </w:r>
      </w:hyperlink>
      <w:r>
        <w:t xml:space="preserve">.</w:t>
      </w:r>
    </w:p>
    <w:bookmarkEnd w:id="183"/>
    <w:bookmarkStart w:id="184"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184"/>
    <w:bookmarkStart w:id="185"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185"/>
    <w:bookmarkStart w:id="18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186"/>
    <w:bookmarkStart w:id="188"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187">
        <w:r>
          <w:rPr>
            <w:rStyle w:val="Hyperlink"/>
          </w:rPr>
          <w:t xml:space="preserve">https://doi.org/10.1006/jhev.1994.1037</w:t>
        </w:r>
      </w:hyperlink>
      <w:r>
        <w:t xml:space="preserve">.</w:t>
      </w:r>
    </w:p>
    <w:bookmarkEnd w:id="188"/>
    <w:bookmarkStart w:id="190"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189">
        <w:r>
          <w:rPr>
            <w:rStyle w:val="Hyperlink"/>
          </w:rPr>
          <w:t xml:space="preserve">https://doi.org/10.1017/aaq.2024.1</w:t>
        </w:r>
      </w:hyperlink>
      <w:r>
        <w:t xml:space="preserve">.</w:t>
      </w:r>
    </w:p>
    <w:bookmarkEnd w:id="190"/>
    <w:bookmarkStart w:id="191"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191"/>
    <w:bookmarkStart w:id="193"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192">
        <w:r>
          <w:rPr>
            <w:rStyle w:val="Hyperlink"/>
          </w:rPr>
          <w:t xml:space="preserve">https://doi.org/10.1086/651661</w:t>
        </w:r>
      </w:hyperlink>
      <w:r>
        <w:t xml:space="preserve">.</w:t>
      </w:r>
    </w:p>
    <w:bookmarkEnd w:id="193"/>
    <w:bookmarkStart w:id="194"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194"/>
    <w:bookmarkStart w:id="195" w:name="ref-williams_1954"/>
    <w:p>
      <w:pPr>
        <w:pStyle w:val="Bibliography"/>
      </w:pPr>
      <w:r>
        <w:t xml:space="preserve">Williams, Stephen. 1954. An Archeological Study of the Mississippian Culture in Southeast Missouri. PhD thesis, Yale University, New Haven.</w:t>
      </w:r>
    </w:p>
    <w:bookmarkEnd w:id="195"/>
    <w:bookmarkStart w:id="196"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196"/>
    <w:bookmarkStart w:id="198"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197">
        <w:r>
          <w:rPr>
            <w:rStyle w:val="Hyperlink"/>
          </w:rPr>
          <w:t xml:space="preserve">https://doi.org/10.1017/ehs.2023.5</w:t>
        </w:r>
      </w:hyperlink>
      <w:r>
        <w:t xml:space="preserve">.</w:t>
      </w:r>
    </w:p>
    <w:bookmarkEnd w:id="198"/>
    <w:bookmarkEnd w:id="199"/>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hyperlink" Id="rId139" Target="https://doi.org/10.1006/jaar.1997.0314" TargetMode="External" /><Relationship Type="http://schemas.openxmlformats.org/officeDocument/2006/relationships/hyperlink" Id="rId187" Target="https://doi.org/10.1006/jhev.1994.1037" TargetMode="External" /><Relationship Type="http://schemas.openxmlformats.org/officeDocument/2006/relationships/hyperlink" Id="rId94" Target="https://doi.org/10.1007/s10814-007-9013-z" TargetMode="External" /><Relationship Type="http://schemas.openxmlformats.org/officeDocument/2006/relationships/hyperlink" Id="rId162" Target="https://doi.org/10.1007/s10816-018-9364-4" TargetMode="External" /><Relationship Type="http://schemas.openxmlformats.org/officeDocument/2006/relationships/hyperlink" Id="rId79" Target="https://doi.org/10.1007/s10816-022-09599-x" TargetMode="External" /><Relationship Type="http://schemas.openxmlformats.org/officeDocument/2006/relationships/hyperlink" Id="rId56" Target="https://doi.org/10.1016/j.beproc.2018.01.011" TargetMode="External" /><Relationship Type="http://schemas.openxmlformats.org/officeDocument/2006/relationships/hyperlink" Id="rId92" Target="https://doi.org/10.1016/j.jaa.2005.08.001" TargetMode="External" /><Relationship Type="http://schemas.openxmlformats.org/officeDocument/2006/relationships/hyperlink" Id="rId54" Target="https://doi.org/10.1016/j.jaa.2006.08.002" TargetMode="External" /><Relationship Type="http://schemas.openxmlformats.org/officeDocument/2006/relationships/hyperlink" Id="rId135" Target="https://doi.org/10.1016/j.jas.2010.05.015" TargetMode="External" /><Relationship Type="http://schemas.openxmlformats.org/officeDocument/2006/relationships/hyperlink" Id="rId160" Target="https://doi.org/10.1016/j.jas.2012.04.040" TargetMode="External" /><Relationship Type="http://schemas.openxmlformats.org/officeDocument/2006/relationships/hyperlink" Id="rId119" Target="https://doi.org/10.1016/j.jtbi.2013.03.006" TargetMode="External" /><Relationship Type="http://schemas.openxmlformats.org/officeDocument/2006/relationships/hyperlink" Id="rId174" Target="https://doi.org/10.1017/RDC.2020.41" TargetMode="External" /><Relationship Type="http://schemas.openxmlformats.org/officeDocument/2006/relationships/hyperlink" Id="rId61" Target="https://doi.org/10.1017/S0094837300026907" TargetMode="External" /><Relationship Type="http://schemas.openxmlformats.org/officeDocument/2006/relationships/hyperlink" Id="rId176" Target="https://doi.org/10.1017/S0140525X1400106X" TargetMode="External" /><Relationship Type="http://schemas.openxmlformats.org/officeDocument/2006/relationships/hyperlink" Id="rId110" Target="https://doi.org/10.1017/aap.2021.10" TargetMode="External" /><Relationship Type="http://schemas.openxmlformats.org/officeDocument/2006/relationships/hyperlink" Id="rId189" Target="https://doi.org/10.1017/aaq.2024.1" TargetMode="External" /><Relationship Type="http://schemas.openxmlformats.org/officeDocument/2006/relationships/hyperlink" Id="rId197" Target="https://doi.org/10.1017/ehs.2023.5" TargetMode="External" /><Relationship Type="http://schemas.openxmlformats.org/officeDocument/2006/relationships/hyperlink" Id="rId182" Target="https://doi.org/10.1038/nature08227" TargetMode="External" /><Relationship Type="http://schemas.openxmlformats.org/officeDocument/2006/relationships/hyperlink" Id="rId81" Target="https://doi.org/10.1038/srep39122" TargetMode="External" /><Relationship Type="http://schemas.openxmlformats.org/officeDocument/2006/relationships/hyperlink" Id="rId178" Target="https://doi.org/10.1057/s41599-019-0260-7" TargetMode="External" /><Relationship Type="http://schemas.openxmlformats.org/officeDocument/2006/relationships/hyperlink" Id="rId73" Target="https://doi.org/10.1057/s41599-019-0295-9" TargetMode="External" /><Relationship Type="http://schemas.openxmlformats.org/officeDocument/2006/relationships/hyperlink" Id="rId77" Target="https://doi.org/10.1057/s41599-020-00635-3" TargetMode="External" /><Relationship Type="http://schemas.openxmlformats.org/officeDocument/2006/relationships/hyperlink" Id="rId63" Target="https://doi.org/10.1073/pnas.0903232106" TargetMode="External" /><Relationship Type="http://schemas.openxmlformats.org/officeDocument/2006/relationships/hyperlink" Id="rId141" Target="https://doi.org/10.1073/pnas.1818346116" TargetMode="External" /><Relationship Type="http://schemas.openxmlformats.org/officeDocument/2006/relationships/hyperlink" Id="rId99" Target="https://doi.org/10.1073/pnas.2418106121" TargetMode="External" /><Relationship Type="http://schemas.openxmlformats.org/officeDocument/2006/relationships/hyperlink" Id="rId150" Target="https://doi.org/10.1080/20548923.2018.1504490" TargetMode="External" /><Relationship Type="http://schemas.openxmlformats.org/officeDocument/2006/relationships/hyperlink" Id="rId192" Target="https://doi.org/10.1086/651661" TargetMode="External" /><Relationship Type="http://schemas.openxmlformats.org/officeDocument/2006/relationships/hyperlink" Id="rId171" Target="https://doi.org/10.1086/674873" TargetMode="External" /><Relationship Type="http://schemas.openxmlformats.org/officeDocument/2006/relationships/hyperlink" Id="rId121" Target="https://doi.org/10.1098/rsif.2015.0905" TargetMode="External" /><Relationship Type="http://schemas.openxmlformats.org/officeDocument/2006/relationships/hyperlink" Id="rId123" Target="https://doi.org/10.1098/rsos.170949" TargetMode="External" /><Relationship Type="http://schemas.openxmlformats.org/officeDocument/2006/relationships/hyperlink" Id="rId67" Target="https://doi.org/10.1098/rspb.2004.2746" TargetMode="External" /><Relationship Type="http://schemas.openxmlformats.org/officeDocument/2006/relationships/hyperlink" Id="rId116" Target="https://doi.org/10.1111/j.1558-5646.2007.00310.x" TargetMode="External" /><Relationship Type="http://schemas.openxmlformats.org/officeDocument/2006/relationships/hyperlink" Id="rId169" Target="https://doi.org/10.1126/science.1170165" TargetMode="External" /><Relationship Type="http://schemas.openxmlformats.org/officeDocument/2006/relationships/hyperlink" Id="rId125" Target="https://doi.org/10.1146/annurev-ecolsys-110512-135838" TargetMode="External" /><Relationship Type="http://schemas.openxmlformats.org/officeDocument/2006/relationships/hyperlink" Id="rId65" Target="https://doi.org/10.1371/journal.pone.0003057" TargetMode="External" /><Relationship Type="http://schemas.openxmlformats.org/officeDocument/2006/relationships/hyperlink" Id="rId83" Target="https://doi.org/10.1371/journal.pone.0041010" TargetMode="External" /><Relationship Type="http://schemas.openxmlformats.org/officeDocument/2006/relationships/hyperlink" Id="rId137" Target="https://doi.org/10.1371/journal.pone.0124942" TargetMode="External" /><Relationship Type="http://schemas.openxmlformats.org/officeDocument/2006/relationships/hyperlink" Id="rId132" Target="https://doi.org/10.1371/journal.pone.0250690" TargetMode="External" /><Relationship Type="http://schemas.openxmlformats.org/officeDocument/2006/relationships/hyperlink" Id="rId167" Target="https://doi.org/10.1525/aa.1953.55.5.02a00030" TargetMode="External" /><Relationship Type="http://schemas.openxmlformats.org/officeDocument/2006/relationships/hyperlink" Id="rId105" Target="https://doi.org/10.1525/aa.2001.103.4.992" TargetMode="External" /><Relationship Type="http://schemas.openxmlformats.org/officeDocument/2006/relationships/hyperlink" Id="rId97" Target="https://doi.org/10.1534/genetics.113.158220" TargetMode="External" /><Relationship Type="http://schemas.openxmlformats.org/officeDocument/2006/relationships/hyperlink" Id="rId114" Target="https://doi.org/10.1666/05070.1" TargetMode="External" /><Relationship Type="http://schemas.openxmlformats.org/officeDocument/2006/relationships/hyperlink" Id="rId70" Target="https://doi.org/10.2307/2694206" TargetMode="External" /><Relationship Type="http://schemas.openxmlformats.org/officeDocument/2006/relationships/hyperlink" Id="rId128" Target="https://doi.org/10.2307/2694529" TargetMode="External" /><Relationship Type="http://schemas.openxmlformats.org/officeDocument/2006/relationships/hyperlink" Id="rId85" Target="https://doi.org/10.2307/278341" TargetMode="External" /><Relationship Type="http://schemas.openxmlformats.org/officeDocument/2006/relationships/hyperlink" Id="rId158" Target="https://doi.org/10.2307/279066" TargetMode="External" /><Relationship Type="http://schemas.openxmlformats.org/officeDocument/2006/relationships/hyperlink" Id="rId87" Target="https://doi.org/10.2307/279244" TargetMode="External" /><Relationship Type="http://schemas.openxmlformats.org/officeDocument/2006/relationships/hyperlink" Id="rId59" Target="https://doi.org/10.2307/3557066" TargetMode="External" /><Relationship Type="http://schemas.openxmlformats.org/officeDocument/2006/relationships/hyperlink" Id="rId107" Target="https://doi.org/10.2307/4128416" TargetMode="External" /></Relationships>
</file>

<file path=word/_rels/footnotes.xml.rels><?xml version="1.0" encoding="UTF-8"?><Relationships xmlns="http://schemas.openxmlformats.org/package/2006/relationships"><Relationship Type="http://schemas.openxmlformats.org/officeDocument/2006/relationships/hyperlink" Id="rId139" Target="https://doi.org/10.1006/jaar.1997.0314" TargetMode="External" /><Relationship Type="http://schemas.openxmlformats.org/officeDocument/2006/relationships/hyperlink" Id="rId187" Target="https://doi.org/10.1006/jhev.1994.1037" TargetMode="External" /><Relationship Type="http://schemas.openxmlformats.org/officeDocument/2006/relationships/hyperlink" Id="rId94" Target="https://doi.org/10.1007/s10814-007-9013-z" TargetMode="External" /><Relationship Type="http://schemas.openxmlformats.org/officeDocument/2006/relationships/hyperlink" Id="rId162" Target="https://doi.org/10.1007/s10816-018-9364-4" TargetMode="External" /><Relationship Type="http://schemas.openxmlformats.org/officeDocument/2006/relationships/hyperlink" Id="rId79" Target="https://doi.org/10.1007/s10816-022-09599-x" TargetMode="External" /><Relationship Type="http://schemas.openxmlformats.org/officeDocument/2006/relationships/hyperlink" Id="rId56" Target="https://doi.org/10.1016/j.beproc.2018.01.011" TargetMode="External" /><Relationship Type="http://schemas.openxmlformats.org/officeDocument/2006/relationships/hyperlink" Id="rId92" Target="https://doi.org/10.1016/j.jaa.2005.08.001" TargetMode="External" /><Relationship Type="http://schemas.openxmlformats.org/officeDocument/2006/relationships/hyperlink" Id="rId54" Target="https://doi.org/10.1016/j.jaa.2006.08.002" TargetMode="External" /><Relationship Type="http://schemas.openxmlformats.org/officeDocument/2006/relationships/hyperlink" Id="rId135" Target="https://doi.org/10.1016/j.jas.2010.05.015" TargetMode="External" /><Relationship Type="http://schemas.openxmlformats.org/officeDocument/2006/relationships/hyperlink" Id="rId160" Target="https://doi.org/10.1016/j.jas.2012.04.040" TargetMode="External" /><Relationship Type="http://schemas.openxmlformats.org/officeDocument/2006/relationships/hyperlink" Id="rId119" Target="https://doi.org/10.1016/j.jtbi.2013.03.006" TargetMode="External" /><Relationship Type="http://schemas.openxmlformats.org/officeDocument/2006/relationships/hyperlink" Id="rId174" Target="https://doi.org/10.1017/RDC.2020.41" TargetMode="External" /><Relationship Type="http://schemas.openxmlformats.org/officeDocument/2006/relationships/hyperlink" Id="rId61" Target="https://doi.org/10.1017/S0094837300026907" TargetMode="External" /><Relationship Type="http://schemas.openxmlformats.org/officeDocument/2006/relationships/hyperlink" Id="rId176" Target="https://doi.org/10.1017/S0140525X1400106X" TargetMode="External" /><Relationship Type="http://schemas.openxmlformats.org/officeDocument/2006/relationships/hyperlink" Id="rId110" Target="https://doi.org/10.1017/aap.2021.10" TargetMode="External" /><Relationship Type="http://schemas.openxmlformats.org/officeDocument/2006/relationships/hyperlink" Id="rId189" Target="https://doi.org/10.1017/aaq.2024.1" TargetMode="External" /><Relationship Type="http://schemas.openxmlformats.org/officeDocument/2006/relationships/hyperlink" Id="rId197" Target="https://doi.org/10.1017/ehs.2023.5" TargetMode="External" /><Relationship Type="http://schemas.openxmlformats.org/officeDocument/2006/relationships/hyperlink" Id="rId182" Target="https://doi.org/10.1038/nature08227" TargetMode="External" /><Relationship Type="http://schemas.openxmlformats.org/officeDocument/2006/relationships/hyperlink" Id="rId81" Target="https://doi.org/10.1038/srep39122" TargetMode="External" /><Relationship Type="http://schemas.openxmlformats.org/officeDocument/2006/relationships/hyperlink" Id="rId178" Target="https://doi.org/10.1057/s41599-019-0260-7" TargetMode="External" /><Relationship Type="http://schemas.openxmlformats.org/officeDocument/2006/relationships/hyperlink" Id="rId73" Target="https://doi.org/10.1057/s41599-019-0295-9" TargetMode="External" /><Relationship Type="http://schemas.openxmlformats.org/officeDocument/2006/relationships/hyperlink" Id="rId77" Target="https://doi.org/10.1057/s41599-020-00635-3" TargetMode="External" /><Relationship Type="http://schemas.openxmlformats.org/officeDocument/2006/relationships/hyperlink" Id="rId63" Target="https://doi.org/10.1073/pnas.0903232106" TargetMode="External" /><Relationship Type="http://schemas.openxmlformats.org/officeDocument/2006/relationships/hyperlink" Id="rId141" Target="https://doi.org/10.1073/pnas.1818346116" TargetMode="External" /><Relationship Type="http://schemas.openxmlformats.org/officeDocument/2006/relationships/hyperlink" Id="rId99" Target="https://doi.org/10.1073/pnas.2418106121" TargetMode="External" /><Relationship Type="http://schemas.openxmlformats.org/officeDocument/2006/relationships/hyperlink" Id="rId150" Target="https://doi.org/10.1080/20548923.2018.1504490" TargetMode="External" /><Relationship Type="http://schemas.openxmlformats.org/officeDocument/2006/relationships/hyperlink" Id="rId192" Target="https://doi.org/10.1086/651661" TargetMode="External" /><Relationship Type="http://schemas.openxmlformats.org/officeDocument/2006/relationships/hyperlink" Id="rId171" Target="https://doi.org/10.1086/674873" TargetMode="External" /><Relationship Type="http://schemas.openxmlformats.org/officeDocument/2006/relationships/hyperlink" Id="rId121" Target="https://doi.org/10.1098/rsif.2015.0905" TargetMode="External" /><Relationship Type="http://schemas.openxmlformats.org/officeDocument/2006/relationships/hyperlink" Id="rId123" Target="https://doi.org/10.1098/rsos.170949" TargetMode="External" /><Relationship Type="http://schemas.openxmlformats.org/officeDocument/2006/relationships/hyperlink" Id="rId67" Target="https://doi.org/10.1098/rspb.2004.2746" TargetMode="External" /><Relationship Type="http://schemas.openxmlformats.org/officeDocument/2006/relationships/hyperlink" Id="rId116" Target="https://doi.org/10.1111/j.1558-5646.2007.00310.x" TargetMode="External" /><Relationship Type="http://schemas.openxmlformats.org/officeDocument/2006/relationships/hyperlink" Id="rId169" Target="https://doi.org/10.1126/science.1170165" TargetMode="External" /><Relationship Type="http://schemas.openxmlformats.org/officeDocument/2006/relationships/hyperlink" Id="rId125" Target="https://doi.org/10.1146/annurev-ecolsys-110512-135838" TargetMode="External" /><Relationship Type="http://schemas.openxmlformats.org/officeDocument/2006/relationships/hyperlink" Id="rId65" Target="https://doi.org/10.1371/journal.pone.0003057" TargetMode="External" /><Relationship Type="http://schemas.openxmlformats.org/officeDocument/2006/relationships/hyperlink" Id="rId83" Target="https://doi.org/10.1371/journal.pone.0041010" TargetMode="External" /><Relationship Type="http://schemas.openxmlformats.org/officeDocument/2006/relationships/hyperlink" Id="rId137" Target="https://doi.org/10.1371/journal.pone.0124942" TargetMode="External" /><Relationship Type="http://schemas.openxmlformats.org/officeDocument/2006/relationships/hyperlink" Id="rId132" Target="https://doi.org/10.1371/journal.pone.0250690" TargetMode="External" /><Relationship Type="http://schemas.openxmlformats.org/officeDocument/2006/relationships/hyperlink" Id="rId167" Target="https://doi.org/10.1525/aa.1953.55.5.02a00030" TargetMode="External" /><Relationship Type="http://schemas.openxmlformats.org/officeDocument/2006/relationships/hyperlink" Id="rId105" Target="https://doi.org/10.1525/aa.2001.103.4.992" TargetMode="External" /><Relationship Type="http://schemas.openxmlformats.org/officeDocument/2006/relationships/hyperlink" Id="rId97" Target="https://doi.org/10.1534/genetics.113.158220" TargetMode="External" /><Relationship Type="http://schemas.openxmlformats.org/officeDocument/2006/relationships/hyperlink" Id="rId114" Target="https://doi.org/10.1666/05070.1" TargetMode="External" /><Relationship Type="http://schemas.openxmlformats.org/officeDocument/2006/relationships/hyperlink" Id="rId70" Target="https://doi.org/10.2307/2694206" TargetMode="External" /><Relationship Type="http://schemas.openxmlformats.org/officeDocument/2006/relationships/hyperlink" Id="rId128" Target="https://doi.org/10.2307/2694529" TargetMode="External" /><Relationship Type="http://schemas.openxmlformats.org/officeDocument/2006/relationships/hyperlink" Id="rId85" Target="https://doi.org/10.2307/278341" TargetMode="External" /><Relationship Type="http://schemas.openxmlformats.org/officeDocument/2006/relationships/hyperlink" Id="rId158" Target="https://doi.org/10.2307/279066" TargetMode="External" /><Relationship Type="http://schemas.openxmlformats.org/officeDocument/2006/relationships/hyperlink" Id="rId87" Target="https://doi.org/10.2307/279244" TargetMode="External" /><Relationship Type="http://schemas.openxmlformats.org/officeDocument/2006/relationships/hyperlink" Id="rId59" Target="https://doi.org/10.2307/3557066" TargetMode="External" /><Relationship Type="http://schemas.openxmlformats.org/officeDocument/2006/relationships/hyperlink" Id="rId107" Target="https://doi.org/10.2307/41284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2026-06-14T01:14:39Z</dcterms:created>
  <dcterms:modified xsi:type="dcterms:W3CDTF">2026-06-14T01:14:39Z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