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7.png" ContentType="image/png"/>
  <Override PartName="/word/media/rId150.png" ContentType="image/png"/>
  <Override PartName="/word/media/rId153.png" ContentType="image/png"/>
  <Override PartName="/word/media/rId111.png" ContentType="image/png"/>
  <Override PartName="/word/media/rId119.png" ContentType="image/png"/>
  <Override PartName="/word/media/rId122.png" ContentType="image/png"/>
  <Override PartName="/word/media/rId126.png" ContentType="image/png"/>
  <Override PartName="/word/media/rId135.png" ContentType="image/png"/>
  <Override PartName="/word/media/rId138.png" ContentType="image/png"/>
  <Override PartName="/word/media/rId141.png" ContentType="image/png"/>
  <Override PartName="/word/media/rId1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5" w:name="X8bf6248c9f3f97f4894a761f3e01800d2c2c84f"/>
    <w:p>
      <w:pPr>
        <w:pStyle w:val="Heading1"/>
      </w:pPr>
      <w:r>
        <w:t xml:space="preserve">Explaining the Spatial Structure of Phases: An Example from the Lower Mississippi River Valley</w:t>
      </w:r>
    </w:p>
    <w:p>
      <w:pPr>
        <w:pStyle w:val="FirstParagraph"/>
      </w:pPr>
      <w:r>
        <w:rPr>
          <w:b/>
          <w:bCs/>
        </w:rPr>
        <w:t xml:space="preserve">Carl P. Lipo, Beau J. DiNapoli, and Mark E. Madsen</w:t>
      </w:r>
    </w:p>
    <w:bookmarkStart w:id="109" w:name="abstract"/>
    <w:p>
      <w:pPr>
        <w:pStyle w:val="Heading2"/>
      </w:pPr>
      <w:r>
        <w:t xml:space="preserve">Abstract</w:t>
      </w:r>
    </w:p>
    <w:p>
      <w:pPr>
        <w:pStyle w:val="FirstParagraph"/>
      </w:pPr>
      <w:r>
        <w:t xml:space="preserve">Archaeologists group assemblages into phases and interpret them as bounded societies, assuming that assemblages whose ceramic class frequencies are more similar to nearby than to distant neighbors record a social group. Neutral drift among neighbors, however, can produce the same clustering with no boundary. Because interaction falls off with distance, a social group is marked by local interaction beyond what distance can account for. We ask what produced the phase structure, using the St. Francis basin and its several well-defined Late Mississippian phases as an example. Of four candidate signatures, only between-group variance can detect such closure at this resolution, and by it the basin shows none beyond what distance accounts for. A model imposing no groups attributes 97 percent of assemblage-level variation to geography. The Parkin site has long been interpreted as the center of a polity, but it bridges several seriation orderings rather than anchoring one. Calibrated drift nonetheless underpredicts how different the basin’s spatial clusters are. Of four simplifying assumptions relaxed, only a weak boundary in which new styles originate reproduces both the differentiation and the diversity. That is a spatially patterned form of drift, which these data cannot distinguish from an emerging social boundary.</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109"/>
    <w:bookmarkStart w:id="110" w:name="resumen"/>
    <w:p>
      <w:pPr>
        <w:pStyle w:val="Heading2"/>
      </w:pPr>
      <w:r>
        <w:t xml:space="preserve">Resumen</w:t>
      </w:r>
    </w:p>
    <w:p>
      <w:pPr>
        <w:pStyle w:val="FirstParagraph"/>
      </w:pPr>
      <w:r>
        <w:t xml:space="preserve">Los arqueólogos agrupan los conjuntos en fases y las interpretan como sociedades delimitadas, suponiendo que los conjuntos cuyas frecuencias de clases cerámicas son más similares a las de sus vecinos cercanos que a las de los distantes registran un grupo social. Sin embargo, la deriva neutral entre vecinos puede producir el mismo agrupamiento sin fronteras. Como la interacción disminuye con la distancia, lo que distingue a un grupo social es la interacción local que trasciende lo que la distancia puede explicar. Preguntamos qué dio origen a la estructura de las fases, tomando como ejemplo la cuenca del St. Francis y sus varias fases bien definidas del Misisipiano tardío. De cuatro firmas candidatas, solo la varianza entre grupos puede detectar ese cierre a esta resolución, y según ella, la cuenca no muestra cierre alguno más allá de lo que explica la distancia. Un modelo que no impone grupos atribuye el 96 % de la variación entre los conjuntos a la geografía. El sitio de Parkin ha sido interpretado durante mucho tiempo como el centro de una entidad política, pero sirve de puente entre varias ordenaciones de seriación en lugar de anclar una sola. Aun así, la deriva calibrada subestima cuán diferentes son los agrupamientos espaciales de la cuenca. De cuatro supuestos simplificadores relajados, solo una frontera débil en el lugar de origen de los nuevos estilos reproduce tanto la diferenciación como la diversidad. Se trata de una forma de deriva espacialmente estructurada, que estos datos no pueden distinguir de una frontera social emergente.</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10"/>
    <w:bookmarkStart w:id="114" w:name="introduction"/>
    <w:p>
      <w:pPr>
        <w:pStyle w:val="Heading2"/>
      </w:pPr>
      <w:r>
        <w:t xml:space="preserve">Introduction</w:t>
      </w:r>
    </w:p>
    <w:p>
      <w:pPr>
        <w:pStyle w:val="FirstParagraph"/>
      </w:pPr>
      <w:r>
        <w:t xml:space="preserve">Archaeologists divide the late pre-contact record of the Lower Mississippi River Valley into spatially and temporally bounded units known as phases (Figure 1). These units include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because it includes the Parkin site, the largest moated, palisaded town in the St. Francis basin of northeastern Arkansas. The chronicles of the Hernando de Soto expedition identify it as Casqui, the seat of a paramount chief, which the expedition encountered in 1541</w:t>
      </w:r>
      <w:r>
        <w:t xml:space="preserve"> </w:t>
      </w:r>
      <w:r>
        <w:t xml:space="preserve">(Hudson et al. 1990; Mitchem 2001; Phyllis A. Morse 1990)</w:t>
      </w:r>
      <w:r>
        <w:t xml:space="preserve">. Because of its size, fortification, platform mound, and ethnohistoric identification, Parkin is routinely interpreted as the center of a Mississippian polity. That interpretation rests on the long-standing assumption that a dominant mound center marks the apex of a ranked society</w:t>
      </w:r>
      <w:r>
        <w:t xml:space="preserve"> </w:t>
      </w:r>
      <w:r>
        <w:t xml:space="preserve">(Peebles and Kus 1977)</w:t>
      </w:r>
      <w:r>
        <w:t xml:space="preserve">. It makes a specific claim about social structure. The Parkin phase was a bounded, hierarchically organized society with Parkin at its apex.</w:t>
      </w:r>
    </w:p>
    <w:p>
      <w:pPr>
        <w:pStyle w:val="CaptionedFigure"/>
      </w:pPr>
      <w:r>
        <w:drawing>
          <wp:inline>
            <wp:extent cx="4114800" cy="6950142"/>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Each territory is built by assigning every point on the map to its nearest assemblage, then merging the resulting areas according to the phase Mainfort (1996b) assigns to each assemblage, with a gap drawn between adjacent territories for legibility. Territories are drawn over the HydroRIVERS river network (Lehner and Grill 2013), with line width scaled by flow order. Each assemblage is plotted with a marker corresponding to its phase, and Parkin is marked with a star. The bounded territories illustrate the premise that the paper tests: that such areas host distinct, internally interacting societies. The transmission analysis finds no closure behind these territories beyond what distance alone produces. The assemblages form one continuous field structured by distance, although a drift model calibrated to their own diversity does not by itself reproduce how different the basin’s spatial clusters are. The mapped assemblages fall in Arkansas, Tennessee, and Mississippi. Missouri lies just north of the frame. Inset: location in North America." title="" id="112" name="Picture"/>
            <a:graphic>
              <a:graphicData uri="http://schemas.openxmlformats.org/drawingml/2006/picture">
                <pic:pic>
                  <pic:nvPicPr>
                    <pic:cNvPr descr="../../figures/fig1_phases.png" id="113" name="Picture"/>
                    <pic:cNvPicPr>
                      <a:picLocks noChangeArrowheads="1" noChangeAspect="1"/>
                    </pic:cNvPicPr>
                  </pic:nvPicPr>
                  <pic:blipFill>
                    <a:blip r:embed="rId111"/>
                    <a:stretch>
                      <a:fillRect/>
                    </a:stretch>
                  </pic:blipFill>
                  <pic:spPr bwMode="auto">
                    <a:xfrm>
                      <a:off x="0" y="0"/>
                      <a:ext cx="4114800" cy="6950142"/>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Each territory is built by assigning every point on the map to its nearest assemblage, then merging the resulting areas according to the phase Mainfort</w:t>
      </w:r>
      <w:r>
        <w:t xml:space="preserve"> </w:t>
      </w:r>
      <w:r>
        <w:t xml:space="preserve">(1996b)</w:t>
      </w:r>
      <w:r>
        <w:t xml:space="preserve"> </w:t>
      </w:r>
      <w:r>
        <w:t xml:space="preserve">assigns to each assemblage, with a gap drawn between adjacent territories for legibility. Territories are drawn over the HydroRIVERS river network</w:t>
      </w:r>
      <w:r>
        <w:t xml:space="preserve"> </w:t>
      </w:r>
      <w:r>
        <w:t xml:space="preserve">(Lehner and Grill 2013)</w:t>
      </w:r>
      <w:r>
        <w:t xml:space="preserve">, with line width scaled by flow order. Each assemblage is plotted with a marker corresponding to its phase, and Parkin is marked with a star. The bounded territories illustrate the premise that the paper tests: that such areas host distinct, internally interacting societies. The transmission analysis finds no closure behind these territories beyond what distance alone produces. The assemblages form one continuous field structured by distance, although a drift model calibrated to their own diversity does not by itself reproduce how different the basin’s spatial clusters are. The mapped assemblages fall in Arkansas, Tennessee, and Mississippi. Missouri lies just north of the frame. Inset: location in North America.</w:t>
      </w:r>
    </w:p>
    <w:p>
      <w:pPr>
        <w:pStyle w:val="BodyText"/>
      </w:pPr>
      <w:r>
        <w:t xml:space="preserve">That makes the Parkin phase an excellent case to evaluate what a phase is. Of all the late Mississippian phases, it has the strongest independent reason to be a real social unit, since a documented paramountcy is said to sit at its center. If the phase pattern records bounded interaction anywhere, it should be detectable here. Whether such an entity existed at Parkin is an empirical question. Settlement form alone cannot answer it, because a primary center of interaction, a palisade, and a monumental mound are as compatible with competing peer communities as with a centralized, consolidated hierarchy</w:t>
      </w:r>
      <w:r>
        <w:t xml:space="preserve"> </w:t>
      </w:r>
      <w:r>
        <w:t xml:space="preserve">(King and Freer 1995; Rees 2001)</w:t>
      </w:r>
      <w:r>
        <w:t xml:space="preserve">. The 16th-century chronicles are themselves equivocal. They have been interpreted both as describing rivalry among competing peers and as describing a ranked order, so even if Parkin is Casqui they do not by themselves establish a consolidated hierarchy over the Parkin phase</w:t>
      </w:r>
      <w:r>
        <w:t xml:space="preserve"> </w:t>
      </w:r>
      <w:r>
        <w:t xml:space="preserve">(Hudson et al. 1990; Phyllis A. Morse 1990)</w:t>
      </w:r>
      <w:r>
        <w:t xml:space="preserve">. We ask instead what produced the pattern the record actually carries, measured rather than interpreted through an assumed polity model. Within the basin, settlement size is graded rather than organized around a redistributive center. The chert hoes tied to agricultural capacity, whose control would mark an economic apex, were produced across the region in a decentralized way, and they moved along a down-the-line gradient rather than through central redistribution</w:t>
      </w:r>
      <w:r>
        <w:t xml:space="preserve"> </w:t>
      </w:r>
      <w:r>
        <w:t xml:space="preserve">(Cobb 2000)</w:t>
      </w:r>
      <w:r>
        <w:t xml:space="preserve">. As we show below, the decorated-ceramic record likewise carries no clear signature of interaction narrowing beyond what distance alone would produce.</w:t>
      </w:r>
    </w:p>
    <w:p>
      <w:pPr>
        <w:pStyle w:val="BodyText"/>
      </w:pPr>
      <w:r>
        <w:t xml:space="preserve">The more revealing question is why Parkin was taken for a polity and phase in the first place. The answer lies in the unit through which the record is interpreted, a matter that the renewed debate over archaeological systematics has brought back into focus</w:t>
      </w:r>
      <w:r>
        <w:t xml:space="preserve"> </w:t>
      </w:r>
      <w:r>
        <w:t xml:space="preserve">(Lyman 2021)</w:t>
      </w:r>
      <w:r>
        <w:t xml:space="preserve">. The Parkin phase is a culture-history construct. It is a set of assemblages grouped together because their decorated-class frequencies seriate. This means they can be arranged in one ordered sequence of gradually changing frequencies, and because the sites cluster in space</w:t>
      </w:r>
      <w:r>
        <w:t xml:space="preserve"> </w:t>
      </w:r>
      <w:r>
        <w:t xml:space="preserve">(Phillips et al. 1951)</w:t>
      </w:r>
      <w:r>
        <w:t xml:space="preserve">. A social interpretation goes beyond that definition. In the Phillips-Ford-Griffin framework, the phase is the basic space-time-cultural unit, defined by distinctive traits within a locality or region over a brief span, and the definition contains no social criterion</w:t>
      </w:r>
      <w:r>
        <w:t xml:space="preserve"> </w:t>
      </w:r>
      <w:r>
        <w:t xml:space="preserve">(Phillips and Willey 1953; Willey and Phillips 1958)</w:t>
      </w:r>
      <w:r>
        <w:t xml:space="preserve">.</w:t>
      </w:r>
    </w:p>
    <w:p>
      <w:pPr>
        <w:pStyle w:val="BodyText"/>
      </w:pPr>
      <w:r>
        <w:t xml:space="preserve">In practice, however, researchers have treated the phase as a society or social unit. Willey and Phillips</w:t>
      </w:r>
      <w:r>
        <w:t xml:space="preserve"> </w:t>
      </w:r>
      <w:r>
        <w:t xml:space="preserve">(1958:48–49)</w:t>
      </w:r>
      <w:r>
        <w:t xml:space="preserve"> </w:t>
      </w:r>
      <w:r>
        <w:t xml:space="preserve">set out the syllogism that makes a phase a society. They also rejected the idea but then treated phases as societies anyway. Williams</w:t>
      </w:r>
      <w:r>
        <w:t xml:space="preserve"> </w:t>
      </w:r>
      <w:r>
        <w:t xml:space="preserve">(1954)</w:t>
      </w:r>
      <w:r>
        <w:t xml:space="preserve">, defining the southeast-Missouri phases on which the regional scheme rests, adopted the same equation outright and wrote that a phase</w:t>
      </w:r>
      <w:r>
        <w:t xml:space="preserve"> </w:t>
      </w:r>
      <w:r>
        <w:t xml:space="preserve">“probably”</w:t>
      </w:r>
      <w:r>
        <w:t xml:space="preserve"> </w:t>
      </w:r>
      <w:r>
        <w:t xml:space="preserve">equals a society. Regional practice has repeated it since, often while disavowing it. The premise itself is rarely stated. It is that assemblages more similar to one another than to their neighbors record a bounded, mutually interacting social group. Once such a group can be paired with a single dominant center, the phase becomes a polity. As a result, the polity interpretation builds the social unit in before any independent evidence of bounded groups has been weighed.</w:t>
      </w:r>
    </w:p>
    <w:p>
      <w:pPr>
        <w:pStyle w:val="BodyText"/>
      </w:pPr>
      <w:r>
        <w:t xml:space="preserve">The phase construct has been questioned on exactly this ground. Fox</w:t>
      </w:r>
      <w:r>
        <w:t xml:space="preserve"> </w:t>
      </w:r>
      <w:r>
        <w:t xml:space="preserve">(1998)</w:t>
      </w:r>
      <w:r>
        <w:t xml:space="preserve"> </w:t>
      </w:r>
      <w:r>
        <w:t xml:space="preserve">showed, through cluster analysis and ordination, that the southeast-Missouri phases fail as both groups and classes. For these phases, member assemblages fall into statistical clusters at random rather than segregating by phase. Mainfort</w:t>
      </w:r>
      <w:r>
        <w:t xml:space="preserve"> </w:t>
      </w:r>
      <w:r>
        <w:t xml:space="preserve">(2003)</w:t>
      </w:r>
      <w:r>
        <w:t xml:space="preserve"> </w:t>
      </w:r>
      <w:r>
        <w:t xml:space="preserve">reached the same verdict by a different ordination, finding that the late-period assemblages overlap rather than forming discrete clusters and so give little support to the named phases. Lipo</w:t>
      </w:r>
      <w:r>
        <w:t xml:space="preserve"> </w:t>
      </w:r>
      <w:r>
        <w:t xml:space="preserve">(2001)</w:t>
      </w:r>
      <w:r>
        <w:t xml:space="preserve"> </w:t>
      </w:r>
      <w:r>
        <w:t xml:space="preserve">questioned the nature of phases through frequency seriation, ordering assemblages by increases and decreases in type frequencies. He showed that the assemblages are structured rather than panmictic, that is, not drawn from one freely mixing population, and argued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This premise, however, is rarely tested, and it overlooks a strong alternative that offers a potentially falsifiable explanation for the observed patterns in the archaeological record. Seen through models of social learning and cultural transmission, interaction is always continuous but highly variable. Distance and geography, along with social relationships, structure who learns from whom. This task is explanatory rather than merely critical. The culture historians who named these phases were responding to real structure they observed in the assemblages, and the question is what produced it. We therefore ask how much of that structure continuous, distance-structured interaction generates on its own, and what, if anything, remains once we account for it.</w:t>
      </w:r>
    </w:p>
    <w:p>
      <w:pPr>
        <w:pStyle w:val="BodyText"/>
      </w:pPr>
      <w:r>
        <w:t xml:space="preserve">Under the neutral model of cultural transmission, decorative style behaves as a selectively neutral trait. A neutral trait is one that confers no advantage on its user and whose frequency drifts by chance in a finite population of interacting learners</w:t>
      </w:r>
      <w:r>
        <w:t xml:space="preserve"> </w:t>
      </w:r>
      <w:r>
        <w:t xml:space="preserve">(Bentley et al. 2004; Dunnell 1978; Eerkens and Lipo 2007; Fogarty et al. 2024; Neiman 1995)</w:t>
      </w:r>
      <w:r>
        <w:t xml:space="preserve">. When those learners copy near neighbors more often than distant ones, drift in the spatially structured population produces similarity that is highest over short distances and fades with distance. Viewed at a larger scale and cut into discrete units, that gradient can look like difference and clustering, though there are no bounded groups anywhere</w:t>
      </w:r>
      <w:r>
        <w:t xml:space="preserve"> </w:t>
      </w:r>
      <w:r>
        <w:t xml:space="preserve">(Lipo et al. 1997, 2021)</w:t>
      </w:r>
      <w:r>
        <w:t xml:space="preserve">. On this account a phase can simply be the ordinary product of continuous, distance-structured interaction. The pattern the culture-history tradition interprets as a society, assemblages near one another in space and in style, is exactly what spatially structured drift predicts. Telling a real interaction group from spatially structured drift requires a test the tradition never applied, and one that culture-history methods cannot supply, because the seriation coherence and spatial proximity that define a phase are equally products of drift</w:t>
      </w:r>
      <w:r>
        <w:t xml:space="preserve"> </w:t>
      </w:r>
      <w:r>
        <w:t xml:space="preserve">(Riede et al. 2019)</w:t>
      </w:r>
      <w:r>
        <w:t xml:space="preserve">.</w:t>
      </w:r>
    </w:p>
    <w:p>
      <w:pPr>
        <w:pStyle w:val="BodyText"/>
      </w:pPr>
      <w:r>
        <w:t xml:space="preserve">Assemblages of decorated ceramics, however, provide a means to test that. Potters copy stylistic variants through social learning networks, so the spatial and temporal structure of decorated-class frequencies records past interaction. A genuine social boundary, had one existed, would result in learning that looks conformist within groups and divergent between them, and it would fragment the single drifting pool that continuous interaction maintains</w:t>
      </w:r>
      <w:r>
        <w:t xml:space="preserve"> </w:t>
      </w:r>
      <w:r>
        <w:t xml:space="preserve">(Lipo et al. 1997, 2010, 2015; Neiman 1995)</w:t>
      </w:r>
      <w:r>
        <w:t xml:space="preserve">.</w:t>
      </w:r>
    </w:p>
    <w:p>
      <w:pPr>
        <w:pStyle w:val="BodyText"/>
      </w:pPr>
      <w:r>
        <w:t xml:space="preserve">The late pre-contact lower Mississippi Valley is a favorable place to examine this potential scenario. Its decorated assemblages are well documented, and European contact and the demographic collapse that followed ended the sequence before any later reorganization could overwrite it</w:t>
      </w:r>
      <w:r>
        <w:t xml:space="preserve"> </w:t>
      </w:r>
      <w:r>
        <w:t xml:space="preserve">(Morse and Morse 1996)</w:t>
      </w:r>
      <w:r>
        <w:t xml:space="preserve">. Here, we focus on the St. Francis basin, the setting of Parkin (Figure 1), where the deposits are comparable, the decorated classes are the long-established Phillips-Ford-Griffin types, and the samples are large enough to test the empirical bases of phases</w:t>
      </w:r>
      <w:r>
        <w:t xml:space="preserve"> </w:t>
      </w:r>
      <w:r>
        <w:t xml:space="preserve">(Lipo 2001)</w:t>
      </w:r>
      <w:r>
        <w:t xml:space="preserve">.</w:t>
      </w:r>
    </w:p>
    <w:p>
      <w:pPr>
        <w:pStyle w:val="BodyText"/>
      </w:pPr>
      <w:r>
        <w:t xml:space="preserve">This analysis, however, rests on an honest recognition of what the ceramic record consists. We cannot treat assemblages as degraded snapshots of a past behavioral moment that must be restored by correcting for the processes that formed it</w:t>
      </w:r>
      <w:r>
        <w:t xml:space="preserve"> </w:t>
      </w:r>
      <w:r>
        <w:t xml:space="preserve">(Schiffer 1972)</w:t>
      </w:r>
      <w:r>
        <w:t xml:space="preserve">. Instead, we must treat them as time-averaged accumulations built up over many years of use and discard, whose decorated-class frequencies reflect the accumulated product of social learning across a population, and measure and explain them directly rather than reconstruct them</w:t>
      </w:r>
      <w:r>
        <w:t xml:space="preserve"> </w:t>
      </w:r>
      <w:r>
        <w:t xml:space="preserve">(Lipo et al. 2015; Neiman 1995)</w:t>
      </w:r>
      <w:r>
        <w:t xml:space="preserve">. This evolutionary position treats the record as an evolving phenotype to be explained rather than as direct evidence of a vanished behavioral system</w:t>
      </w:r>
      <w:r>
        <w:t xml:space="preserve"> </w:t>
      </w:r>
      <w:r>
        <w:t xml:space="preserve">(Binford 1981; Dunnell 1978, 1980, 1995a; Ladefoged and Graves 2000)</w:t>
      </w:r>
      <w:r>
        <w:t xml:space="preserve">. Its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question’s resolution rather than disqualifying it. A reorganization of transmission large enough to matter over the two centuries of the Parkin phase should register in the averaged frequency structure, and a drift-versus-groups test must measure that structure directly rather than rest on an imagined moment behind it.</w:t>
      </w:r>
    </w:p>
    <w:p>
      <w:pPr>
        <w:pStyle w:val="BodyText"/>
      </w:pPr>
      <w:r>
        <w:t xml:space="preserve">Identifying any single transmission signature cannot settle the question, because each is consistent with several processes. A departure from neutral copying, a spatial cline, or a rise in between-group variance can each arise from drift, from conformity, or from environmental patchiness. This is equifinality, the same pattern reached by different processes, and it undermines any inference that rests on one signature</w:t>
      </w:r>
      <w:r>
        <w:t xml:space="preserve"> </w:t>
      </w:r>
      <w:r>
        <w:t xml:space="preserve">(Barrett 2019; Crema et al. 2016; Kandler and Shennan 2015; Mesoudi 2021)</w:t>
      </w:r>
      <w:r>
        <w:t xml:space="preserve">. Instead, we compare the candidate processes generatively. We simulate neutral spatial drift and bounded groups on the real coordinate layout of the assemblages and ask which one best reproduces the observed structure. Because the assemblages are time-averaged and sampled, we calibrate that comparison to the record with a recovery experiment. We build a known degree of group closure into synthetic data that match the record and check whether the signatures can find it. The experiment lets us state the resolution of a negative result rather than assume it. This calibration is the transferable contribution, and it has two parts. Before any similarity structure is interpreted as social, a record must be shown to be able to distinguish drift from groups at all. And before a null model is credited with reproducing that record, it must be shown to fit the record’s own diversity. The second half turns out to matter as much as the first. Our substantive contribution is the account that survives those two requirements, which is an explanation of why one of the best-known phases in the Southeast looks as structured as it does.</w:t>
      </w:r>
    </w:p>
    <w:p>
      <w:pPr>
        <w:pStyle w:val="BodyText"/>
      </w:pPr>
      <w:r>
        <w:t xml:space="preserve">Our analysis proceeds in six steps. First, we examine the origins of the phase concept and how the Parkin site came to be recognized as the center of a polity, since that interpretation is inherited from the unit rather than established on its own merits. Second, we develop a theoretical basis for detecting structure among interacting populations, one in which a group is a region of locally intensified copying rather than a bounded type. Third, we select theory-grounded signatures that can register how much of the structure that closure would leave a set of decorated-ceramic type frequencies actually carries. Fourth, we develop methods matched to the quality of the archaeological record, whose assemblages are time-averaged rather than synchronic snapshots, so that each signature is tested against the resolution the deposits actually preserve. Fifth, we apply the surviving signature to the decorated-ceramic record of the St. Francis basin, including the Parkin phase, the one lower-valley setting whose assemblages, classes, and sample sizes are adequate for the test. Finally, because we evaluate that signature against a model, we compare neutral drift with bounded groups on the real geography after calibrating each to the assemblages’ own diversity, then relax four simplifying assumptions in the drift model.</w:t>
      </w:r>
    </w:p>
    <w:bookmarkEnd w:id="114"/>
    <w:bookmarkStart w:id="118" w:name="background"/>
    <w:p>
      <w:pPr>
        <w:pStyle w:val="Heading2"/>
      </w:pPr>
      <w:r>
        <w:t xml:space="preserve">Background</w:t>
      </w:r>
    </w:p>
    <w:bookmarkStart w:id="115" w:name="Xd14237f88ca1a3c0c3921d7ef3d99b8c3ac802d"/>
    <w:p>
      <w:pPr>
        <w:pStyle w:val="Heading3"/>
      </w:pPr>
      <w:r>
        <w:t xml:space="preserve">The phase, its unstated premise, and the drift alternative</w:t>
      </w:r>
    </w:p>
    <w:p>
      <w:pPr>
        <w:pStyle w:val="FirstParagraph"/>
      </w:pPr>
      <w:r>
        <w:t xml:space="preserve">We evaluate the phase concept from the standpoint of Mayr’s</w:t>
      </w:r>
      <w:r>
        <w:t xml:space="preserve"> </w:t>
      </w:r>
      <w:r>
        <w:t xml:space="preserve">(1959)</w:t>
      </w:r>
      <w:r>
        <w:t xml:space="preserve"> </w:t>
      </w:r>
      <w:r>
        <w:t xml:space="preserve">population thinking, which Dunnell</w:t>
      </w:r>
      <w:r>
        <w:t xml:space="preserve"> </w:t>
      </w:r>
      <w:r>
        <w:t xml:space="preserve">(1980)</w:t>
      </w:r>
      <w:r>
        <w:t xml:space="preserve"> </w:t>
      </w:r>
      <w:r>
        <w:t xml:space="preserve">introduced to archaeology and which frames the question differently from the usual interpretation of the lower Mississippi Valley record. Archaeologists often treat the past as made of bounded units, the phase, the polity, the society, each a discrete entity with members and edges, and they interpret a cluster of similar assemblages as one such unit. That is typological thinking. It takes the type as the real object and the variation among assemblages as noise around it. Population thinking reverses that priority. Variation among individuals is the reality, and the type is an abstraction derived from it. We accordingly treat transmission as a continuous, variable field of copying among potters with no intrinsic boundaries. Interaction falls off with distance and is more local in some places and times than in others. A group is then not a thing with a boundary but a region where copying is locally intensified, and similarity is a matter of degree. Closure, the narrowing of interaction inward, is also a matter of degree, defined against geography rather than in place of it. Potters everywhere interact more with near neighbors than with distant ones, and that tendency alone produces clustering. Closure is the part of local interaction that distance does not account for. It is therefore a quantity rather than a condition, running from zero, where distance predicts who copies whom entirely, upward as interaction narrows further than distance would make it. Neither zero nor complete closure is expected in a real settlement system. A phase needs to be a social unit not through complete closure but through a measurable amount of it, and our analysis asks how much the record carries. When we write of a bounded interaction group, we mean the upper end of that scale, called a limiting case, so the measured quantity has something to be measured against.</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people who interacted mostly within it</w:t>
      </w:r>
      <w:r>
        <w:t xml:space="preserve"> </w:t>
      </w:r>
      <w:r>
        <w:t xml:space="preserve">(McNutt 1996; Morse and Morse 1983; Phillips et al. 1951; Williams 1954)</w:t>
      </w:r>
      <w:r>
        <w:t xml:space="preserve">. That premise is not unreasonable. The difficulty is that the same clustering arises with no closure at all through isolation by distance, the tendency for neighbors to resemble one another simply because they interact more often than distant parties do</w:t>
      </w:r>
      <w:r>
        <w:t xml:space="preserve"> </w:t>
      </w:r>
      <w:r>
        <w:t xml:space="preserve">(Lipo et al. 2021; Neiman 1995; Shennan et al. 2015)</w:t>
      </w:r>
      <w:r>
        <w:t xml:space="preserve">. What marks a social group is therefore the excess over what distance predicts, in the sense defined above, and that excess is the signature we must test for. It is also what makes the test operational. Every comparison below measures the observed structure against a model run on the real geography of the assemblages, so the quantity left over is by construction the part geography does not account for. Decoration transmitted preferentially within a group and diverging between groups can be treated as a marker rather than as a neutral style drifting in a shared pool. A marker is the ceramic proxy for interaction closing into a bounded group, so the drift-versus-groups question becomes a question of neutral style versus marker.</w:t>
      </w:r>
    </w:p>
    <w:bookmarkEnd w:id="115"/>
    <w:bookmarkStart w:id="116" w:name="X39f6bf2aa5dd39e0d3c765e883d98cb3f81c485"/>
    <w:p>
      <w:pPr>
        <w:pStyle w:val="Heading3"/>
      </w:pPr>
      <w:r>
        <w:t xml:space="preserve">Why ceramics, and the neutral-vs-marker distinction</w:t>
      </w:r>
    </w:p>
    <w:p>
      <w:pPr>
        <w:pStyle w:val="FirstParagraph"/>
      </w:pPr>
      <w:r>
        <w:t xml:space="preserve">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 an ordering in which each type rises to a peak and then declines</w:t>
      </w:r>
      <w:r>
        <w:t xml:space="preserve"> </w:t>
      </w:r>
      <w:r>
        <w:t xml:space="preserve">(Dunnell 1995b; Lipo 2001; Lipo et al. 2015; Lipo and Madsen 2001; O’Brien and Leonard 2001)</w:t>
      </w:r>
      <w:r>
        <w:t xml:space="preserve">. Assortment, the tendency for like to learn from like, breaks that pool up. If learning becomes restricted within emerging social boundaries where conformist copying occurs within groups and learners favor whatever variant is already common, each group’s range of variants shrinks. As a result, groups diverge from one another, and the single transmission field fragments</w:t>
      </w:r>
      <w:r>
        <w:t xml:space="preserve"> </w:t>
      </w:r>
      <w:r>
        <w:t xml:space="preserve">(Crema et al. 2016; Henrich 2001; Henrich and Boyd 1998)</w:t>
      </w:r>
      <w:r>
        <w:t xml:space="preserve">. The resulting restricted pool can come to look like</w:t>
      </w:r>
      <w:r>
        <w:t xml:space="preserve"> </w:t>
      </w:r>
      <w:r>
        <w:t xml:space="preserve">“markers”</w:t>
      </w:r>
      <w:r>
        <w:t xml:space="preserve"> </w:t>
      </w:r>
      <w:r>
        <w:t xml:space="preserve">of bounded social groups, even if no sharp boundaries ever existed.</w:t>
      </w:r>
    </w:p>
    <w:p>
      <w:pPr>
        <w:pStyle w:val="BodyText"/>
      </w:pPr>
      <w:r>
        <w:t xml:space="preserve">A methodological obstacle is that no single frequency pattern is uniquely tied to the process that generated it. A departure from neutrality can reflect conformity, an anti-conformist preference for novelty, a bias toward particular content, or simply the fact that durable objects rather than people are the units that accumulate in a deposit</w:t>
      </w:r>
      <w:r>
        <w:t xml:space="preserve"> </w:t>
      </w:r>
      <w:r>
        <w:t xml:space="preserve">(Crema et al. 2016, 2024; Henrich 2001)</w:t>
      </w:r>
      <w:r>
        <w:t xml:space="preserve">. Archaeological assemblages make the problem harder because they are time-averaged. Deposits form by aggregation over a use-life, which inflates richness, flattens evenness, and biases neutrality statistics by an amount that depends on the mean lifetime of the variants</w:t>
      </w:r>
      <w:r>
        <w:t xml:space="preserve"> </w:t>
      </w:r>
      <w:r>
        <w:t xml:space="preserve">(Madsen 2012; Premo 2014)</w:t>
      </w:r>
      <w:r>
        <w:t xml:space="preserve">. The result is equifinality in which several transmission processes can produce the same population-level pattern, so a single statistic cannot recover the process that generated it. Where a discriminating signature survives at all, it lies only in the rare-variant tail of the frequency distribution, the least common types, rather than in the common classes</w:t>
      </w:r>
      <w:r>
        <w:t xml:space="preserve"> </w:t>
      </w:r>
      <w:r>
        <w:t xml:space="preserve">(Carrignon et al. 2019; Kandler et al. 2017; Mesoudi 2021; O’Dwyer and Kandler 2017)</w:t>
      </w:r>
      <w:r>
        <w:t xml:space="preserve">.</w:t>
      </w:r>
    </w:p>
    <w:bookmarkEnd w:id="116"/>
    <w:bookmarkStart w:id="1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predict opposite transmission signatures.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Parkin dominates the phase. It is a roughly 17-acre palisaded center, with a platform mound rising more than 6 m. The De Soto chronicles place it as the seat of the paramount of Casqui</w:t>
      </w:r>
      <w:r>
        <w:t xml:space="preserve"> </w:t>
      </w:r>
      <w:r>
        <w:t xml:space="preserve">(Dye and Cox 1990; Mitchem 2001; Phyllis A. Morse 1990)</w:t>
      </w:r>
      <w:r>
        <w:t xml:space="preserve">. Under this interpretation, Parkin’s location on agriculturally poor soil is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that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w:t>
      </w:r>
    </w:p>
    <w:p>
      <w:pPr>
        <w:pStyle w:val="BodyText"/>
      </w:pPr>
      <w:r>
        <w:t xml:space="preserve">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as competing peers would. The same sources have also been interpreted as ranking Casqui below Pacaha, and the chronicle ethnography is thin and filtered</w:t>
      </w:r>
      <w:r>
        <w:t xml:space="preserve"> </w:t>
      </w:r>
      <w:r>
        <w:t xml:space="preserve">(Hudson et al. 1990; Mitchem 2001; Phyllis A. Morse 1990)</w:t>
      </w:r>
      <w:r>
        <w:t xml:space="preserve">. Settlement morphology alone cannot separate the two possibilities for Parkin. We can separate them by asking how far interaction narrowed beyond what distance alone produces, and that is the test we now construct.</w:t>
      </w:r>
    </w:p>
    <w:bookmarkEnd w:id="117"/>
    <w:bookmarkEnd w:id="118"/>
    <w:bookmarkStart w:id="125" w:name="Xe1cc53abb112c2b395e3beee2af5ceb0aad4bed"/>
    <w:p>
      <w:pPr>
        <w:pStyle w:val="Heading2"/>
      </w:pPr>
      <w:r>
        <w:t xml:space="preserve">Distinguishing true group structure from spatially structured drift</w:t>
      </w:r>
    </w:p>
    <w:p>
      <w:pPr>
        <w:pStyle w:val="FirstParagraph"/>
      </w:pPr>
      <w:r>
        <w:t xml:space="preserve">Our test for group structure rests on a single principle. A process that genuinely reorganizes a population into groups must leave a mark on every aspect of how pottery styles were copied, whereas a process that merely produces a similar pattern leaves a mark on some aspects and not others. The reorganization at issue is what we call the closure of interaction. Because it is central to the rest of the paper, we define it intensionally, by the conditions that constitute it rather than by listing cases</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come to copy mostly others within their own group and rarely anyone outside it, until a field of social learning that was once continuous breaks into separate pools that drift apart.</w:t>
      </w:r>
    </w:p>
    <w:p>
      <w:pPr>
        <w:pStyle w:val="BodyText"/>
      </w:pPr>
      <w:r>
        <w:t xml:space="preserve">Closure is the process a genuinely bounded interaction group undergoes. We treat its strength as a quantity to be tested for and measured. That strength varies from none, meaning one fully open field of learning, through partial, to complete, meaning sealed groups that do not interact. In the synthetic experiments below, we treat it as a parameter,</w:t>
      </w:r>
      <w:r>
        <w:t xml:space="preserve"> </w:t>
      </w:r>
      <w:r>
        <w:rPr>
          <w:i/>
          <w:iCs/>
        </w:rPr>
        <w:t xml:space="preserve">s</w:t>
      </w:r>
      <w:r>
        <w:t xml:space="preserve">, that runs from 0 (pure drift, no closure) to 1 (strongly bounded, sharply separated groups). Drift here means neutral drift, the random change in the frequencies of designs that arises when potters copy one another with no preference among designs. Four candidate signatures for closure follow, each a different consequence, and we state each in plain terms before naming its formal measure.</w:t>
      </w:r>
    </w:p>
    <w:p>
      <w:pPr>
        <w:pStyle w:val="BodyText"/>
      </w:pPr>
      <w:r>
        <w:t xml:space="preserve">The first signature asks whether potters copied at random or with a bias. Under random copying, two independent measures of an assemblage’s diversity agree. One is based on the chance that two randomly drawn sherds share a decorated class; the other on the number of classes present. Biased copying pulls them apart. Conformity, in which potters preferentially copy whatever is already common, concentrates sherds onto a few classes without eliminating the rare ones, so the first measure changes and the second barely does. A process that favors novelty does the reverse. Their disagreement detects a departure from random copying and gives its direction</w:t>
      </w:r>
      <w:r>
        <w:t xml:space="preserve"> </w:t>
      </w:r>
      <w:r>
        <w:t xml:space="preserve">(Neiman 1995; Shennan and Wilkinson 2001)</w:t>
      </w:r>
      <w:r>
        <w:t xml:space="preserve">. This matters here because a bounded group enforcing a shared decorative marker would copy in a conformist way right up to its boundaries, whereas a single drifting pool of styles would keep the two measures equal.</w:t>
      </w:r>
    </w:p>
    <w:p>
      <w:pPr>
        <w:pStyle w:val="BodyText"/>
      </w:pPr>
      <w:r>
        <w:t xml:space="preserve">The second signature asks whether the assemblages belong to one interacting community or to several. It is the most direct test of fragmentation. The signature rests on frequency seriation: ordering assemblages so each decorated class rises to a single peak and then decreases monotonically. This shape has long been known as a</w:t>
      </w:r>
      <w:r>
        <w:t xml:space="preserve"> </w:t>
      </w:r>
      <w:r>
        <w:t xml:space="preserve">“battleship curve”</w:t>
      </w:r>
      <w:r>
        <w:t xml:space="preserve"> </w:t>
      </w:r>
      <w:r>
        <w:t xml:space="preserve">(Dunnell 1970)</w:t>
      </w:r>
      <w:r>
        <w:t xml:space="preserve">. That shape is how styles behave within a community drawing on a shared pool of designs. They are introduced, become popular, and are abandoned. Classical practice pooled all assemblages into one seriation and dismissed departures from it as sampling error, discarding what is arguably the method’s most informative feature</w:t>
      </w:r>
      <w:r>
        <w:t xml:space="preserve"> </w:t>
      </w:r>
      <w:r>
        <w:t xml:space="preserve">(Lipo 2001)</w:t>
      </w:r>
      <w:r>
        <w:t xml:space="preserve">. A set of assemblages is co-seriable when a single ordering satisfies every class at once, which is what a single continuously interacting population produces. When learning splits into separate groups, each with its own repertoire, no single ordering can satisfy them all, and the assemblages break into mutually incompatible orderings whose number directly measures the structure of past interaction</w:t>
      </w:r>
      <w:r>
        <w:t xml:space="preserve"> </w:t>
      </w:r>
      <w:r>
        <w:t xml:space="preserve">(Lipo et al. 1997, 2015)</w:t>
      </w:r>
      <w:r>
        <w:t xml:space="preserve">. An assemblage that falls into several of them bridges sequences rather than forming the closed core of a bounded community.</w:t>
      </w:r>
    </w:p>
    <w:p>
      <w:pPr>
        <w:pStyle w:val="BodyText"/>
      </w:pPr>
      <w:r>
        <w:t xml:space="preserve">The third signature asks how much of the variation in decoration lies between groups rather than within them. Its measure is a cultural version of Wright’s</w:t>
      </w:r>
      <w:r>
        <w:t xml:space="preserve"> </w:t>
      </w:r>
      <m:oMath>
        <m:sSub>
          <m:e>
            <m:r>
              <m:t>F</m:t>
            </m:r>
          </m:e>
          <m:sub>
            <m:r>
              <m:t>S</m:t>
            </m:r>
            <m:r>
              <m:t>T</m:t>
            </m:r>
          </m:sub>
        </m:sSub>
      </m:oMath>
      <w:r>
        <w:t xml:space="preserve"> </w:t>
      </w:r>
      <w:r>
        <w:t xml:space="preserve">(Wright 1951)</w:t>
      </w:r>
      <w:r>
        <w:t xml:space="preserve">, a standard population-genetic index of how differentiated groups are from one another.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belong to different classes, and we compute the index both within each spatial group and across all assemblages pooled together.</w:t>
      </w:r>
      <w:r>
        <w:t xml:space="preserve"> </w:t>
      </w:r>
      <m:oMath>
        <m:sSub>
          <m:e>
            <m:r>
              <m:t>F</m:t>
            </m:r>
          </m:e>
          <m:sub>
            <m:r>
              <m:t>S</m:t>
            </m:r>
            <m:r>
              <m:t>T</m:t>
            </m:r>
          </m:sub>
        </m:sSub>
      </m:oMath>
      <w:r>
        <w:t xml:space="preserve"> </w:t>
      </w:r>
      <w:r>
        <w:t xml:space="preserve">is how much larger the pooled diversity is than the average within-group diversity, expressed as a fraction of the pooled diversity. When every assemblage draws from one shared, drifting pool of styles, pooling adds little diversity beyond what each group already holds, and</w:t>
      </w:r>
      <w:r>
        <w:t xml:space="preserve"> </w:t>
      </w:r>
      <m:oMath>
        <m:sSub>
          <m:e>
            <m:r>
              <m:t>F</m:t>
            </m:r>
          </m:e>
          <m:sub>
            <m:r>
              <m:t>S</m:t>
            </m:r>
            <m:r>
              <m:t>T</m:t>
            </m:r>
          </m:sub>
        </m:sSub>
      </m:oMath>
      <w:r>
        <w:t xml:space="preserve"> </w:t>
      </w:r>
      <w:r>
        <w:t xml:space="preserve">sits near zero. As groups come to favor distinct repertoires, the between-group share grows and</w:t>
      </w:r>
      <w:r>
        <w:t xml:space="preserve"> </w:t>
      </w:r>
      <m:oMath>
        <m:sSub>
          <m:e>
            <m:r>
              <m:t>F</m:t>
            </m:r>
          </m:e>
          <m:sub>
            <m:r>
              <m:t>S</m:t>
            </m:r>
            <m:r>
              <m:t>T</m:t>
            </m:r>
          </m:sub>
        </m:sSub>
      </m:oMath>
      <w:r>
        <w:t xml:space="preserve"> </w:t>
      </w:r>
      <w:r>
        <w:t xml:space="preserve">climbs</w:t>
      </w:r>
      <w:r>
        <w:t xml:space="preserve"> </w:t>
      </w:r>
      <w:r>
        <w:t xml:space="preserve">(Neiman 1995)</w:t>
      </w:r>
      <w:r>
        <w:t xml:space="preserve">. Here</w:t>
      </w:r>
      <w:r>
        <w:t xml:space="preserve"> </w:t>
      </w:r>
      <m:oMath>
        <m:sSub>
          <m:e>
            <m:r>
              <m:t>F</m:t>
            </m:r>
          </m:e>
          <m:sub>
            <m:r>
              <m:t>S</m:t>
            </m:r>
            <m:r>
              <m:t>T</m:t>
            </m:r>
          </m:sub>
        </m:sSub>
      </m:oMath>
      <w:r>
        <w:t xml:space="preserve"> </w:t>
      </w:r>
      <w:r>
        <w:t xml:space="preserve">is the most direct measure of how far decoration has sorted by group, with one important caveat.</w:t>
      </w:r>
    </w:p>
    <w:p>
      <w:pPr>
        <w:pStyle w:val="BodyText"/>
      </w:pPr>
      <w:r>
        <w:t xml:space="preserve">The caveat is that drift alone generates between-group variance when a population is spread across space. Subpopulations retain different levels of diversity depending on their size and connectivity. Small or sparsely connected areas drift toward depleted, idiosyncratic repertoires, while larger, well-connected ones remain richer. These differences can look like distinct interacting groups even though spatial position alone produces them</w:t>
      </w:r>
      <w:r>
        <w:t xml:space="preserve"> </w:t>
      </w:r>
      <w:r>
        <w:t xml:space="preserve">(Lipo et al. 2021)</w:t>
      </w:r>
      <w:r>
        <w:t xml:space="preserve">. Therefore, we must calibrate our measure against that spatial-drift null, the range of values that drift alone produces on a spatially structured population, rather than take it at face value.</w:t>
      </w:r>
    </w:p>
    <w:p>
      <w:pPr>
        <w:pStyle w:val="BodyText"/>
      </w:pPr>
      <w:r>
        <w:t xml:space="preserve">The fourth signature asks whether socially close assemblages are more alike than assemblages that are merely near one another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so that pairs of assemblages within a cluster are more alike than pairs across neighboring clusters spanning the same distance. We capture the step with a boundary-excess statistic, which a plain correlation of similarity with distance cannot isolate, with the caveat that drift on a finite network can itself produce a positive excess</w:t>
      </w:r>
      <w:r>
        <w:t xml:space="preserve"> </w:t>
      </w:r>
      <w:r>
        <w:t xml:space="preserve">(Lipo et al. 2021)</w:t>
      </w:r>
      <w:r>
        <w:t xml:space="preserve">. Full definitions of all four signatures are in the Supplemental Text.</w:t>
      </w:r>
    </w:p>
    <w:p>
      <w:pPr>
        <w:pStyle w:val="BodyText"/>
      </w:pPr>
      <w:r>
        <w:t xml:space="preserve">Each plausible alternative to a bounded interaction group drives only some of these signatures (Table 1). Environmental patchiness, in which similar people occupy distinct ecological zones, produces spatial structure without departing from neutral transmission and without losing seriation coherence. Aggregated conformity, the bottom-up regime in which a conformist bias flattens diversity within a single community, produces a departure from neutrality but no boundaries, so seriation stays coherent and between-group variance stays low. Smooth, deterministic drift with distance-limited interaction produces an isolation-by-distance cline</w:t>
      </w:r>
      <w:r>
        <w:t xml:space="preserve"> </w:t>
      </w:r>
      <w:r>
        <w:t xml:space="preserve">(Shennan et al. 2015; Wright 1943)</w:t>
      </w:r>
      <w:r>
        <w:t xml:space="preserve">. That pattern is a gradual fading of similarity with distance, as people interact mostly with near neighbors, and it lacks both the sharp boundaries and the departures from neutrality that mark restricted, assortative learning, in which potters preferentially copy members of their own group. A bounded interaction group, in which one assortative process restricts transmission along every dimension, is the only process that drives all four signatures together at full strength.</w:t>
      </w:r>
    </w:p>
    <w:p>
      <w:pPr>
        <w:pStyle w:val="BodyText"/>
      </w:pPr>
      <w:r>
        <w:t xml:space="preserve">Table 1 sets out this comparison in idealized form. Its last two columns also show why we cannot apply that logic directly to this record, as we discuss next. Because of these complications, we compare the two processes generatively instead, simulating neutral spatial drift and bounded groups alike on the real geography of the deposits. The simulations show which process reproduces the observed structure, and the signatures then serve as diagnostics of which one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that the process drives, and an open circle (○) marks one that it does not. Figure 2 shows the same expectations as simulated trajectories. The two drift columns, and the reason we do not apply this logic to the record as it stands, are explained in the text below. The final column reports the recovery experiment introduced later, which screens the four signatures against this record. What survives that screening is cultural</w:t>
      </w:r>
      <w:r>
        <w:t xml:space="preserve"> </w:t>
      </w:r>
      <m:oMath>
        <m:sSub>
          <m:e>
            <m:r>
              <m:t>F</m:t>
            </m:r>
          </m:e>
          <m:sub>
            <m:r>
              <m:t>S</m:t>
            </m:r>
            <m:r>
              <m:t>T</m:t>
            </m:r>
          </m:sub>
        </m:sSub>
      </m:oMath>
      <w:r>
        <w:t xml:space="preserve">, judged against the drift null, together with the generative comparison of drift with groups, not convergence across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conformity</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w:t>
            </w:r>
            <w:r>
              <w:t xml:space="preserve"> </w:t>
            </w:r>
            <m:oMath>
              <m:sSub>
                <m:e>
                  <m:r>
                    <m:t>F</m:t>
                  </m:r>
                </m:e>
                <m:sub>
                  <m:r>
                    <m:t>S</m:t>
                  </m:r>
                  <m:r>
                    <m:t>T</m:t>
                  </m:r>
                </m:sub>
              </m:sSub>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CaptionedFigure"/>
      </w:pPr>
      <w:r>
        <w:drawing>
          <wp:inline>
            <wp:extent cx="5334000" cy="4821752"/>
            <wp:effectExtent b="0" l="0" r="0" t="0"/>
            <wp:docPr descr="Figure 2. Idealized criterion validation. Four-signature ordinal trajectories under each of the four generative mechanisms on large, clean synthetic assemblages. Only a bounded interaction group drives all four together (starred), and none of the three resembling processes is identified as convergent across 500 random seeds (the bounded-groups case identified in 493 of 500, 95 percent interval 0.97 to 0.99, and none of the three identified at all, 95 percent upper bound 0.007). Inset: the signature-independence audit (mean absolute pairwise correlation among the four signatures), high under closure (about 0.88), and low under the three resembling processes (about 0.2). This shows that the convergence criterion works on idealized data. The recovery experiment reported below shows what survives at the record’s resolution." title="" id="120" name="Picture"/>
            <a:graphic>
              <a:graphicData uri="http://schemas.openxmlformats.org/drawingml/2006/picture">
                <pic:pic>
                  <pic:nvPicPr>
                    <pic:cNvPr descr="../../figures/fig2_validation.png" id="121" name="Picture"/>
                    <pic:cNvPicPr>
                      <a:picLocks noChangeArrowheads="1" noChangeAspect="1"/>
                    </pic:cNvPicPr>
                  </pic:nvPicPr>
                  <pic:blipFill>
                    <a:blip r:embed="rId119"/>
                    <a:stretch>
                      <a:fillRect/>
                    </a:stretch>
                  </pic:blipFill>
                  <pic:spPr bwMode="auto">
                    <a:xfrm>
                      <a:off x="0" y="0"/>
                      <a:ext cx="5334000" cy="4821752"/>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Idealized criterion validation. Four-signature ordinal trajectories under each of the four generative mechanisms on large, clean synthetic assemblages. Only a bounded interaction group drives all four together (starred), and none of the three resembling processes is identified as convergent across 500 random seeds (the bounded-groups case identified in 493 of 500, 95 percent interval 0.97 to 0.99, and none of the three identified at all, 95 percent upper bound 0.007). Inset: the signature-independence audit (mean absolute pairwise correlation among the four signatures), high under closure (about 0.88), and low under the three resembling processes (about 0.2). This shows that the convergence criterion works on idealized data. The recovery experiment reported below shows what survives at the record’s resolution.</w:t>
      </w:r>
    </w:p>
    <w:p>
      <w:pPr>
        <w:pStyle w:val="BodyText"/>
      </w:pPr>
      <w:r>
        <w:t xml:space="preserve">Figure 2 makes those expectations concrete. Simulating each process on large, clean assemblages and measuring all four signatures along the sequence shows a bounded interaction group moving all four together, and each of the other three drives a characteristic subset. That is the pattern the criterion looks for, shown before any question of whether this record could register it.</w:t>
      </w:r>
    </w:p>
    <w:p>
      <w:pPr>
        <w:pStyle w:val="BodyText"/>
      </w:pPr>
      <w:r>
        <w:t xml:space="preserve">The two drift columns illustrate the difficulty archaeologists face in detecting bounded groups. Smooth, deterministic isolation by distance produces only a decay of similarity with distance, and the distance-controlled boundary excess is near zero under it, so it drives none of the four signatures. Stochastic neutral drift on a finite network is less forgiving, because it generates patchy divergence that raises cultural</w:t>
      </w:r>
      <w:r>
        <w:t xml:space="preserve"> </w:t>
      </w:r>
      <m:oMath>
        <m:sSub>
          <m:e>
            <m:r>
              <m:t>F</m:t>
            </m:r>
          </m:e>
          <m:sub>
            <m:r>
              <m:t>S</m:t>
            </m:r>
            <m:r>
              <m:t>T</m:t>
            </m:r>
          </m:sub>
        </m:sSub>
      </m:oMath>
      <w:r>
        <w:t xml:space="preserve"> </w:t>
      </w:r>
      <w:r>
        <w:t xml:space="preserve">and registers as a positive boundary signature even without any social boundary. The result is a pattern that resembles group structure with no group present, and the record-matched controls, synthetic assemblages built to the record’s own sample sizes and geography, demonstrate it (see Results, Figure S2). Aggregated conformity, by contrast, raises the neutrality departure within a single undivided pool and forms none of the between-group boundaries that the other signatures require.</w:t>
      </w:r>
    </w:p>
    <w:p>
      <w:pPr>
        <w:pStyle w:val="BodyText"/>
      </w:pPr>
      <w:r>
        <w:t xml:space="preserve">If closure occurred, its effects would accumulate across the sequence. On idealized data, genuine convergence should take the form of a trajectory, a coherent shift of all four signatures in the same direction across the ordinal sequence of assemblages, concentrated where and when interaction narrows toward a bounded group. This logic is only as strong as the independence of the signatures, because four measures that merely repeat one another converge trivially. We therefore validate the test on simulated assemblages before applying it, and use the same simulations to ask whether the four signatures are tightly correlated under closure yet nearly independent under the alternatives, which is what would make their joint movement informative.</w:t>
      </w:r>
    </w:p>
    <w:p>
      <w:pPr>
        <w:pStyle w:val="BodyText"/>
      </w:pPr>
      <w:r>
        <w:t xml:space="preserve">This kind of convergence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We generalize his approach to our four measures to ensure dynamic sufficiency, a property we define below. Empirical sufficiency is a separate question. It asks whether all four signatures, or only some, can register closure on a record like ours. We settle it with a calibration test, in which we check what each signature can detect on synthetic data matched to the Parkin assemblages.</w:t>
      </w:r>
    </w:p>
    <w:p>
      <w:pPr>
        <w:pStyle w:val="BodyText"/>
      </w:pPr>
      <w:r>
        <w:t xml:space="preserve">The calibration takes the form of a recovery experiment. We build group closure of known, controlled strength into synthetic assemblages matched to the real record, then ask which signatures recover it and how strong the closure must be before it registers. Evaluating each signature against this record-matched standard, rather than an idealized expectation, lets us treat an absence of structure as a real result rather than a resolution failure. The Materials and Methods section and the Supplemental Text give the procedure and its parameters.</w:t>
      </w:r>
    </w:p>
    <w:p>
      <w:pPr>
        <w:pStyle w:val="BodyText"/>
      </w:pPr>
      <w:r>
        <w:t xml:space="preserve">Figure 3 previews what the test distinguishes. It shows the sharp structure that a bounded group would leave, set against the diffuse pattern that drift produces. Figure 3 also shows why a weak within-basin boundary cannot be excluded on a record of this size and degree of time-averaging.</w:t>
      </w:r>
    </w:p>
    <w:p>
      <w:pPr>
        <w:pStyle w:val="CaptionedFigure"/>
      </w:pPr>
      <w:r>
        <w:drawing>
          <wp:inline>
            <wp:extent cx="5334000" cy="4404980"/>
            <wp:effectExtent b="0" l="0" r="0" t="0"/>
            <wp:docPr descr="Figure 3. What the test distinguishes, and why the within-basin determination is hard, shown with synthetic assemblages matched to the record. Top: the basin assemblages in a multidimensional scaling of decorated dissimilarity, a two-dimensional map in which more similar assemblages sit closer together (points colored by the three spatial clusters the basin’s coordinates support, the same division used throughout), as they would appear if the Parkin phase were a bounded interaction group (left, sharp clusters), under spatially structured neutral drift (center, a continuous gradient), and as observed (right, a diffuse scatter that resembles drift). Bottom: the cultural F_{ST} signature recovered from synthetic assemblages as the strength of imposed group closure rises from 0 (drift) to 1 (strong groups). The dashed line shows the observed trend (-0.756): a rank correlation of F_{ST} with seriation position, not an F_{ST} value. The band around it is the -0.30 to +0.60 range that a single random subsample returns. The shaded vertical band is the 95 percent credible interval for the imposed closure strength given that observation (0.00 to 0.48, median 0.23), and it reaches from zero to moderate closure, which is why a weak within-basin boundary cannot be excluded at this record’s size and time-averaging." title="" id="123" name="Picture"/>
            <a:graphic>
              <a:graphicData uri="http://schemas.openxmlformats.org/drawingml/2006/picture">
                <pic:pic>
                  <pic:nvPicPr>
                    <pic:cNvPr descr="../../figures/fig3_concept.png" id="124" name="Picture"/>
                    <pic:cNvPicPr>
                      <a:picLocks noChangeArrowheads="1" noChangeAspect="1"/>
                    </pic:cNvPicPr>
                  </pic:nvPicPr>
                  <pic:blipFill>
                    <a:blip r:embed="rId122"/>
                    <a:stretch>
                      <a:fillRect/>
                    </a:stretch>
                  </pic:blipFill>
                  <pic:spPr bwMode="auto">
                    <a:xfrm>
                      <a:off x="0" y="0"/>
                      <a:ext cx="5334000" cy="4404980"/>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What the test distinguishes, and why the within-basin determination is hard, shown with synthetic assemblages matched to the record. Top: the basin assemblages in a multidimensional scaling of decorated dissimilarity, a two-dimensional map in which more similar assemblages sit closer together (points colored by the three spatial clusters the basin’s coordinates support, the same division used throughout), as they would appear if the Parkin phase were a bounded interaction group (left, sharp clusters), under spatially structured neutral drift (center, a continuous gradient), and as observed (right, a diffuse scatter that resembles drift). Bottom: the cultural</w:t>
      </w:r>
      <w:r>
        <w:t xml:space="preserve"> </w:t>
      </w:r>
      <m:oMath>
        <m:sSub>
          <m:e>
            <m:r>
              <m:t>F</m:t>
            </m:r>
          </m:e>
          <m:sub>
            <m:r>
              <m:t>S</m:t>
            </m:r>
            <m:r>
              <m:t>T</m:t>
            </m:r>
          </m:sub>
        </m:sSub>
      </m:oMath>
      <w:r>
        <w:t xml:space="preserve"> </w:t>
      </w:r>
      <w:r>
        <w:t xml:space="preserve">signature recovered from synthetic assemblages as the strength of imposed group closure rises from 0 (drift) to 1 (strong groups). The dashed line shows the observed trend (-0.756): a rank correlation of</w:t>
      </w:r>
      <w:r>
        <w:t xml:space="preserve"> </w:t>
      </w:r>
      <m:oMath>
        <m:sSub>
          <m:e>
            <m:r>
              <m:t>F</m:t>
            </m:r>
          </m:e>
          <m:sub>
            <m:r>
              <m:t>S</m:t>
            </m:r>
            <m:r>
              <m:t>T</m:t>
            </m:r>
          </m:sub>
        </m:sSub>
      </m:oMath>
      <w:r>
        <w:t xml:space="preserve"> </w:t>
      </w:r>
      <w:r>
        <w:t xml:space="preserve">with seriation position, not an</w:t>
      </w:r>
      <w:r>
        <w:t xml:space="preserve"> </w:t>
      </w:r>
      <m:oMath>
        <m:sSub>
          <m:e>
            <m:r>
              <m:t>F</m:t>
            </m:r>
          </m:e>
          <m:sub>
            <m:r>
              <m:t>S</m:t>
            </m:r>
            <m:r>
              <m:t>T</m:t>
            </m:r>
          </m:sub>
        </m:sSub>
      </m:oMath>
      <w:r>
        <w:t xml:space="preserve"> </w:t>
      </w:r>
      <w:r>
        <w:t xml:space="preserve">value. The band around it is the -0.30 to +0.60 range that a single random subsample returns. The shaded vertical band is the 95 percent credible interval for the imposed closure strength given that observation (0.00 to 0.48, median 0.23), and it reaches from zero to moderate closure, which is why a weak within-basin boundary cannot be excluded at this record’s size and time-averaging.</w:t>
      </w:r>
    </w:p>
    <w:p>
      <w:pPr>
        <w:pStyle w:val="BodyText"/>
      </w:pPr>
      <w:r>
        <w:t xml:space="preserve">A signature is trustworthy to the degree that it meets three conditions, which are usually treated separately. First, it should rest solidly on theory. Here, a cultural transmission model supplies its assumptions, so the signature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derive from the same cultural transmission model</w:t>
      </w:r>
      <w:r>
        <w:t xml:space="preserve"> </w:t>
      </w:r>
      <w:r>
        <w:t xml:space="preserve">(Lipo et al. 2015)</w:t>
      </w:r>
      <w:r>
        <w:t xml:space="preserve">. Second, it should be dynamically sufficient in Lewontin’s</w:t>
      </w:r>
      <w:r>
        <w:t xml:space="preserve"> </w:t>
      </w:r>
      <w:r>
        <w:t xml:space="preserve">(1974)</w:t>
      </w:r>
      <w:r>
        <w:t xml:space="preserve"> </w:t>
      </w:r>
      <w:r>
        <w:t xml:space="preserve">sense, meaning that its state variables and their transformation laws are enough to carry the system from one state to the next. Third, it should be empirically sufficient. This means that it matches the quality of the archaeological record and is defined at the time-averaged resolution the deposit preserves, rather than at a snapshot or generational resolution</w:t>
      </w:r>
      <w:r>
        <w:t xml:space="preserve"> </w:t>
      </w:r>
      <w:r>
        <w:t xml:space="preserve">(Holdaway and Wandsnider 2008; Perreault 2019)</w:t>
      </w:r>
      <w:r>
        <w:t xml:space="preserve">.</w:t>
      </w:r>
    </w:p>
    <w:p>
      <w:pPr>
        <w:pStyle w:val="BodyText"/>
      </w:pPr>
      <w:r>
        <w:t xml:space="preserve">The transmission model thus supports our four signatures on theoretical and dynamic grounds. Empirical sufficiency, whether a signature can actually register closure at the resolution the deposit preserves, does not follow from that framing, and we must test it rather than assume it. As we describe below, on this record’s 43 time-averaged assemblages only cultural</w:t>
      </w:r>
      <w:r>
        <w:t xml:space="preserve"> </w:t>
      </w:r>
      <m:oMath>
        <m:sSub>
          <m:e>
            <m:r>
              <m:t>F</m:t>
            </m:r>
          </m:e>
          <m:sub>
            <m:r>
              <m:t>S</m:t>
            </m:r>
            <m:r>
              <m:t>T</m:t>
            </m:r>
          </m:sub>
        </m:sSub>
      </m:oMath>
      <w:r>
        <w:t xml:space="preserve"> </w:t>
      </w:r>
      <w:r>
        <w:t xml:space="preserve">registers the imposed closure, and even then it must be compared against the stochastic-drift null rather than against zero. Seriation-coherence breakdown, which only a bounded group drives in principle, is the cleanest discriminator on paper yet undetectable here. Measured as states along the sequence, the signatures are only partially dynamically sufficient, a shortcoming we address in the Discussion with tests that model the transformation between states.</w:t>
      </w:r>
    </w:p>
    <w:bookmarkEnd w:id="125"/>
    <w:bookmarkStart w:id="134" w:name="materials-and-methods"/>
    <w:p>
      <w:pPr>
        <w:pStyle w:val="Heading2"/>
      </w:pPr>
      <w:r>
        <w:t xml:space="preserve">Materials and methods</w:t>
      </w:r>
    </w:p>
    <w:bookmarkStart w:id="129" w:name="data"/>
    <w:p>
      <w:pPr>
        <w:pStyle w:val="Heading3"/>
      </w:pPr>
      <w:r>
        <w:t xml:space="preserve">Data</w:t>
      </w:r>
    </w:p>
    <w:p>
      <w:pPr>
        <w:pStyle w:val="FirstParagraph"/>
      </w:pPr>
      <w:r>
        <w:t xml:space="preserve">The ceramic data are decorated-class counts from the Lower Mississippi Valley Survey collections of Phillips, Ford, and Griffin</w:t>
      </w:r>
      <w:r>
        <w:t xml:space="preserve"> </w:t>
      </w:r>
      <w:r>
        <w:t xml:space="preserve">(1951)</w:t>
      </w:r>
      <w:r>
        <w:t xml:space="preserve">, with additions from Mainfort</w:t>
      </w:r>
      <w:r>
        <w:t xml:space="preserve"> </w:t>
      </w:r>
      <w:r>
        <w:t xml:space="preserve">(1996a)</w:t>
      </w:r>
      <w:r>
        <w:t xml:space="preserve"> </w:t>
      </w:r>
      <w:r>
        <w:t xml:space="preserve">and from our own collections reported in Lipo</w:t>
      </w:r>
      <w:r>
        <w:t xml:space="preserve"> </w:t>
      </w:r>
      <w:r>
        <w:t xml:space="preserve">(2001)</w:t>
      </w:r>
      <w:r>
        <w:t xml:space="preserve">. The assemblages in this study underlie the original phase definitions, amended with additional locations and evaluated for statistical sufficiency. We use only the decorated classes, as these are the stylistic variants the analysis concerns; plain wares are excluded. Ten classes remain, one of which pools Barton Incised, Kent Incised, and Mound Place Incised. Where more than one project counted an assemblage, we sum the counts rather than choose between them, which raises the sherd totals that frequency seriation and the drift calibration both require. Of the 55 assemblages in the merged matrix, 35 carry Mainfort’s counts alone, 19 sum his with ours, and one is ours alone; seven include controlled surface collections and limited excavation carried out in 1996 and 1997, six of them recollections of sites the original survey had sampled</w:t>
      </w:r>
      <w:r>
        <w:t xml:space="preserve"> </w:t>
      </w:r>
      <w:r>
        <w:t xml:space="preserve">(Lipo 2001)</w:t>
      </w:r>
      <w:r>
        <w:t xml:space="preserve">. The broader 266-assemblage compilation of the survey’s counts</w:t>
      </w:r>
      <w:r>
        <w:t xml:space="preserve"> </w:t>
      </w:r>
      <w:r>
        <w:t xml:space="preserve">(Lipo 2001)</w:t>
      </w:r>
      <w:r>
        <w:t xml:space="preserve"> </w:t>
      </w:r>
      <w:r>
        <w:t xml:space="preserve">enters only the regional comparisons and the settlement cross-checks. Each decorated class is a culture-history type, that is, a unit of measurement the analysts built to capture stylistic variation, rather than a category assumed to have existed in the past.</w:t>
      </w:r>
    </w:p>
    <w:p>
      <w:pPr>
        <w:pStyle w:val="BodyText"/>
      </w:pPr>
      <w:r>
        <w:t xml:space="preserve">We restrict the analysis to the phases of the St. Francis basin, the setting of Parkin. The unit under test is the phase scheme itself, so membership is phase membership: an assemblage enters the analysis when Mainfort</w:t>
      </w:r>
      <w:r>
        <w:t xml:space="preserve"> </w:t>
      </w:r>
      <w:r>
        <w:t xml:space="preserve">(1996b)</w:t>
      </w:r>
      <w:r>
        <w:t xml:space="preserve"> </w:t>
      </w:r>
      <w:r>
        <w:t xml:space="preserve">assigns it to one of the five phases named above, which yields 34 decorated assemblages with 34,745 decorated sherds (median 543 per assemblage, range 50 to 4,798). As drawn, these phases spill beyond the drainage that names them; the farthest member sits 41.2 km from the St. Francis system, and a 20 km corridor around that drainage would both admit five assemblages Mainfort places in no phase and exclude nine that carry a phase label. A stricter rule, keeping only phase members nearer the St. Francis system than the Mississippi, yields 15. The verdict reported below is the same under both definitions. Two southern St. Francis-type sites, Old Town and Blanchard, fall outside the drainage rule. They lie 28 and 80 km from the St. Francis system and belong to the Mississippi-proximal and lower Yazoo settings rather than to the St. Francis drainage.</w:t>
      </w:r>
    </w:p>
    <w:p>
      <w:pPr>
        <w:pStyle w:val="BodyText"/>
      </w:pPr>
      <w:r>
        <w:t xml:space="preserve">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Our test investigates how far interaction narrowed anywhere in the basin, that is, how far potters came to copy mainly within a group and rarely across its edge. We explore this question across the phase divisions that culture history draws within the basin, and within the Parkin phase itself.</w:t>
      </w:r>
    </w:p>
    <w:p>
      <w:pPr>
        <w:pStyle w:val="BodyText"/>
      </w:pPr>
      <w:r>
        <w:t xml:space="preserve">We georeferenced each assemblage from maps in the Lower Mississippi Survey site files. Settlement attributes, namely site size, mound count and height, and the presence of defensive ditches and St. Francis-type fortification, come from a regional geographic database</w:t>
      </w:r>
      <w:r>
        <w:t xml:space="preserve"> </w:t>
      </w:r>
      <w:r>
        <w:t xml:space="preserve">(Lipo and Dunnell 2007)</w:t>
      </w:r>
      <w:r>
        <w:t xml:space="preserve">.</w:t>
      </w:r>
    </w:p>
    <w:p>
      <w:pPr>
        <w:pStyle w:val="BodyText"/>
      </w:pPr>
      <w:r>
        <w:t xml:space="preserve">Two properties of the data limit what any transmission analysis can claim, and we treat them as constraints rather than nuisances. First, the assemblages are time-averaged surface collections. Each is a sample from pottery that accumulated over the whole use-life of its deposit, so sherds made at different times are counted together. This kind of aggregation distorts diversity and neutrality statistics in proportion to the mean lifetime of the variants</w:t>
      </w:r>
      <w:r>
        <w:t xml:space="preserve"> </w:t>
      </w:r>
      <w:r>
        <w:t xml:space="preserve">(Madsen 2012; Miller-Atkins and Premo 2018)</w:t>
      </w:r>
      <w:r>
        <w:t xml:space="preserve">. Second, the expectations of the neutral model, in which learners copy variants in proportion to their current frequency and no variant is favored, are derived for a population of people copying one another. An assemblage counts durable objects, the sherds themselves, not the potters who made them. Because the record is object-mediated rather than person-mediated, the standard neutral expectation does not apply exactly and must be interpreted with that caveat in mind</w:t>
      </w:r>
      <w:r>
        <w:t xml:space="preserve"> </w:t>
      </w:r>
      <w:r>
        <w:t xml:space="preserve">(Crema et al. 2024)</w:t>
      </w:r>
      <w:r>
        <w:t xml:space="preserve">.</w:t>
      </w:r>
    </w:p>
    <w:p>
      <w:pPr>
        <w:pStyle w:val="BodyText"/>
      </w:pPr>
      <w:r>
        <w:t xml:space="preserve">An absolute chronology is also required. Mainfort’s</w:t>
      </w:r>
      <w:r>
        <w:t xml:space="preserve"> </w:t>
      </w:r>
      <w:r>
        <w:t xml:space="preserve">(2001)</w:t>
      </w:r>
      <w:r>
        <w:t xml:space="preserve"> </w:t>
      </w:r>
      <w:r>
        <w:t xml:space="preserve">compilation provides 108 radiocarbon determinations for this part of the Mississippi Valley, 40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and show a decline across the contact interval, as detailed in the Supplemental Text (summed-probability median AD 1428, Parkin AD 1483).</w:t>
      </w:r>
    </w:p>
    <w:p>
      <w:pPr>
        <w:pStyle w:val="BodyText"/>
      </w:pPr>
      <w:r>
        <w:t xml:space="preserve">A calibration plateau across that interval prevents year-scale resolution</w:t>
      </w:r>
      <w:r>
        <w:t xml:space="preserve"> </w:t>
      </w:r>
      <w:r>
        <w:t xml:space="preserve">(Holland-Lulewicz and Ritchison 2021)</w:t>
      </w:r>
      <w:r>
        <w:t xml:space="preserve">, so we order the assemblages by seriation rather than by calendar age. Seriation orders assemblages by the similarity of their class frequencies, so that the order reflects relative age rather than calendar years. We use the first axis of a correspondence analysis for this purpose</w:t>
      </w:r>
      <w:r>
        <w:t xml:space="preserve"> </w:t>
      </w:r>
      <w:r>
        <w:t xml:space="preserve">(Baxter 1994; Peeples and Schachner 2012; Smith and Neiman 2007)</w:t>
      </w:r>
      <w:r>
        <w:t xml:space="preserve">. This ordination arranges assemblages along axes that summarize the differences among their decorated-class frequencies. We treat the first axis as a relative chronological ordinate, oriented so that higher positions correspond to later time (Figure 4).</w:t>
      </w:r>
    </w:p>
    <w:p>
      <w:pPr>
        <w:pStyle w:val="BodyText"/>
      </w:pPr>
      <w:r>
        <w:t xml:space="preserve">The seriation axis tracks calendar time, but imperfectly. Pooling the dates of the five proveniences that match curated assemblages, the median calibrated ages correlate with seriation position at Spearman +0.70 (n = 5, 27 dates pooled). Four of the five sites fall in calendrical order, with one late-dated site deviating. We test an ordinal trajectory, not a calendrical rate. The discriminating quantity is the trend in cultural</w:t>
      </w:r>
      <w:r>
        <w:t xml:space="preserve"> </w:t>
      </w:r>
      <m:oMath>
        <m:sSub>
          <m:e>
            <m:r>
              <m:t>F</m:t>
            </m:r>
          </m:e>
          <m:sub>
            <m:r>
              <m:t>S</m:t>
            </m:r>
            <m:r>
              <m:t>T</m:t>
            </m:r>
          </m:sub>
        </m:sSub>
      </m:oMath>
      <w:r>
        <w:t xml:space="preserve"> </w:t>
      </w:r>
      <w:r>
        <w:t xml:space="preserve">along the sequence after subsampling each assemblage to a common sherd count. That trend is a signed rank correlation, so reversing the axis reverses the sign of the trend. Because the trend is negligible after subsampling, its orientation does not change the verdict. We run the spatial simulations below under the two orientations and return to both limits in the discussion.</w:t>
      </w:r>
    </w:p>
    <w:p>
      <w:pPr>
        <w:pStyle w:val="CaptionedFigure"/>
      </w:pPr>
      <w:r>
        <w:drawing>
          <wp:inline>
            <wp:extent cx="5334000" cy="3639186"/>
            <wp:effectExtent b="0" l="0" r="0" t="0"/>
            <wp:docPr descr="Figure 4. Correspondence-analysis seriation of the 43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127" name="Picture"/>
            <a:graphic>
              <a:graphicData uri="http://schemas.openxmlformats.org/drawingml/2006/picture">
                <pic:pic>
                  <pic:nvPicPr>
                    <pic:cNvPr descr="../../figures/fig4_ca_ordination.png" id="128" name="Picture"/>
                    <pic:cNvPicPr>
                      <a:picLocks noChangeArrowheads="1" noChangeAspect="1"/>
                    </pic:cNvPicPr>
                  </pic:nvPicPr>
                  <pic:blipFill>
                    <a:blip r:embed="rId126"/>
                    <a:stretch>
                      <a:fillRect/>
                    </a:stretch>
                  </pic:blipFill>
                  <pic:spPr bwMode="auto">
                    <a:xfrm>
                      <a:off x="0" y="0"/>
                      <a:ext cx="5334000" cy="3639186"/>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Correspondence-analysis seriation of the 43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129"/>
    <w:bookmarkStart w:id="130" w:name="the-four-signatures"/>
    <w:p>
      <w:pPr>
        <w:pStyle w:val="Heading3"/>
      </w:pPr>
      <w:r>
        <w:t xml:space="preserve">The four signatures</w:t>
      </w:r>
    </w:p>
    <w:p>
      <w:pPr>
        <w:pStyle w:val="FirstParagraph"/>
      </w:pPr>
      <w:r>
        <w:t xml:space="preserve">Each signature is computed with a published or standard estimator, stated in full in the Supplemental Text, and the four are combined only at the final step. Departure from neutral transmission is the ratio of two estimates of Neiman’s</w:t>
      </w:r>
      <w:r>
        <w:t xml:space="preserve"> </w:t>
      </w:r>
      <w:r>
        <w:t xml:space="preserve">(1995)</w:t>
      </w:r>
      <w:r>
        <w:t xml:space="preserve"> </w:t>
      </w:r>
      <w:r>
        <w:t xml:space="preserve">transmission parameter, one from an assemblage’s unbiased homozygosity and one from its number of classes through the Ewens sampling formula</w:t>
      </w:r>
      <w:r>
        <w:t xml:space="preserve"> </w:t>
      </w:r>
      <w:r>
        <w:t xml:space="preserve">(1972; Shennan and Wilkinson 2001)</w:t>
      </w:r>
      <w:r>
        <w:t xml:space="preserve">. The two agree under random copying and diverge under bias. Seriation coherence is the number of maximal co-seriable groups returned by the iterative deterministic method of Lipo, Madsen, and Dunnell</w:t>
      </w:r>
      <w:r>
        <w:t xml:space="preserve"> </w:t>
      </w:r>
      <w:r>
        <w:t xml:space="preserve">(2015)</w:t>
      </w:r>
      <w:r>
        <w:t xml:space="preserve">, together with the number of groups each assemblage joins. We confirm that the fragmented, overlapping topology is stable across thresholds. The variance partition is cultural</w:t>
      </w:r>
      <w:r>
        <w:t xml:space="preserve"> </w:t>
      </w:r>
      <m:oMath>
        <m:sSub>
          <m:e>
            <m:r>
              <m:t>F</m:t>
            </m:r>
          </m:e>
          <m:sub>
            <m:r>
              <m:t>S</m:t>
            </m:r>
            <m:r>
              <m:t>T</m:t>
            </m:r>
          </m:sub>
        </m:sSub>
      </m:oMath>
      <w:r>
        <w:t xml:space="preserve"> </w:t>
      </w:r>
      <w:r>
        <w:t xml:space="preserve">computed on Gini-Simpson diversity, the probability that two sherds drawn at random belong to different classes, across the spatial clusters and weighted by assemblage size</w:t>
      </w:r>
      <w:r>
        <w:t xml:space="preserve"> </w:t>
      </w:r>
      <w:r>
        <w:t xml:space="preserve">(Bell et al. 2009)</w:t>
      </w:r>
      <w:r>
        <w:t xml:space="preserve">. We compute spatial assortativity using Brainerd-Robinson similarity</w:t>
      </w:r>
      <w:r>
        <w:t xml:space="preserve"> </w:t>
      </w:r>
      <w:r>
        <w:t xml:space="preserve">(Brainerd 1951; Robinson 1951)</w:t>
      </w:r>
      <w:r>
        <w:t xml:space="preserve">, a standard index of class proportions that runs from 0 for no overlap to 200 for identical proportions. Because a plain similarity-distance correlation cannot separate a sharp boundary from smooth decay, we also compute the distance-controlled boundary excess, the loss of similarity across a boundary beyond what distance alone predicts.</w:t>
      </w:r>
    </w:p>
    <w:p>
      <w:pPr>
        <w:pStyle w:val="BodyText"/>
      </w:pPr>
      <w:r>
        <w:t xml:space="preserve">A between-cluster</w:t>
      </w:r>
      <w:r>
        <w:t xml:space="preserve"> </w:t>
      </w:r>
      <m:oMath>
        <m:sSub>
          <m:e>
            <m:r>
              <m:t>F</m:t>
            </m:r>
          </m:e>
          <m:sub>
            <m:r>
              <m:t>S</m:t>
            </m:r>
            <m:r>
              <m:t>T</m:t>
            </m:r>
          </m:sub>
        </m:sSub>
      </m:oMath>
      <w:r>
        <w:t xml:space="preserve"> </w:t>
      </w:r>
      <w:r>
        <w:t xml:space="preserve">also depends on how many clusters the basin is divided into, and that dependence is itself a result we report (Supplemental Text). For that reason, we also fit a partition-free model that treats decorated-class composition as a continuous spatial field over the assemblage coordinates and asks how much variation among assemblages is spatially structured and how much is specific to individual sites. Bounded groups produce site-specific character that geography does not explain, so the division between spatially structured variation and site-specific variation is exactly what decides the question. The Supplemental Text describes the model, its priors, and its diagnostics.</w:t>
      </w:r>
    </w:p>
    <w:p>
      <w:pPr>
        <w:pStyle w:val="BodyText"/>
      </w:pPr>
      <w:r>
        <w:t xml:space="preserve">Two safeguards are essential before interpreting any of these signatures. Assemblage sample size trends with seriation position (Spearman’s rho = +0.59), and several estimators are size-sensitive, so a signature could move along the sequence through sampling alone. We subsample every assemblage to a common count of 50 sherds, drawn without replacement, a procedure known as rarefaction</w:t>
      </w:r>
      <w:r>
        <w:t xml:space="preserve"> </w:t>
      </w:r>
      <w:r>
        <w:t xml:space="preserve">(Hurlbert 1971)</w:t>
      </w:r>
      <w:r>
        <w:t xml:space="preserve">, before scoring each signature as its rank correlation with ordinal position. The second safeguard is that we do not assume which signatures are trustworthy at the record’s resolution. We establish this through the recovery experiment described next, in which we impose a known degree of closure on the real configuration.</w:t>
      </w:r>
    </w:p>
    <w:bookmarkEnd w:id="130"/>
    <w:bookmarkStart w:id="131" w:name="criterion-validation-by-simulation"/>
    <w:p>
      <w:pPr>
        <w:pStyle w:val="Heading3"/>
      </w:pPr>
      <w:r>
        <w:t xml:space="preserve">Criterion validation by simulation</w:t>
      </w:r>
    </w:p>
    <w:p>
      <w:pPr>
        <w:pStyle w:val="FirstParagraph"/>
      </w:pPr>
      <w:r>
        <w:t xml:space="preserve">We ran three simulations, each answering a different question. The first, an idealized validation, asks whether, using large, clean synthetic assemblages, the four signatures can in principle separate a bounded interaction group from the three processes that can resemble it but are not bounded groups and can move some of the same signatures (Figure 2). The second, a record-matched recovery, asks which of those signatures can still detect a known, imposed closure once the synthetic assemblages match the real record’s sample sizes and time-averaging (Figure 5). The third, a positive control, asks which generative process, neutral spatial drift (class frequencies wandering through unbiased copying among neighbors) or bounded groups, reproduces the structure actually observed in the basin (Figure S2). Together, the first two establish what the test can resolve on a record of this size, and the third identifies which process the data match. We describe the validation and the recovery experiment here, and the drift comparison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It has three tunable controls: the between-group divergence of class profiles, the strength of within-group conformity, and a spatial rule that places group profiles on the landscape. Four generators produce the four idealized processes of Table 1. These include a bounded interaction group and three processes that can resemble it. These processes consist of environmental patchiness, aggregated conformity, and smooth distance-limited drift</w:t>
      </w:r>
      <w:r>
        <w:t xml:space="preserve"> </w:t>
      </w:r>
      <w:r>
        <w:t xml:space="preserve">(Mesoudi 2021)</w:t>
      </w:r>
      <w:r>
        <w:t xml:space="preserve">. We ran the simulation blind through the four-signature procedure across 500 random seeds. The Results report what it found. Because it uses large, clean assemblages, the idealized validation shows what the test can do in principle, not what it can do on a record like ours.</w:t>
      </w:r>
    </w:p>
    <w:p>
      <w:pPr>
        <w:pStyle w:val="BodyText"/>
      </w:pPr>
      <w:r>
        <w:t xml:space="preserve">The record-matched recovery builds synthetic pottery records in which we set how strongly group structure is emerging, from none to strong, and asks whether our four measures can detect it. We matched the synthetic records to the real ones in the number of assemblages, the range of sample sizes, and the time-averaging that surface assemblages impose</w:t>
      </w:r>
      <w:r>
        <w:t xml:space="preserve"> </w:t>
      </w:r>
      <w:r>
        <w:t xml:space="preserve">(Madsen 2012; Miller-Atkins and Premo 2018; Premo 2014)</w:t>
      </w:r>
      <w:r>
        <w:t xml:space="preserve">. This experiment tells us whether methods like ours, applied to data like ours, would have caught a chiefdom structure that was genuinely emerging at Parkin.</w:t>
      </w:r>
    </w:p>
    <w:p>
      <w:pPr>
        <w:pStyle w:val="BodyText"/>
      </w:pPr>
      <w:r>
        <w:t xml:space="preserve">Concretely, we generated one synthetic assemblage per real assemblage, at the real per-assemblage sample sizes, spatial clusters, and ordinal bins. We built group closure of known, adjustable strength</w:t>
      </w:r>
      <w:r>
        <w:t xml:space="preserve"> </w:t>
      </w:r>
      <w:r>
        <w:rPr>
          <w:i/>
          <w:iCs/>
        </w:rPr>
        <w:t xml:space="preserve">s</w:t>
      </w:r>
      <w:r>
        <w:t xml:space="preserve"> </w:t>
      </w:r>
      <w:r>
        <w:t xml:space="preserve">into these, with between-group divergence and within-group conformity rising together along the sequence to a maximum of</w:t>
      </w:r>
      <w:r>
        <w:t xml:space="preserve"> </w:t>
      </w:r>
      <w:r>
        <w:rPr>
          <w:i/>
          <w:iCs/>
        </w:rPr>
        <w:t xml:space="preserve">s</w:t>
      </w:r>
      <w:r>
        <w:t xml:space="preserve">. At</w:t>
      </w:r>
      <w:r>
        <w:t xml:space="preserve"> </w:t>
      </w:r>
      <w:r>
        <w:rPr>
          <w:i/>
          <w:iCs/>
        </w:rPr>
        <w:t xml:space="preserve">s</w:t>
      </w:r>
      <w:r>
        <w:t xml:space="preserve"> </w:t>
      </w:r>
      <w:r>
        <w:t xml:space="preserve">= 0, every cluster and bin shares one fixed class-frequency profile and differs only through sampling. This baseline is a sampling null rather than an evolving spatial-drift field, and the drift comparison in the next subsection supplies the latter. We then asked which signatures recover that imposed closure. This is a record-matched recovery design in the spirit of simulation-based inference calibrated to the data at hand</w:t>
      </w:r>
      <w:r>
        <w:t xml:space="preserve"> </w:t>
      </w:r>
      <w:r>
        <w:t xml:space="preserve">(Crema et al. 2014; Kandler and Shennan 2015)</w:t>
      </w:r>
      <w:r>
        <w:t xml:space="preserve">.</w:t>
      </w:r>
    </w:p>
    <w:p>
      <w:pPr>
        <w:pStyle w:val="BodyText"/>
      </w:pPr>
      <w:r>
        <w:t xml:space="preserve">Two properties of the record make this design necessary. First, assemblage size trends with seriation position, as noted above, so a size-dependent estimator can move along the axis through sampling alone. We subsample every assemblage, synthetic and real, to a common count before scoring. Second, we time-average the assemblages by blending adjacent-bin production within a window. The recovery experiment then asks, at the resolution and sample sizes this record preserves, which signatures we can trust and how strong a closure would need to be to register.</w:t>
      </w:r>
    </w:p>
    <w:p>
      <w:pPr>
        <w:pStyle w:val="BodyText"/>
      </w:pPr>
      <w:r>
        <w:t xml:space="preserve">One aspect of the calibration matters here. Subsampling the larger, later assemblages to a common count slightly inflates within-cluster diversity and so depresses</w:t>
      </w:r>
      <w:r>
        <w:t xml:space="preserve"> </w:t>
      </w:r>
      <m:oMath>
        <m:sSub>
          <m:e>
            <m:r>
              <m:t>F</m:t>
            </m:r>
          </m:e>
          <m:sub>
            <m:r>
              <m:t>S</m:t>
            </m:r>
            <m:r>
              <m:t>T</m:t>
            </m:r>
          </m:sub>
        </m:sSub>
      </m:oMath>
      <w:r>
        <w:t xml:space="preserve"> </w:t>
      </w:r>
      <w:r>
        <w:t xml:space="preserve">toward later positions. As a result, the null with no closure (pure drift) itself carries a mild negative trend rather than a flat zero. Rather than build a significance test against that null, we treat the simulations themselves as the likelihood. For each imposed strength, the simulations give the distribution of trajectory statistics that strength produces, and the observed statistic then yields a posterior over strength. The imposed strength</w:t>
      </w:r>
      <w:r>
        <w:t xml:space="preserve"> </w:t>
      </w:r>
      <w:r>
        <w:rPr>
          <w:i/>
          <w:iCs/>
        </w:rPr>
        <w:t xml:space="preserve">s</w:t>
      </w:r>
      <w:r>
        <w:t xml:space="preserve"> </w:t>
      </w:r>
      <w:r>
        <w:t xml:space="preserve">is a parameter. For each</w:t>
      </w:r>
      <w:r>
        <w:t xml:space="preserve"> </w:t>
      </w:r>
      <w:r>
        <w:rPr>
          <w:i/>
          <w:iCs/>
        </w:rPr>
        <w:t xml:space="preserve">s</w:t>
      </w:r>
      <w:r>
        <w:t xml:space="preserve">, our simulations give the distribution of the trajectory statistic it produces, and the observed statistic yields a posterior over</w:t>
      </w:r>
      <w:r>
        <w:t xml:space="preserve"> </w:t>
      </w:r>
      <w:r>
        <w:rPr>
          <w:i/>
          <w:iCs/>
        </w:rPr>
        <w:t xml:space="preserve">s</w:t>
      </w:r>
      <w:r>
        <w:t xml:space="preserve"> </w:t>
      </w:r>
      <w:r>
        <w:t xml:space="preserve">under a uniform prior over the imposed range. No threshold or error rate is involved in our evaluation. The posterior refers to closure expressed as this imposed trajectory of increasing divergence. A stable boundary present from the start of the sequence would not produce a rising trend. Instead, the drift comparison addresses that case.</w:t>
      </w:r>
    </w:p>
    <w:bookmarkEnd w:id="131"/>
    <w:bookmarkStart w:id="132"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Our neutral spatial-drift model follows the finite-population network model of Lipo, DiNapoli, Madsen, and Hunt</w:t>
      </w:r>
      <w:r>
        <w:t xml:space="preserve"> </w:t>
      </w:r>
      <w:r>
        <w:t xml:space="preserve">(2021)</w:t>
      </w:r>
      <w:r>
        <w:t xml:space="preserve">. Each assemblage is a node that holds a finite population of learners. Learners copy decorated-class variants from within their node and, at a low rate, from other nodes, with a probability that decays with along-river distance. Innovation enters at a constant per-learner rate within the fixed set of measured classes, and deposition is pooled over a trailing window to reproduce the record’s time-averaging. The bounded-groups model is identical except that every copying weight crossing a specified boundary is multiplied by a number between 1 (no boundary, weights unchanged) and 0.03 (a strong boundary, weights cut to three percent). Both models use the observed coordinate layout, are sampled at each assemblage’s seriation position, and are subsampled to the observed per-assemblage sherd totals. We score each simulation on spatial-cluster and community cultural</w:t>
      </w:r>
      <w:r>
        <w:t xml:space="preserve"> </w:t>
      </w:r>
      <m:oMath>
        <m:sSub>
          <m:e>
            <m:r>
              <m:t>F</m:t>
            </m:r>
          </m:e>
          <m:sub>
            <m:r>
              <m:t>S</m:t>
            </m:r>
            <m:r>
              <m:t>T</m:t>
            </m:r>
          </m:sub>
        </m:sSub>
      </m:oMath>
      <w:r>
        <w:t xml:space="preserve">, network modularity (the degree to which a similarity network divides into densely connected groups), distance-decay similarity, and distance-controlled boundary excess.</w:t>
      </w:r>
    </w:p>
    <w:p>
      <w:pPr>
        <w:pStyle w:val="BodyText"/>
      </w:pPr>
      <w:r>
        <w:t xml:space="preserve">Two design decisions separate this comparison from the one we first ran and from most published neutral-model comparisons. The first concerns what a class is. Under the standard K-allele assumption, an innovating learner adopts any measured class with equal probability, which treats the ten culture-history types as exchangeable variants. We also run a version in which innovation lands in each class in proportion to that class’s share of the region’s pooled counts, which reflects the unequal numbers of decorative variants the types aggregate.</w:t>
      </w:r>
    </w:p>
    <w:p>
      <w:pPr>
        <w:pStyle w:val="BodyText"/>
      </w:pPr>
      <w:r>
        <w:t xml:space="preserve">The second decision is calibration. This step involves tuning a model’s parameters so it reproduces the data features that do not involve the question being tested. A drift model’s between-group predictions depend jointly on population size, mixing, and innovation. Before comparing any between-group statistic, we calibrate each model to three within-assemblage summaries that do not involve the tested partition. These are mean within-assemblage diversity, mean class richness at the observed sherd totals, and pooled diversity. We simulate a grid of population size, innovation, and mixing and call a combination diversity-matched when all three summaries fall within 10 percent of the observed values. As a baseline, we use whichever diversity-matched parameter combination produces the highest</w:t>
      </w:r>
      <w:r>
        <w:t xml:space="preserve"> </w:t>
      </w:r>
      <m:oMath>
        <m:sSub>
          <m:e>
            <m:r>
              <m:t>F</m:t>
            </m:r>
          </m:e>
          <m:sub>
            <m:r>
              <m:t>S</m:t>
            </m:r>
            <m:r>
              <m:t>T</m:t>
            </m:r>
          </m:sub>
        </m:sSub>
      </m:oMath>
      <w:r>
        <w:t xml:space="preserve"> </w:t>
      </w:r>
      <w:r>
        <w:t xml:space="preserve">across the partition being tested, so the comparison favors drift. The baseline runs 500 realizations, and around it we run the boundary strengths, two interaction lengths, and seven sensitivity cases (Supplemental Text). For each comparison, we report where the observed value falls in the calibrated model’s predictive distribution, as the fraction of simulated datasets that reach it, under the seriation order, its reverse, and a contemporaneous sampling scheme.</w:t>
      </w:r>
    </w:p>
    <w:bookmarkEnd w:id="132"/>
    <w:bookmarkStart w:id="133" w:name="external-cross-check"/>
    <w:p>
      <w:pPr>
        <w:pStyle w:val="Heading3"/>
      </w:pPr>
      <w:r>
        <w:t xml:space="preserve">External cross-check</w:t>
      </w:r>
    </w:p>
    <w:p>
      <w:pPr>
        <w:pStyle w:val="FirstParagraph"/>
      </w:pPr>
      <w:r>
        <w:t xml:space="preserve">The transmission test stands on its own, but a polity should also leave non-ceramic traces. We assembled two further lines of evidence, one genuinely independent of the ceramic data (the lithic exchange economy) and one that shares its collection substrate (settlement organization). We assessed settlement organization from the within-basin distribution of maximum mound height, the one attribute recorded the same way at every site. Mound area is recorded as zero for Parkin and is therefore not usable. The question is whether a single center dominates as a redistributive apex, the classic archaeological correlate of a ranked society, or whether size is graded</w:t>
      </w:r>
      <w:r>
        <w:t xml:space="preserve"> </w:t>
      </w:r>
      <w:r>
        <w:t xml:space="preserve">(Peebles and Kus 1977)</w:t>
      </w:r>
      <w:r>
        <w:t xml:space="preserve">. We did not measure the political economy of exchange ourselves. We drew instead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w:t>
      </w:r>
    </w:p>
    <w:bookmarkEnd w:id="133"/>
    <w:bookmarkEnd w:id="134"/>
    <w:bookmarkStart w:id="157" w:name="results"/>
    <w:p>
      <w:pPr>
        <w:pStyle w:val="Heading2"/>
      </w:pPr>
      <w:r>
        <w:t xml:space="preserve">Results</w:t>
      </w:r>
    </w:p>
    <w:p>
      <w:pPr>
        <w:pStyle w:val="FirstParagraph"/>
      </w:pPr>
      <w:r>
        <w:t xml:space="preserve">In principle, all four signatures separate bounded groups from drift. In practice, given how small and time-averaged the Lower Mississippi Valley record is, only one of them can. The idealized test behaves as designed. When we simulate interaction narrowing toward closed groups, all four signatures rise together, whereas drift and the two other resembling processes each move only some of them. Under closure, the four are tightly correlated (mean absolute pairwise correlation 0.88), and under those three they are nearly independent (0.18 to 0.28), so their joint movement carries information rather than repeating it (Figure 2).</w:t>
      </w:r>
    </w:p>
    <w:p>
      <w:pPr>
        <w:pStyle w:val="BodyText"/>
      </w:pPr>
      <w:r>
        <w:t xml:space="preserve">The more telling test matches the record itself (Figure 5). We built synthetic assemblages with the real sample sizes, spatial clusters, and ordinal bins, imposed a known group closure of strength</w:t>
      </w:r>
      <w:r>
        <w:t xml:space="preserve"> </w:t>
      </w:r>
      <w:r>
        <w:rPr>
          <w:i/>
          <w:iCs/>
        </w:rPr>
        <w:t xml:space="preserve">s</w:t>
      </w:r>
      <w:r>
        <w:t xml:space="preserve"> </w:t>
      </w:r>
      <w:r>
        <w:t xml:space="preserve">(0 for pure drift, 1 for sharply separated groups), subsampled every assemblage to a common count, and asked which signatures register it. Only cultural</w:t>
      </w:r>
      <w:r>
        <w:t xml:space="preserve"> </w:t>
      </w:r>
      <m:oMath>
        <m:sSub>
          <m:e>
            <m:r>
              <m:t>F</m:t>
            </m:r>
          </m:e>
          <m:sub>
            <m:r>
              <m:t>S</m:t>
            </m:r>
            <m:r>
              <m:t>T</m:t>
            </m:r>
          </m:sub>
        </m:sSub>
      </m:oMath>
      <w:r>
        <w:t xml:space="preserve">, the share of stylistic variation that lies between groups rather than within them, rises steadily with</w:t>
      </w:r>
      <w:r>
        <w:t xml:space="preserve"> </w:t>
      </w:r>
      <w:r>
        <w:rPr>
          <w:i/>
          <w:iCs/>
        </w:rPr>
        <w:t xml:space="preserve">s</w:t>
      </w:r>
      <w:r>
        <w:t xml:space="preserve">. None of the other three does. The departure from neutral transmission, which measures how far the type frequencies stray from what unbiased copying would produce, does not move in one direction as conformity increases. The spatial boundary statistic does not respond at all to the three spatial clusters the data can support, and the seriation group count, the number of separate orderings the assemblages break into, does not move in the direction closure predicts.</w:t>
      </w:r>
    </w:p>
    <w:p>
      <w:pPr>
        <w:pStyle w:val="BodyText"/>
      </w:pPr>
      <w:r>
        <w:t xml:space="preserve">Treating the simulation series as a likelihood turns the observed trajectory into a posterior for how much closure the basin could contain. That posterior has a median of 0.23 and a 95 percent credible interval of 0.00 to 0.48, with only 3 percent of its mass at strengths of 0.5 or more. Mass here is probability. A posterior spreads a total of one across the possible values, and the share sitting in a range is how much of that total the data and the model place there.</w:t>
      </w:r>
    </w:p>
    <w:p>
      <w:pPr>
        <w:pStyle w:val="BodyText"/>
      </w:pPr>
      <w:r>
        <w:t xml:space="preserve">Time-averaging widens that posterior. Each assemblage pools sherds deposited over time, and when the simulation includes that pooling, the median rises to 0.31. The credible interval, the range that holds a stated share of the posterior probability, extends from 0.00 to 0.65, and the mass above 0.5 rises to 0.20. Time-averaging, not sample size alone, makes moderate closure hard to exclude. At this record size, and with its time-averaging, between-group variance is the one signature that can tell a bounded group from drift. The other three cannot separate closure from drift here at any strength. We report them here for completeness but can draw no inference from them.</w:t>
      </w:r>
    </w:p>
    <w:p>
      <w:pPr>
        <w:pStyle w:val="CaptionedFigure"/>
      </w:pPr>
      <w:r>
        <w:drawing>
          <wp:inline>
            <wp:extent cx="5334000" cy="2692949"/>
            <wp:effectExtent b="0" l="0" r="0" t="0"/>
            <wp:docPr descr="Figure 5. Record-matched, size-controlled recovery of the signatures. Left: each signature’s response (Spearman trend versus ordinal position) to a known degree of group closure imposed on the real configuration of 43 assemblages and subsampled to a common count. Only cultural F_{ST} tracks the imposed closure monotonically. The neutral departure is non-monotonic in conformity, the spatial boundary is unresponsive at three spatial clusters, and the seriation statistic (maximal co-seriable groups per assemblage) does not rise. Right: the posterior over imposed closure strength given the observed trajectory statistic, with and without the record’s time-averaging. The median is 0.07 (interval 0.00 to 0.25) without time-averaging and 0.10 (0.00 to 0.31) with it, and the posterior mass above s = 0.5 is 0.000 in both. The size-controlled empirical F_{ST} trend is a rank correlation of -0.756, averaged over 4,000 subsamples, against a draw-to-draw spread of -0.83 to -0.60." title="" id="136" name="Picture"/>
            <a:graphic>
              <a:graphicData uri="http://schemas.openxmlformats.org/drawingml/2006/picture">
                <pic:pic>
                  <pic:nvPicPr>
                    <pic:cNvPr descr="../../figures/fig5_recovery.png" id="137" name="Picture"/>
                    <pic:cNvPicPr>
                      <a:picLocks noChangeArrowheads="1" noChangeAspect="1"/>
                    </pic:cNvPicPr>
                  </pic:nvPicPr>
                  <pic:blipFill>
                    <a:blip r:embed="rId135"/>
                    <a:stretch>
                      <a:fillRect/>
                    </a:stretch>
                  </pic:blipFill>
                  <pic:spPr bwMode="auto">
                    <a:xfrm>
                      <a:off x="0" y="0"/>
                      <a:ext cx="5334000" cy="2692949"/>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Record-matched, size-controlled recovery of the signatures. Left: each signature’s response (Spearman trend versus ordinal position) to a known degree of group closure imposed on the real configuration of 43 assemblages and subsampled to a common count. Only cultural</w:t>
      </w:r>
      <w:r>
        <w:t xml:space="preserve"> </w:t>
      </w:r>
      <m:oMath>
        <m:sSub>
          <m:e>
            <m:r>
              <m:t>F</m:t>
            </m:r>
          </m:e>
          <m:sub>
            <m:r>
              <m:t>S</m:t>
            </m:r>
            <m:r>
              <m:t>T</m:t>
            </m:r>
          </m:sub>
        </m:sSub>
      </m:oMath>
      <w:r>
        <w:t xml:space="preserve"> </w:t>
      </w:r>
      <w:r>
        <w:t xml:space="preserve">tracks the imposed closure monotonically. The neutral departure is non-monotonic in conformity, the spatial boundary is unresponsive at three spatial clusters, and the seriation statistic (maximal co-seriable groups per assemblage) does not rise. Right: the posterior over imposed closure strength given the observed trajectory statistic, with and without the record’s time-averaging. The median is 0.07 (interval 0.00 to 0.25) without time-averaging and 0.10 (0.00 to 0.31) with it, and the posterior mass above s = 0.5 is 0.000 in both. The size-controlled empirical</w:t>
      </w:r>
      <w:r>
        <w:t xml:space="preserve"> </w:t>
      </w:r>
      <m:oMath>
        <m:sSub>
          <m:e>
            <m:r>
              <m:t>F</m:t>
            </m:r>
          </m:e>
          <m:sub>
            <m:r>
              <m:t>S</m:t>
            </m:r>
            <m:r>
              <m:t>T</m:t>
            </m:r>
          </m:sub>
        </m:sSub>
      </m:oMath>
      <w:r>
        <w:t xml:space="preserve"> </w:t>
      </w:r>
      <w:r>
        <w:t xml:space="preserve">trend is a rank correlation of -0.756, averaged over 4,000 subsamples, against a draw-to-draw spread of -0.83 to -0.60.</w:t>
      </w:r>
    </w:p>
    <w:p>
      <w:pPr>
        <w:pStyle w:val="BodyText"/>
      </w:pPr>
      <w:r>
        <w:t xml:space="preserve">When the one reliable signature is applied to the St. Francis basin assemblages, it shows no closure beyond the distance-based expectation, and the apparent signatures in the other three are confounded with sample size (Figure 6). The raw trajectory along the seriation axis appears to dissociate, with the signatures becoming more disparate rather than moving together. Two of its trends, though, are sampling artifacts. Assemblage size itself trends with seriation position, so any estimator that is sensitive to sample size trends with it too.</w:t>
      </w:r>
    </w:p>
    <w:p>
      <w:pPr>
        <w:pStyle w:val="BodyText"/>
      </w:pPr>
      <w:r>
        <w:t xml:space="preserve">Size control reverses the apparent trend in cultural</w:t>
      </w:r>
      <w:r>
        <w:t xml:space="preserve"> </w:t>
      </w:r>
      <m:oMath>
        <m:sSub>
          <m:e>
            <m:r>
              <m:t>F</m:t>
            </m:r>
          </m:e>
          <m:sub>
            <m:r>
              <m:t>S</m:t>
            </m:r>
            <m:r>
              <m:t>T</m:t>
            </m:r>
          </m:sub>
        </m:sSub>
      </m:oMath>
      <w:r>
        <w:t xml:space="preserve">. Once we subsample every assemblage to a common sherd count, the trend across the sequence falls from a rank correlation of +0.60 to -0.756, averaged over 4,000 subsamples, and a single subsample returns a value between -0.83 and -0.60. Unlike the smaller assemblage sets we worked with earlier, that spread excludes zero: differentiation does not merely fail to rise along the sequence, it declines. What falls is the rank correlation of the trajectory with seriation position, not the value of</w:t>
      </w:r>
      <w:r>
        <w:t xml:space="preserve"> </w:t>
      </w:r>
      <m:oMath>
        <m:sSub>
          <m:e>
            <m:r>
              <m:t>F</m:t>
            </m:r>
          </m:e>
          <m:sub>
            <m:r>
              <m:t>S</m:t>
            </m:r>
            <m:r>
              <m:t>T</m:t>
            </m:r>
          </m:sub>
        </m:sSub>
      </m:oMath>
      <w:r>
        <w:t xml:space="preserve"> </w:t>
      </w:r>
      <w:r>
        <w:t xml:space="preserve">itself. The closure strengths consistent with that trend are near zero (posterior median 0.07, interval 0.00 to 0.25; 0.10 and 0.00 to 0.31 once the record’s time-averaging is imposed), and no posterior mass sits above s = 0.5.</w:t>
      </w:r>
    </w:p>
    <w:p>
      <w:pPr>
        <w:pStyle w:val="BodyText"/>
      </w:pPr>
      <w:r>
        <w:t xml:space="preserve">The departure from neutrality is also sensitive to sample size, but controlling for size only weakens the trend rather than removing it, from a raw -0.94 to -0.83.</w:t>
      </w:r>
    </w:p>
    <w:p>
      <w:pPr>
        <w:pStyle w:val="BodyText"/>
      </w:pPr>
      <w:r>
        <w:t xml:space="preserve">The record shows no detectable closure of moderate or greater strength expressed as increasing divergence along the sequence. The posterior over-closure strength places a mass of 0.03 on strengths of 0.5 or greater without time-averaging and 0.20 with it. This negative result cannot rule out weaker closure, which the record’s size and time-averaging leave unresolved. What the record shows instead is closure low enough to be indistinguishable from none, with the structure that is present, continuous, and graded with distance, the form that spatially structured interaction produces. The positive control that follows asks whether a calibrated drift model produces that structure at the strength the record shows.</w:t>
      </w:r>
    </w:p>
    <w:p>
      <w:pPr>
        <w:pStyle w:val="CaptionedFigure"/>
      </w:pPr>
      <w:r>
        <w:drawing>
          <wp:inline>
            <wp:extent cx="5334000" cy="3952347"/>
            <wp:effectExtent b="0" l="0" r="0" t="0"/>
            <wp:docPr descr="Figure 6. The empirical four-signature trajectory along the CA seriation axis for the St. Francis basin (43 assemblages, six bins), size-controlled by subsampling every assemblage to a common count. The reliable signature, cultural F_{ST}, trends downward (rank correlation -0.756 averaged over 4,000 subsamples, against a draw-to-draw spread of -0.83 to -0.60, reversed from a raw +0.60 that was a sample-size artifact). The neutral departure, spatial boundary, and seriation group count are not reliable discriminators at this resolution (Figure 5) and are shown for completeness. Subsampling is without replacement. We average the three unreliable signatures over 400 draws and the F_{ST} trend over 4,000. Each panel is annotated with its rank correlation." title="" id="139" name="Picture"/>
            <a:graphic>
              <a:graphicData uri="http://schemas.openxmlformats.org/drawingml/2006/picture">
                <pic:pic>
                  <pic:nvPicPr>
                    <pic:cNvPr descr="../../figures/fig6_empirical_trajectory.png" id="140" name="Picture"/>
                    <pic:cNvPicPr>
                      <a:picLocks noChangeArrowheads="1" noChangeAspect="1"/>
                    </pic:cNvPicPr>
                  </pic:nvPicPr>
                  <pic:blipFill>
                    <a:blip r:embed="rId138"/>
                    <a:stretch>
                      <a:fillRect/>
                    </a:stretch>
                  </pic:blipFill>
                  <pic:spPr bwMode="auto">
                    <a:xfrm>
                      <a:off x="0" y="0"/>
                      <a:ext cx="5334000" cy="3952347"/>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The empirical four-signature trajectory along the CA seriation axis for the St. Francis basin (43 assemblages, six bins), size-controlled by subsampling every assemblage to a common count. The reliable signature, cultural</w:t>
      </w:r>
      <w:r>
        <w:t xml:space="preserve"> </w:t>
      </w:r>
      <m:oMath>
        <m:sSub>
          <m:e>
            <m:r>
              <m:t>F</m:t>
            </m:r>
          </m:e>
          <m:sub>
            <m:r>
              <m:t>S</m:t>
            </m:r>
            <m:r>
              <m:t>T</m:t>
            </m:r>
          </m:sub>
        </m:sSub>
      </m:oMath>
      <w:r>
        <w:t xml:space="preserve">, trends downward (rank correlation -0.756 averaged over 4,000 subsamples, against a draw-to-draw spread of -0.83 to -0.60, reversed from a raw +0.60 that was a sample-size artifact). The neutral departure, spatial boundary, and seriation group count are not reliable discriminators at this resolution (Figure 5) and are shown for completeness. Subsampling is without replacement. We average the three unreliable signatures over 400 draws and the</w:t>
      </w:r>
      <w:r>
        <w:t xml:space="preserve"> </w:t>
      </w:r>
      <m:oMath>
        <m:sSub>
          <m:e>
            <m:r>
              <m:t>F</m:t>
            </m:r>
          </m:e>
          <m:sub>
            <m:r>
              <m:t>S</m:t>
            </m:r>
            <m:r>
              <m:t>T</m:t>
            </m:r>
          </m:sub>
        </m:sSub>
      </m:oMath>
      <w:r>
        <w:t xml:space="preserve"> </w:t>
      </w:r>
      <w:r>
        <w:t xml:space="preserve">trend over 4,000. Each panel is annotated with its rank correlation.</w:t>
      </w:r>
    </w:p>
    <w:p>
      <w:pPr>
        <w:pStyle w:val="BodyText"/>
      </w:pPr>
      <w:r>
        <w:t xml:space="preserve">Three further checks, detailed in the Supplemental Text, point the same way. A hierarchical model of the frequency changes of all nine testable classes finds no population-level departure from unbiased copying (posterior median +0.008, 95 percent credible interval -0.035 to +0.059, where drift implies zero)</w:t>
      </w:r>
      <w:r>
        <w:t xml:space="preserve"> </w:t>
      </w:r>
      <w:r>
        <w:t xml:space="preserve">(Feder et al. 2014)</w:t>
      </w:r>
      <w:r>
        <w:t xml:space="preserve">. A neutral model whose population size and innovation rate are drawn from the transmission posterior reproduces the observed diversity trajectory in all six bins (pooled Bayesian predictive p 0.71)</w:t>
      </w:r>
      <w:r>
        <w:t xml:space="preserve"> </w:t>
      </w:r>
      <w:r>
        <w:t xml:space="preserve">(Kandler and Shennan 2013)</w:t>
      </w:r>
      <w:r>
        <w:t xml:space="preserve">. Neiman’s interassemblage distance shows no resolved trend toward divergence along the sequence, and the most diverse assemblages are also the most central, the pattern a single shared community produces (Figure S1)</w:t>
      </w:r>
      <w:r>
        <w:t xml:space="preserve"> </w:t>
      </w:r>
      <w:r>
        <w:t xml:space="preserve">(Neiman 1995)</w:t>
      </w:r>
      <w:r>
        <w:t xml:space="preserve">.</w:t>
      </w:r>
    </w:p>
    <w:p>
      <w:pPr>
        <w:pStyle w:val="BodyText"/>
      </w:pPr>
      <w:r>
        <w:t xml:space="preserve">The verdict that no bounded-group closure is detectable also holds across analytical configurations. No closure appears in any of the twenty-seven combinations of the basin’s spatial cutoff, the number of ordinal bins, and the number of spatial clusters, and the result is the same under the watershed and corridor basin definitions. Consistent with the recovery experiment, none of these checks shows a resolvable departure from neutral transmission.</w:t>
      </w:r>
    </w:p>
    <w:p>
      <w:pPr>
        <w:pStyle w:val="BodyText"/>
      </w:pPr>
      <w:r>
        <w:t xml:space="preserve">Everything to this point has concerned the</w:t>
      </w:r>
      <w:r>
        <w:t xml:space="preserve"> </w:t>
      </w:r>
      <w:r>
        <w:rPr>
          <w:i/>
          <w:iCs/>
        </w:rPr>
        <w:t xml:space="preserve">trend</w:t>
      </w:r>
      <w:r>
        <w:t xml:space="preserve"> </w:t>
      </w:r>
      <w:r>
        <w:t xml:space="preserve">in cultural</w:t>
      </w:r>
      <w:r>
        <w:t xml:space="preserve"> </w:t>
      </w:r>
      <m:oMath>
        <m:sSub>
          <m:e>
            <m:r>
              <m:t>F</m:t>
            </m:r>
          </m:e>
          <m:sub>
            <m:r>
              <m:t>S</m:t>
            </m:r>
            <m:r>
              <m:t>T</m:t>
            </m:r>
          </m:sub>
        </m:sSub>
      </m:oMath>
      <w:r>
        <w:t xml:space="preserve"> </w:t>
      </w:r>
      <w:r>
        <w:t xml:space="preserve">along the sequence, which is a rank correlation and which shows no closure developing through time. The positive control asks a different question about the same signature. It does not ask whether differentiation grows along the sequence, but whether its</w:t>
      </w:r>
      <w:r>
        <w:t xml:space="preserve"> </w:t>
      </w:r>
      <w:r>
        <w:rPr>
          <w:i/>
          <w:iCs/>
        </w:rPr>
        <w:t xml:space="preserve">level</w:t>
      </w:r>
      <w:r>
        <w:t xml:space="preserve"> </w:t>
      </w:r>
      <w:r>
        <w:t xml:space="preserve">is what a no-groups process would produce at all. The two can disagree, and here they do. The answer to that second question depends on a calibration step, without which a between-group comparison measures the model’s parameter choices as much as the record. Following the finite-population network-drift model of Lipo, DiNapoli, Madsen, and Hunt</w:t>
      </w:r>
      <w:r>
        <w:t xml:space="preserve"> </w:t>
      </w:r>
      <w:r>
        <w:t xml:space="preserve">(2021)</w:t>
      </w:r>
      <w:r>
        <w:t xml:space="preserve">, we simulated neutral copying on the river-network geography of the basin assemblages and compared it with a bounded-groups process on the same geography. We calibrated both, tuning their parameters until they reproduced the assemblages’ within-assemblage diversity, before evaluating any between-group statistic (Materials and Methods).</w:t>
      </w:r>
    </w:p>
    <w:p>
      <w:pPr>
        <w:pStyle w:val="BodyText"/>
      </w:pPr>
      <w:r>
        <w:t xml:space="preserve">The calibration is itself a result. A drift model that treats the ten decorated classes as interchangeable cannot reproduce the record’s diversity under any combination of population size, innovation rate, and mixing. The obstacle is the record’s shape. Two classes hold nine tenths of all sherds, yet rare classes appear in most assemblages, and drift strong enough to produce that skew also strips the rare ones out. Letting innovation fall in each class in proportion to its regional share, which is what the uneven lumping of variants into culture-history types amounts to, resolves the conflict. Sixty-one of the 297 parameter combinations then match the record’s diversity, where none did before (Supplemental Text, Figure S4).</w:t>
      </w:r>
    </w:p>
    <w:p>
      <w:pPr>
        <w:pStyle w:val="BodyText"/>
      </w:pPr>
      <w:r>
        <w:t xml:space="preserve">The calibrated drift model, in its simplest form, stands in for the no-groups case. Measured against it, the basin’s between-cluster differentiation is higher than drift produces (Figure S2). In the diversity-matched parameter combination most favorable to drift, the observed between-cluster cultural</w:t>
      </w:r>
      <w:r>
        <w:t xml:space="preserve"> </w:t>
      </w:r>
      <m:oMath>
        <m:sSub>
          <m:e>
            <m:r>
              <m:t>F</m:t>
            </m:r>
          </m:e>
          <m:sub>
            <m:r>
              <m:t>S</m:t>
            </m:r>
            <m:r>
              <m:t>T</m:t>
            </m:r>
          </m:sub>
        </m:sSub>
      </m:oMath>
      <w:r>
        <w:t xml:space="preserve"> </w:t>
      </w:r>
      <w:r>
        <w:t xml:space="preserve">of 0.021 lies above the drift 95 percent interval of 0.0007 to 0.018 (median 0.004). Only 2.4 percent of simulated datasets reach the observed value under the seriation order, 0.8 percent under the reversed order, and 1.4 percent when the assemblages are treated as contemporaneous, and no diversity-matched parameter combination in the calibration series reaches it (Figure S4). Calibrated drift also returns a single ceramic community in 395 of 500 runs, whereas the data give two communities with a between-community</w:t>
      </w:r>
      <w:r>
        <w:t xml:space="preserve"> </w:t>
      </w:r>
      <m:oMath>
        <m:sSub>
          <m:e>
            <m:r>
              <m:t>F</m:t>
            </m:r>
          </m:e>
          <m:sub>
            <m:r>
              <m:t>S</m:t>
            </m:r>
            <m:r>
              <m:t>T</m:t>
            </m:r>
          </m:sub>
        </m:sSub>
      </m:oMath>
      <w:r>
        <w:t xml:space="preserve"> </w:t>
      </w:r>
      <w:r>
        <w:t xml:space="preserve">of 0.040. In the 105 runs that do return two or more, the between-community</w:t>
      </w:r>
      <w:r>
        <w:t xml:space="preserve"> </w:t>
      </w:r>
      <m:oMath>
        <m:sSub>
          <m:e>
            <m:r>
              <m:t>F</m:t>
            </m:r>
          </m:e>
          <m:sub>
            <m:r>
              <m:t>S</m:t>
            </m:r>
            <m:r>
              <m:t>T</m:t>
            </m:r>
          </m:sub>
        </m:sSub>
      </m:oMath>
      <w:r>
        <w:t xml:space="preserve"> </w:t>
      </w:r>
      <w:r>
        <w:t xml:space="preserve">runs from 0.002 to 0.031, all below the observed value. That drift produces multiple communities in a fifth of runs is worth stating plainly: the number of communities is a weak discriminator here, and only their differentiation separates the record from the null. It would be natural to interpret an excess over drift as the mark of a boundary. Whether it is depends on what a model with boundaries predicts, which is the next comparison.</w:t>
      </w:r>
    </w:p>
    <w:p>
      <w:pPr>
        <w:pStyle w:val="BodyText"/>
      </w:pPr>
      <w:r>
        <w:t xml:space="preserve">Drift does reproduce the distance decay of similarity, the tendency for assemblages farther apart to share less (observed r = -0.32 against a drift interval of -0.62 to -0.02). Similarity across the cluster boundaries, however, is</w:t>
      </w:r>
      <w:r>
        <w:t xml:space="preserve"> </w:t>
      </w:r>
      <w:r>
        <w:rPr>
          <w:i/>
          <w:iCs/>
        </w:rPr>
        <w:t xml:space="preserve">higher</w:t>
      </w:r>
      <w:r>
        <w:t xml:space="preserve"> </w:t>
      </w:r>
      <w:r>
        <w:t xml:space="preserve">in the data than distance alone predicts, not lower. The boundary excess is -11.9 and falls outside both the drift and the bounded-groups intervals.</w:t>
      </w:r>
    </w:p>
    <w:p>
      <w:pPr>
        <w:pStyle w:val="BodyText"/>
      </w:pPr>
      <w:r>
        <w:t xml:space="preserve">The bounded-groups process at the same calibration does little better. Reducing copying across the spatial clusters to a multiplier of 0.5, 0.1, or 0.03 raises the median</w:t>
      </w:r>
      <w:r>
        <w:t xml:space="preserve"> </w:t>
      </w:r>
      <m:oMath>
        <m:sSub>
          <m:e>
            <m:r>
              <m:t>F</m:t>
            </m:r>
          </m:e>
          <m:sub>
            <m:r>
              <m:t>S</m:t>
            </m:r>
            <m:r>
              <m:t>T</m:t>
            </m:r>
          </m:sub>
        </m:sSub>
      </m:oMath>
      <w:r>
        <w:t xml:space="preserve"> </w:t>
      </w:r>
      <w:r>
        <w:t xml:space="preserve">only to between 0.003 and 0.006. The observation does fall inside the bounded-groups interval, but only through the wide upper tail of an interval estimated from 30 runs, between 7 and 23 percent of which reach the observed value. Part of the reason the boundary raises</w:t>
      </w:r>
      <w:r>
        <w:t xml:space="preserve"> </w:t>
      </w:r>
      <m:oMath>
        <m:sSub>
          <m:e>
            <m:r>
              <m:t>F</m:t>
            </m:r>
          </m:e>
          <m:sub>
            <m:r>
              <m:t>S</m:t>
            </m:r>
            <m:r>
              <m:t>T</m:t>
            </m:r>
          </m:sub>
        </m:sSub>
      </m:oMath>
      <w:r>
        <w:t xml:space="preserve"> </w:t>
      </w:r>
      <w:r>
        <w:t xml:space="preserve">so little is a feature of the model itself. Innovation drawn from the regional pooled profile is itself region-wide, so no boundary interrupts it and this model family understates what a boundary would do.</w:t>
      </w:r>
    </w:p>
    <w:p>
      <w:pPr>
        <w:pStyle w:val="BodyText"/>
      </w:pPr>
      <w:r>
        <w:t xml:space="preserve">So the excess over drift is not evidence for bounded groups, because the model built to represent bounded groups does not produce it either. A drift model fitted to the assemblages’ own diversity leaves their between-cluster differentiation unexplained by about a factor of six at the median, and restricted copying, as we model it, accounts for only a small part of that difference. Together, the two comparisons do not select between the processes. They identify something in the record that neither model reproduces. The positive control therefore certifies neither side. An earlier, uncalibrated version of this comparison reached the opposite conclusion because it ran at nearly twice the observed diversity, which made its drift distributions too wide. The sensitivity checks around the calibrated parameter combination are in the Supplemental Text.</w:t>
      </w:r>
    </w:p>
    <w:p>
      <w:pPr>
        <w:pStyle w:val="BodyText"/>
      </w:pPr>
      <w:r>
        <w:t xml:space="preserve">A partition-free model gives the same verdict from a different direction (Supplemental Text). Treating decorated-class composition as a continuous spatial field over the assemblage coordinates, with a separate term for whatever is specific to each site, the model attributes 97 percent of assemblage-level compositional variance to the spatial field (95 percent credible interval 0.93 to 0.99). Almost nothing remains of the site-specific character that bounded interaction groups would produce. Without containing any groups, the field reproduces the observed between-cluster</w:t>
      </w:r>
      <w:r>
        <w:t xml:space="preserve"> </w:t>
      </w:r>
      <m:oMath>
        <m:sSub>
          <m:e>
            <m:r>
              <m:t>F</m:t>
            </m:r>
          </m:e>
          <m:sub>
            <m:r>
              <m:t>S</m:t>
            </m:r>
            <m:r>
              <m:t>T</m:t>
            </m:r>
          </m:sub>
        </m:sSub>
      </m:oMath>
      <w:r>
        <w:t xml:space="preserve">, the distance decay of similarity, and the spread of within-assemblage diversity, but it describes the pattern rather than the process that made it. Field model and drift model therefore answer different questions. The field says the record is spatially continuous with no group residual, and the drift comparison says that the simplest neutral mechanism does not produce that continuity at the observed strength. The between-cluster</w:t>
      </w:r>
      <w:r>
        <w:t xml:space="preserve"> </w:t>
      </w:r>
      <m:oMath>
        <m:sSub>
          <m:e>
            <m:r>
              <m:t>F</m:t>
            </m:r>
          </m:e>
          <m:sub>
            <m:r>
              <m:t>S</m:t>
            </m:r>
            <m:r>
              <m:t>T</m:t>
            </m:r>
          </m:sub>
        </m:sSub>
      </m:oMath>
      <w:r>
        <w:t xml:space="preserve"> </w:t>
      </w:r>
      <w:r>
        <w:t xml:space="preserve">itself depends on how finely the basin is divided, rising from 0.0075 at two clusters to 0.0415 at six, though not on which particular division is drawn at a given grain (Supplemental Text).</w:t>
      </w:r>
    </w:p>
    <w:bookmarkStart w:id="156" w:name="X38a0c6a9c650c3c6e71b804c682fc2a3dc35e63"/>
    <w:p>
      <w:pPr>
        <w:pStyle w:val="Heading3"/>
      </w:pPr>
      <w:r>
        <w:t xml:space="preserve">Relaxing four assumptions of the drift model</w:t>
      </w:r>
    </w:p>
    <w:p>
      <w:pPr>
        <w:pStyle w:val="FirstParagraph"/>
      </w:pPr>
      <w:r>
        <w:t xml:space="preserve">The differentiation that neither of our models reproduces is a target for testing, not just a caveat. The drift model rests on four simplifying assumptions. It gives every site the same number of learners, lets copying fall off exponentially with river distance, accumulates every deposit over the same span, and draws innovation from one region-wide pool. Each can be relaxed with the methods already in place. In every case we ask not merely whether relaxing the assumption raises differentiation, but whether it raises it while the assemblages’ diversity stays matched. A model that reaches the observed</w:t>
      </w:r>
      <w:r>
        <w:t xml:space="preserve"> </w:t>
      </w:r>
      <m:oMath>
        <m:sSub>
          <m:e>
            <m:r>
              <m:t>F</m:t>
            </m:r>
          </m:e>
          <m:sub>
            <m:r>
              <m:t>S</m:t>
            </m:r>
            <m:r>
              <m:t>T</m:t>
            </m:r>
          </m:sub>
        </m:sSub>
      </m:oMath>
      <w:r>
        <w:t xml:space="preserve"> </w:t>
      </w:r>
      <w:r>
        <w:t xml:space="preserve">only by giving up that match fits one quantity at the expense of the other, rather than accounting for both. We call the size of the miss the</w:t>
      </w:r>
      <w:r>
        <w:t xml:space="preserve"> </w:t>
      </w:r>
      <w:r>
        <w:rPr>
          <w:i/>
          <w:iCs/>
        </w:rPr>
        <w:t xml:space="preserve">shortfall</w:t>
      </w:r>
      <w:r>
        <w:t xml:space="preserve">, the observed</w:t>
      </w:r>
      <w:r>
        <w:t xml:space="preserve"> </w:t>
      </w:r>
      <m:oMath>
        <m:sSub>
          <m:e>
            <m:r>
              <m:t>F</m:t>
            </m:r>
          </m:e>
          <m:sub>
            <m:r>
              <m:t>S</m:t>
            </m:r>
            <m:r>
              <m:t>T</m:t>
            </m:r>
          </m:sub>
        </m:sSub>
      </m:oMath>
      <w:r>
        <w:t xml:space="preserve"> </w:t>
      </w:r>
      <w:r>
        <w:t xml:space="preserve">divided by the model’s median. Calibrated drift, at 0.004 against the observed 0.021, falls short by about sixfold. Table 2 collects every account this paper tests, the two interpretations of the phase, the bounded-groups model, and the four relaxed assumptions. The grids and their diagnostics are in the Supplemental Text.</w:t>
      </w:r>
    </w:p>
    <w:p>
      <w:pPr>
        <w:pStyle w:val="BodyText"/>
      </w:pPr>
      <w:r>
        <w:t xml:space="preserve">Three of the four fail, and they fail in the same way. Each raises differentiation only at the cost of the fit to the assemblages’ diversity. Unequal site populations were the obvious candidate, because small settlements drift faster toward idiosyncratic repertoires. Inequality does raise differentiation about fivefold. But it also lowers the average population that governs drift, so drift runs faster everywhere and within-assemblage diversity falls below what the record shows. At the inequality the settlement record itself suggests, the model still falls short by a factor of two to three. Transport geography comes closer but still falls short. We varied the distance metric, the interaction length, and the shape of the decay itself, since an exponential fall-off is an assumption rather than a measurement. Straight-line distance is worse than river distance at every length, which supports the metric we use. The best case, a Gaussian decay, narrows the shortfall from sixfold to 1.8, but only by losing the diversity fit and only at an interaction length of about 6 kilometers on a drainage spanning 128 kilometers. That is not a free parameter being tuned but a claim about how far potters copied, and one the settlement pattern makes hard to credit. No diversity-matched combination of metric, length, or decay shape reaches the observed differentiation, and accumulation spans that differ among deposits barely move the statistic.</w:t>
      </w:r>
    </w:p>
    <w:p>
      <w:pPr>
        <w:pStyle w:val="BodyText"/>
      </w:pPr>
      <w:r>
        <w:t xml:space="preserve">The fourth assumption matters most. When innovation respects group boundaries, so that each spatial cluster draws new variants from its own profile rather than from a region-wide pool, a weak boundary moves the statistic further than any other relaxation we tried. At a permuted fraction of 0.25, meaning that a quarter of the classes are reassigned within each cluster’s innovation profile, the shortfall falls from 7.2-fold to 1.9-fold with within-assemblage diversity, class richness and pooled diversity all inside the calibration’s tolerance. It is the only one of the four that changes what innovation does rather than how fast drift runs, so it raises differentiation without disturbing diversity. It does not, however, close the gap: the median is 0.0107 against the observed 0.0207, and every stronger setting breaks the diversity match. We report the value at 1,200 realizations per cell because at 250 this cell sits on the tolerance edge and is called the other way. This model is still a drift model. Nothing in it restricts who copies whom, and no boundary interrupts copying anywhere. The single change is that new styles arise locally rather than at the same rates across the whole basin. It is also the assumption our own comparison was least equipped to question, since drawing innovation from the regional profile gives both the drift and the bounded-groups model a source of new variants that no boundary interrupts.</w:t>
      </w:r>
    </w:p>
    <w:p>
      <w:pPr>
        <w:pStyle w:val="BodyText"/>
      </w:pPr>
      <w:r>
        <w:rPr>
          <w:b/>
          <w:bCs/>
        </w:rPr>
        <w:t xml:space="preserve">Table 2.</w:t>
      </w:r>
      <w:r>
        <w:t xml:space="preserve"> </w:t>
      </w:r>
      <w:r>
        <w:t xml:space="preserve">Every account of the St. Francis basin pattern that this paper tests, what each predicts, and how it fared. The first two rows are the competing interpretations of the phase itself. The remaining five are candidate explanations for what the calibrated drift model leaves over. The standard for the last four rows is the same throughout, and is stated in the text above. Relaxing an assumption closes the shortfall only if it reaches the observed between-cluster</w:t>
      </w:r>
      <w:r>
        <w:t xml:space="preserve"> </w:t>
      </w:r>
      <m:oMath>
        <m:sSub>
          <m:e>
            <m:r>
              <m:t>F</m:t>
            </m:r>
          </m:e>
          <m:sub>
            <m:r>
              <m:t>S</m:t>
            </m:r>
            <m:r>
              <m:t>T</m:t>
            </m:r>
          </m:sub>
        </m:sSub>
      </m:oMath>
      <w:r>
        <w:t xml:space="preserve"> </w:t>
      </w:r>
      <w:r>
        <w:t xml:space="preserve">of 0.021</w:t>
      </w:r>
      <w:r>
        <w:t xml:space="preserve"> </w:t>
      </w:r>
      <w:r>
        <w:rPr>
          <w:i/>
          <w:iCs/>
        </w:rPr>
        <w:t xml:space="preserve">and</w:t>
      </w:r>
      <w:r>
        <w:t xml:space="preserve"> </w:t>
      </w:r>
      <w:r>
        <w:t xml:space="preserve">keeps all three within-assemblage diversity summaries inside the calibration’s 10 percent tolerance. Full grids, settings, and diagnostics are in the Supplemental Text.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Account</w:t>
            </w:r>
          </w:p>
        </w:tc>
        <w:tc>
          <w:tcPr/>
          <w:p>
            <w:pPr>
              <w:pStyle w:val="Compact"/>
            </w:pPr>
            <w:r>
              <w:t xml:space="preserve">What it predicts</w:t>
            </w:r>
          </w:p>
        </w:tc>
        <w:tc>
          <w:tcPr/>
          <w:p>
            <w:pPr>
              <w:pStyle w:val="Compact"/>
            </w:pPr>
            <w:r>
              <w:t xml:space="preserve">How tested</w:t>
            </w:r>
          </w:p>
        </w:tc>
        <w:tc>
          <w:tcPr/>
          <w:p>
            <w:pPr>
              <w:pStyle w:val="Compact"/>
            </w:pPr>
            <w:r>
              <w:t xml:space="preserve">Outcome</w:t>
            </w:r>
          </w:p>
        </w:tc>
      </w:tr>
      <w:tr>
        <w:tc>
          <w:tcPr/>
          <w:p>
            <w:pPr>
              <w:pStyle w:val="Compact"/>
            </w:pPr>
            <w:r>
              <w:t xml:space="preserve">The phase is a bounded interaction group</w:t>
            </w:r>
          </w:p>
        </w:tc>
        <w:tc>
          <w:tcPr/>
          <w:p>
            <w:pPr>
              <w:pStyle w:val="Compact"/>
            </w:pPr>
            <w:r>
              <w:t xml:space="preserve">All four signatures move together; between-group divergence rises along the sequence</w:t>
            </w:r>
          </w:p>
        </w:tc>
        <w:tc>
          <w:tcPr/>
          <w:p>
            <w:pPr>
              <w:pStyle w:val="Compact"/>
            </w:pPr>
            <w:r>
              <w:t xml:space="preserve">Record-matched recovery experiment, then the empirical four-signature trajectory (Figures 5, 6)</w:t>
            </w:r>
          </w:p>
        </w:tc>
        <w:tc>
          <w:tcPr/>
          <w:p>
            <w:pPr>
              <w:pStyle w:val="Compact"/>
            </w:pPr>
            <w:r>
              <w:rPr>
                <w:b/>
                <w:bCs/>
              </w:rPr>
              <w:t xml:space="preserve">Not supported.</w:t>
            </w:r>
            <w:r>
              <w:t xml:space="preserve"> </w:t>
            </w:r>
            <w:r>
              <w:t xml:space="preserve">Only cultural</w:t>
            </w:r>
            <w:r>
              <w:t xml:space="preserve"> </w:t>
            </w:r>
            <m:oMath>
              <m:sSub>
                <m:e>
                  <m:r>
                    <m:t>F</m:t>
                  </m:r>
                </m:e>
                <m:sub>
                  <m:r>
                    <m:t>S</m:t>
                  </m:r>
                  <m:r>
                    <m:t>T</m:t>
                  </m:r>
                </m:sub>
              </m:sSub>
            </m:oMath>
            <w:r>
              <w:t xml:space="preserve"> </w:t>
            </w:r>
            <w:r>
              <w:t xml:space="preserve">is recoverable at this resolution, and its size-controlled trend is -0.756 against a draw-to-draw spread of -0.83 to +0.60</w:t>
            </w:r>
          </w:p>
        </w:tc>
      </w:tr>
      <w:tr>
        <w:tc>
          <w:tcPr/>
          <w:p>
            <w:pPr>
              <w:pStyle w:val="Compact"/>
            </w:pPr>
            <w:r>
              <w:t xml:space="preserve">Spatially structured drift, simplest form, with new styles arising at the same rates everywhere</w:t>
            </w:r>
          </w:p>
        </w:tc>
        <w:tc>
          <w:tcPr/>
          <w:p>
            <w:pPr>
              <w:pStyle w:val="Compact"/>
            </w:pPr>
            <w:r>
              <w:t xml:space="preserve">Observed clustering, distance decay, and within-assemblage diversity, with between-cluster</w:t>
            </w:r>
            <w:r>
              <w:t xml:space="preserve"> </w:t>
            </w:r>
            <m:oMath>
              <m:sSub>
                <m:e>
                  <m:r>
                    <m:t>F</m:t>
                  </m:r>
                </m:e>
                <m:sub>
                  <m:r>
                    <m:t>S</m:t>
                  </m:r>
                  <m:r>
                    <m:t>T</m:t>
                  </m:r>
                </m:sub>
              </m:sSub>
            </m:oMath>
            <w:r>
              <w:t xml:space="preserve"> </w:t>
            </w:r>
            <w:r>
              <w:t xml:space="preserve">inside the drift interval</w:t>
            </w:r>
          </w:p>
        </w:tc>
        <w:tc>
          <w:tcPr/>
          <w:p>
            <w:pPr>
              <w:pStyle w:val="Compact"/>
            </w:pPr>
            <w:r>
              <w:t xml:space="preserve">Finite-population network drift on the real geography, calibrated to the assemblages’ own diversity (Figure S2)</w:t>
            </w:r>
          </w:p>
        </w:tc>
        <w:tc>
          <w:tcPr/>
          <w:p>
            <w:pPr>
              <w:pStyle w:val="Compact"/>
            </w:pPr>
            <w:r>
              <w:rPr>
                <w:b/>
                <w:bCs/>
              </w:rPr>
              <w:t xml:space="preserve">Partly supported.</w:t>
            </w:r>
            <w:r>
              <w:t xml:space="preserve"> </w:t>
            </w:r>
            <w:r>
              <w:t xml:space="preserve">Reproduces diversity and distance decay; underpredicts between-cluster</w:t>
            </w:r>
            <w:r>
              <w:t xml:space="preserve"> </w:t>
            </w:r>
            <m:oMath>
              <m:sSub>
                <m:e>
                  <m:r>
                    <m:t>F</m:t>
                  </m:r>
                </m:e>
                <m:sub>
                  <m:r>
                    <m:t>S</m:t>
                  </m:r>
                  <m:r>
                    <m:t>T</m:t>
                  </m:r>
                </m:sub>
              </m:sSub>
            </m:oMath>
            <w:r>
              <w:t xml:space="preserve"> </w:t>
            </w:r>
            <w:r>
              <w:t xml:space="preserve">by about sixfold (0.004 against 0.021)</w:t>
            </w:r>
          </w:p>
        </w:tc>
      </w:tr>
      <w:tr>
        <w:tc>
          <w:tcPr/>
          <w:p>
            <w:pPr>
              <w:pStyle w:val="Compact"/>
            </w:pPr>
            <w:r>
              <w:t xml:space="preserve">Restricted copying across group boundaries</w:t>
            </w:r>
          </w:p>
        </w:tc>
        <w:tc>
          <w:tcPr/>
          <w:p>
            <w:pPr>
              <w:pStyle w:val="Compact"/>
            </w:pPr>
            <w:r>
              <w:t xml:space="preserve">Raised between-cluster</w:t>
            </w:r>
            <w:r>
              <w:t xml:space="preserve"> </w:t>
            </w:r>
            <m:oMath>
              <m:sSub>
                <m:e>
                  <m:r>
                    <m:t>F</m:t>
                  </m:r>
                </m:e>
                <m:sub>
                  <m:r>
                    <m:t>S</m:t>
                  </m:r>
                  <m:r>
                    <m:t>T</m:t>
                  </m:r>
                </m:sub>
              </m:sSub>
            </m:oMath>
            <w:r>
              <w:t xml:space="preserve"> </w:t>
            </w:r>
            <w:r>
              <w:t xml:space="preserve">at the calibrated rates</w:t>
            </w:r>
          </w:p>
        </w:tc>
        <w:tc>
          <w:tcPr/>
          <w:p>
            <w:pPr>
              <w:pStyle w:val="Compact"/>
            </w:pPr>
            <w:r>
              <w:t xml:space="preserve">Same model with cross-boundary copying multiplied by 0.5, 0.1, and 0.03 (Figure S2)</w:t>
            </w:r>
          </w:p>
        </w:tc>
        <w:tc>
          <w:tcPr/>
          <w:p>
            <w:pPr>
              <w:pStyle w:val="Compact"/>
            </w:pPr>
            <w:r>
              <w:rPr>
                <w:b/>
                <w:bCs/>
              </w:rPr>
              <w:t xml:space="preserve">Fails the standard.</w:t>
            </w:r>
            <w:r>
              <w:t xml:space="preserve"> </w:t>
            </w:r>
            <w:r>
              <w:t xml:space="preserve">Median</w:t>
            </w:r>
            <w:r>
              <w:t xml:space="preserve"> </w:t>
            </w:r>
            <m:oMath>
              <m:sSub>
                <m:e>
                  <m:r>
                    <m:t>F</m:t>
                  </m:r>
                </m:e>
                <m:sub>
                  <m:r>
                    <m:t>S</m:t>
                  </m:r>
                  <m:r>
                    <m:t>T</m:t>
                  </m:r>
                </m:sub>
              </m:sSub>
            </m:oMath>
            <w:r>
              <w:t xml:space="preserve"> </w:t>
            </w:r>
            <w:r>
              <w:t xml:space="preserve">rises from 0.003 to 0.021, reaching the observation at the strongest restriction, but every cell breaks the diversity match: class richness falls 11 to 22 percent below the observed value</w:t>
            </w:r>
          </w:p>
        </w:tc>
      </w:tr>
      <w:tr>
        <w:tc>
          <w:tcPr/>
          <w:p>
            <w:pPr>
              <w:pStyle w:val="Compact"/>
            </w:pPr>
            <w:r>
              <w:t xml:space="preserve">Unequal site populations</w:t>
            </w:r>
          </w:p>
        </w:tc>
        <w:tc>
          <w:tcPr/>
          <w:p>
            <w:pPr>
              <w:pStyle w:val="Compact"/>
            </w:pPr>
            <w:r>
              <w:t xml:space="preserve">Small settlements drift faster toward idiosyncratic repertoires, raising differentiation with no boundary</w:t>
            </w:r>
          </w:p>
        </w:tc>
        <w:tc>
          <w:tcPr/>
          <w:p>
            <w:pPr>
              <w:pStyle w:val="Compact"/>
            </w:pPr>
            <w:r>
              <w:t xml:space="preserve">Per-site populations drawn lognormal, coefficient of variation 0 to 3, against the 0.9 to 1.9 bracket implied by mound height</w:t>
            </w:r>
          </w:p>
        </w:tc>
        <w:tc>
          <w:tcPr/>
          <w:p>
            <w:pPr>
              <w:pStyle w:val="Compact"/>
            </w:pPr>
            <w:r>
              <w:rPr>
                <w:b/>
                <w:bCs/>
              </w:rPr>
              <w:t xml:space="preserve">Fails the standard.</w:t>
            </w:r>
            <w:r>
              <w:t xml:space="preserve"> </w:t>
            </w:r>
            <m:oMath>
              <m:sSub>
                <m:e>
                  <m:r>
                    <m:t>F</m:t>
                  </m:r>
                </m:e>
                <m:sub>
                  <m:r>
                    <m:t>S</m:t>
                  </m:r>
                  <m:r>
                    <m:t>T</m:t>
                  </m:r>
                </m:sub>
              </m:sSub>
            </m:oMath>
            <w:r>
              <w:t xml:space="preserve"> </w:t>
            </w:r>
            <w:r>
              <w:t xml:space="preserve">rises from 0.0029 to 0.0167, but the average population that governs drift falls with it, and the diversity match breaks above a coefficient of variation of 1.0; shortfall fourfold at 1.0 and still twofold at 2.0, where the match is already gone</w:t>
            </w:r>
          </w:p>
        </w:tc>
      </w:tr>
      <w:tr>
        <w:tc>
          <w:tcPr/>
          <w:p>
            <w:pPr>
              <w:pStyle w:val="Compact"/>
            </w:pPr>
            <w:r>
              <w:t xml:space="preserve">A different transport geography</w:t>
            </w:r>
          </w:p>
        </w:tc>
        <w:tc>
          <w:tcPr/>
          <w:p>
            <w:pPr>
              <w:pStyle w:val="Compact"/>
            </w:pPr>
            <w:r>
              <w:t xml:space="preserve">A copying kernel that isolates distant sites more would raise differentiation</w:t>
            </w:r>
          </w:p>
        </w:tc>
        <w:tc>
          <w:tcPr/>
          <w:p>
            <w:pPr>
              <w:pStyle w:val="Compact"/>
            </w:pPr>
            <w:r>
              <w:t xml:space="preserve">Distance metric (river, straight-line), interaction length (6 to 96 km), and decay form (exponential, Gaussian, power law) all swept</w:t>
            </w:r>
          </w:p>
        </w:tc>
        <w:tc>
          <w:tcPr/>
          <w:p>
            <w:pPr>
              <w:pStyle w:val="Compact"/>
            </w:pPr>
            <w:r>
              <w:rPr>
                <w:b/>
                <w:bCs/>
              </w:rPr>
              <w:t xml:space="preserve">Fails the standard.</w:t>
            </w:r>
            <w:r>
              <w:t xml:space="preserve"> </w:t>
            </w:r>
            <w:r>
              <w:t xml:space="preserve">The best cell, a Gaussian decay at 6 km, narrows the shortfall to 2.1-fold but breaks the diversity match; the best diversity-matched cell, an exponential decay at 12 km, leaves a fourfold shortfall</w:t>
            </w:r>
          </w:p>
        </w:tc>
      </w:tr>
      <w:tr>
        <w:tc>
          <w:tcPr/>
          <w:p>
            <w:pPr>
              <w:pStyle w:val="Compact"/>
            </w:pPr>
            <w:r>
              <w:t xml:space="preserve">Unequal accumulation spans</w:t>
            </w:r>
          </w:p>
        </w:tc>
        <w:tc>
          <w:tcPr/>
          <w:p>
            <w:pPr>
              <w:pStyle w:val="Compact"/>
            </w:pPr>
            <w:r>
              <w:t xml:space="preserve">Deposits sampling narrow slices of the sequence look more distinct</w:t>
            </w:r>
          </w:p>
        </w:tc>
        <w:tc>
          <w:tcPr/>
          <w:p>
            <w:pPr>
              <w:pStyle w:val="Compact"/>
            </w:pPr>
            <w:r>
              <w:t xml:space="preserve">Per-site accumulation windows drawn around a mean of eight slices, half-range 0 to 6</w:t>
            </w:r>
          </w:p>
        </w:tc>
        <w:tc>
          <w:tcPr/>
          <w:p>
            <w:pPr>
              <w:pStyle w:val="Compact"/>
            </w:pPr>
            <w:r>
              <w:rPr>
                <w:b/>
                <w:bCs/>
              </w:rPr>
              <w:t xml:space="preserve">Fails the standard.</w:t>
            </w:r>
            <w:r>
              <w:t xml:space="preserve"> </w:t>
            </w:r>
            <w:r>
              <w:t xml:space="preserve">The median stays at 0.0029 at every half-range and the shortfall at 7.0 to 7.2-fold; the statistic is unaffected</w:t>
            </w:r>
          </w:p>
        </w:tc>
      </w:tr>
      <w:tr>
        <w:tc>
          <w:tcPr/>
          <w:p>
            <w:pPr>
              <w:pStyle w:val="Compact"/>
            </w:pPr>
            <w:r>
              <w:t xml:space="preserve">A boundary in where new styles originated, still drift in every other respect</w:t>
            </w:r>
          </w:p>
        </w:tc>
        <w:tc>
          <w:tcPr/>
          <w:p>
            <w:pPr>
              <w:pStyle w:val="Compact"/>
            </w:pPr>
            <w:r>
              <w:t xml:space="preserve">Raised differentiation with no change in the drift rate, so diversity is undisturbed</w:t>
            </w:r>
          </w:p>
        </w:tc>
        <w:tc>
          <w:tcPr/>
          <w:p>
            <w:pPr>
              <w:pStyle w:val="Compact"/>
            </w:pPr>
            <w:r>
              <w:t xml:space="preserve">Each spatial cluster innovates from a random partial permutation of the regional class profile, permuted fraction 0 to 1, at 1,200 realizations per cell</w:t>
            </w:r>
          </w:p>
        </w:tc>
        <w:tc>
          <w:tcPr/>
          <w:p>
            <w:pPr>
              <w:pStyle w:val="Compact"/>
            </w:pPr>
            <w:r>
              <w:rPr>
                <w:b/>
                <w:bCs/>
              </w:rPr>
              <w:t xml:space="preserve">Comes closest, and still fails.</w:t>
            </w:r>
            <w:r>
              <w:t xml:space="preserve"> </w:t>
            </w:r>
            <w:r>
              <w:t xml:space="preserve">The shortfall falls from 7.2-fold to 1.9-fold while all three diversity summaries stay matched, the only departure to move the statistic substantially without breaking the calibration. But at a permuted fraction of 0.25 the median is 0.0107 against the observed 0.0207, and every stronger setting breaks the match</w:t>
            </w:r>
          </w:p>
        </w:tc>
      </w:tr>
    </w:tbl>
    <w:p>
      <w:pPr>
        <w:pStyle w:val="BodyText"/>
      </w:pPr>
      <w:r>
        <w:t xml:space="preserve">The seriation signature does not register closure as a trend at this record’s resolution (Figure 5), but the structure it returns still characterizes Parkin’s position directly. As described above, the deterministic method accepts an ordering only when every decorated class is at once unimodal and continuous. A set of assemblages drawn from one shared, drifting pool resolves under a single ordering, whereas learning partitioned among groups breaks into several mutually incompatible orderings</w:t>
      </w:r>
      <w:r>
        <w:t xml:space="preserve"> </w:t>
      </w:r>
      <w:r>
        <w:t xml:space="preserve">(Dunnell 1970; Lipo et al. 2015)</w:t>
      </w:r>
      <w:r>
        <w:t xml:space="preserve">. The number of maximal co-seriable groups, the largest sets of assemblages that can share one valid ordering, together with the number of groups any one assemblage joins, measures fragmentation directly</w:t>
      </w:r>
      <w:r>
        <w:t xml:space="preserve"> </w:t>
      </w:r>
      <w:r>
        <w:t xml:space="preserve">(Lipo et al. 1997)</w:t>
      </w:r>
      <w:r>
        <w:t xml:space="preserve">.</w:t>
      </w:r>
    </w:p>
    <w:p>
      <w:pPr>
        <w:pStyle w:val="BodyText"/>
      </w:pPr>
      <w:r>
        <w:t xml:space="preserve">On these analyses, Parkin joins several seriation orderings rather than belonging to one bounded community. Deterministic seriation of the basin assemblages returns a deeply fragmented structure dominated by bridging assemblages, not a single coherent ordering. At a continuity threshold of 0.1, it yields 90 maximal co-seriable groups with a maximum size of four, and 32 of the 43 assemblages belong to more than one group (Figure 7). The counts scale with the threshold. The fragmented, overlapping topology does not. That overlap is what distinguishes this from partitioned learning. Groups that had actually closed would give orderings that are incompatible</w:t>
      </w:r>
      <w:r>
        <w:t xml:space="preserve"> </w:t>
      </w:r>
      <w:r>
        <w:rPr>
          <w:i/>
          <w:iCs/>
        </w:rPr>
        <w:t xml:space="preserve">and</w:t>
      </w:r>
      <w:r>
        <w:t xml:space="preserve"> </w:t>
      </w:r>
      <w:r>
        <w:t xml:space="preserve">disjoint, whereas here most assemblages belong to several at once. The field is too continuous to resolve into one ordering, not a set of bounded traditions. Parkin is one of the bridge assemblages, a member of fifteen groups and ranked third of 43, sitting across orderings rather than at the center of one. Lipo, Madsen, and Dunnell</w:t>
      </w:r>
      <w:r>
        <w:t xml:space="preserve"> </w:t>
      </w:r>
      <w:r>
        <w:t xml:space="preserve">(2015)</w:t>
      </w:r>
      <w:r>
        <w:t xml:space="preserve"> </w:t>
      </w:r>
      <w:r>
        <w:t xml:space="preserve">found the same position and interpreted it as a possible sign of incipient hierarchy. We interpret it as a place where interaction concentrated rather than the seat of a bounded group.</w:t>
      </w:r>
    </w:p>
    <w:p>
      <w:pPr>
        <w:pStyle w:val="CaptionedFigure"/>
      </w:pPr>
      <w:r>
        <w:drawing>
          <wp:inline>
            <wp:extent cx="5334000" cy="3507669"/>
            <wp:effectExtent b="0" l="0" r="0" t="0"/>
            <wp:docPr descr="Figure 7. Deterministic frequency-seriation (IDSS, the iterative deterministic seriation solution) structure of the basin assemblages. Left: the distribution of co-seriable group sizes, a deeply fragmented structure (90 maximal groups, maximum size four). Right: the most connected assemblages ranked by the number of groups they belong to, with Parkin highlighted as a bridge (member of 15 groups, ranked third of 43) that sits across orderings rather than at the center of one bounded community." title="" id="142" name="Picture"/>
            <a:graphic>
              <a:graphicData uri="http://schemas.openxmlformats.org/drawingml/2006/picture">
                <pic:pic>
                  <pic:nvPicPr>
                    <pic:cNvPr descr="../../figures/fig7_idss_structure.png" id="143" name="Picture"/>
                    <pic:cNvPicPr>
                      <a:picLocks noChangeArrowheads="1" noChangeAspect="1"/>
                    </pic:cNvPicPr>
                  </pic:nvPicPr>
                  <pic:blipFill>
                    <a:blip r:embed="rId141"/>
                    <a:stretch>
                      <a:fillRect/>
                    </a:stretch>
                  </pic:blipFill>
                  <pic:spPr bwMode="auto">
                    <a:xfrm>
                      <a:off x="0" y="0"/>
                      <a:ext cx="5334000" cy="3507669"/>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Deterministic frequency-seriation (IDSS, the iterative deterministic seriation solution) structure of the basin assemblages. Left: the distribution of co-seriable group sizes, a deeply fragmented structure (90 maximal groups, maximum size four). Right: the most connected assemblages ranked by the number of groups they belong to, with Parkin highlighted as a bridge (member of 15 groups, ranked third of 43) that sits across orderings rather than at the center of one bounded community.</w:t>
      </w:r>
    </w:p>
    <w:p>
      <w:pPr>
        <w:pStyle w:val="BodyText"/>
      </w:pPr>
      <w:r>
        <w:t xml:space="preserve">Parkin’s features set it apart, but its prominence sits within a graded distribution rather than standing above it as a redistributive apex. Its principal mound is a flat-topped temple mound 6.5 m (21.3 ft) high on the western edge of the site, overlooking the St. Francis River, with an extension 1.5 m high at its southern end; six smaller mounds near it, mapped in 1940, range from 0.5 to 1 m. The site itself measures 17 acres (6.9 ha), is bordered by a wide ditch on its northern, eastern, and southern edges, and its occupational deposits rise 3 m above the surrounding floodplain</w:t>
      </w:r>
      <w:r>
        <w:t xml:space="preserve"> </w:t>
      </w:r>
      <w:r>
        <w:t xml:space="preserve">(Morse 1981, 1990)</w:t>
      </w:r>
      <w:r>
        <w:t xml:space="preserve">. At 21.3 ft the temple mound is the second tallest among the 55 basin sites with a recorded height, behind one site at 23 feet, and the ratio of the tallest to the second tallest is 1.08 (Figure 8). The comparison is uneven in one respect we cannot correct: Parkin’s height comes from excavation reporting, while the other 54 come from a regional compilation that records no per-site provenance. The settlement record thus shows a prominent center within a graded size distribution, not an administrative tier set above the rest</w:t>
      </w:r>
      <w:r>
        <w:t xml:space="preserve"> </w:t>
      </w:r>
      <w:r>
        <w:t xml:space="preserve">(Hally 1993, 1996)</w:t>
      </w:r>
      <w:r>
        <w:t xml:space="preserve">, which is the same picture the transmission test returns (Figure 8).</w:t>
      </w:r>
    </w:p>
    <w:p>
      <w:pPr>
        <w:pStyle w:val="CaptionedFigure"/>
      </w:pPr>
      <w:r>
        <w:drawing>
          <wp:inline>
            <wp:extent cx="5334000" cy="3332419"/>
            <wp:effectExtent b="0" l="0" r="0" t="0"/>
            <wp:docPr descr="Figure 8. Settlement cross-check. Main panel: within-basin ranking of maximum mound height, the one field recorded in the same way for every site (Parkin’s mound area is recorded as zero, an undercount, so area is not used). Parkin’s principal mound is 21.3 ft (6.5 m) after Morse (1981, 1990), which places it second among the 55 basin sites with a recorded height; the compilation this figure otherwise draws on gives Parkin 23 ft, and that substitution is recorded in data/raw/mound_height_corrections.csv. The distribution is graded, with no gap at the top (tallest-to-second ratio 1.08), which marks Parkin as a prominent center rather than a redistributive apex. Inset: the proportion of sites with a mound, a defensive ditch, and St. Francis-type fortification across the basin set (n = 92)." title="" id="145" name="Picture"/>
            <a:graphic>
              <a:graphicData uri="http://schemas.openxmlformats.org/drawingml/2006/picture">
                <pic:pic>
                  <pic:nvPicPr>
                    <pic:cNvPr descr="../../figures/fig8_ranksize.png" id="146" name="Picture"/>
                    <pic:cNvPicPr>
                      <a:picLocks noChangeArrowheads="1" noChangeAspect="1"/>
                    </pic:cNvPicPr>
                  </pic:nvPicPr>
                  <pic:blipFill>
                    <a:blip r:embed="rId144"/>
                    <a:stretch>
                      <a:fillRect/>
                    </a:stretch>
                  </pic:blipFill>
                  <pic:spPr bwMode="auto">
                    <a:xfrm>
                      <a:off x="0" y="0"/>
                      <a:ext cx="5334000" cy="3332419"/>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Settlement cross-check. Main panel: within-basin ranking of maximum mound height, the one field recorded in the same way for every site (Parkin’s mound area is recorded as zero, an undercount, so area is not used). Parkin’s principal mound is 21.3 ft (6.5 m) after Morse (1981, 1990), which places it second among the 55 basin sites with a recorded height; the compilation this figure otherwise draws on gives Parkin 23 ft, and that substitution is recorded in data/raw/mound_height_corrections.csv. The distribution is graded, with no gap at the top (tallest-to-second ratio 1.08), which marks Parkin as a prominent center rather than a redistributive apex. Inset: the proportion of sites with a mound, a defensive ditch, and St. Francis-type fortification across the basin set (n = 92).</w:t>
      </w:r>
    </w:p>
    <w:p>
      <w:pPr>
        <w:pStyle w:val="BodyText"/>
      </w:pPr>
      <w:r>
        <w:t xml:space="preserve">Everything above measures differentiation across a partition the analysis draws, which answers whether structure exists at a given grain. It does not answer the question the phases themselves pose, which is whether the boundaries culture history drew are where that structure lies. The phases are not arbitrary lines. They are where generations of workers thought they saw structure, so the question is what that perception was tracking.</w:t>
      </w:r>
    </w:p>
    <w:p>
      <w:pPr>
        <w:pStyle w:val="BodyText"/>
      </w:pPr>
      <w:r>
        <w:t xml:space="preserve">The answer depends first on grain, and that dependence is itself a result (Figure 12A). Calibrated drift produces much the same modest differentiation however finely the assemblages are grouped, its median between-cluster</w:t>
      </w:r>
      <w:r>
        <w:t xml:space="preserve"> </w:t>
      </w:r>
      <m:oMath>
        <m:sSub>
          <m:e>
            <m:r>
              <m:t>F</m:t>
            </m:r>
          </m:e>
          <m:sub>
            <m:r>
              <m:t>S</m:t>
            </m:r>
            <m:r>
              <m:t>T</m:t>
            </m:r>
          </m:sub>
        </m:sSub>
      </m:oMath>
      <w:r>
        <w:t xml:space="preserve"> </w:t>
      </w:r>
      <w:r>
        <w:t xml:space="preserve">rising only from 0.003 at two groups to 0.005 at six. The observed values do not behave that way. At two groups the record falls inside what drift produces; from three groups upward it exceeds the 95 percent interval, and the gap widens monotonically to roughly eightfold at six groups. Drift on the real geography accounts for the broad regional pattern and fails locally, and the finer the cut the worse it fails. No single</w:t>
      </w:r>
      <w:r>
        <w:t xml:space="preserve"> </w:t>
      </w:r>
      <m:oMath>
        <m:sSub>
          <m:e>
            <m:r>
              <m:t>F</m:t>
            </m:r>
          </m:e>
          <m:sub>
            <m:r>
              <m:t>S</m:t>
            </m:r>
            <m:r>
              <m:t>T</m:t>
            </m:r>
          </m:sub>
        </m:sSub>
      </m:oMath>
      <w:r>
        <w:t xml:space="preserve"> </w:t>
      </w:r>
      <w:r>
        <w:t xml:space="preserve">is therefore</w:t>
      </w:r>
      <w:r>
        <w:t xml:space="preserve"> </w:t>
      </w:r>
      <w:r>
        <w:rPr>
          <w:i/>
          <w:iCs/>
        </w:rPr>
        <w:t xml:space="preserve">the</w:t>
      </w:r>
      <w:r>
        <w:t xml:space="preserve"> </w:t>
      </w:r>
      <w:r>
        <w:t xml:space="preserve">value for this basin; the level is a property of the scale, and only the comparison against drift is stable across scales.</w:t>
      </w:r>
    </w:p>
    <w:p>
      <w:pPr>
        <w:pStyle w:val="BodyText"/>
      </w:pPr>
      <w:r>
        <w:t xml:space="preserve">We then computed the between-group</w:t>
      </w:r>
      <w:r>
        <w:t xml:space="preserve"> </w:t>
      </w:r>
      <m:oMath>
        <m:sSub>
          <m:e>
            <m:r>
              <m:t>F</m:t>
            </m:r>
          </m:e>
          <m:sub>
            <m:r>
              <m:t>S</m:t>
            </m:r>
            <m:r>
              <m:t>T</m:t>
            </m:r>
          </m:sub>
        </m:sSub>
      </m:oMath>
      <w:r>
        <w:t xml:space="preserve"> </w:t>
      </w:r>
      <w:r>
        <w:t xml:space="preserve">under the phase assignments themselves, 0.0259, and placed it against partitions that carry the phases’ own group sizes (10, 3, 4, 11, and 15 assemblages) but draw their boundaries elsewhere (Figure 12B, 12C). Against labels shuffled at random, which destroys geography, the phase partition exceeds 1,994 of 2,000 draws: assemblages near one another do resemble one another, as isolation by distance produces on its own. Against 1,000 partitions whose seed points fall at random, each assemblage assigned by exact minimum-cost matching under the phase group sizes, it sits at the 33rd percentile against a median of 0.0277. Against 1,000 partitions drawn instead to minimize within-group dispersion, it sits at the 22nd percentile against a median of 0.0290. Those percentiles are one-sided empirical percentiles; resampling the ensembles at the same draw count puts them at the 30th to 36th and the 20th to 25th.</w:t>
      </w:r>
    </w:p>
    <w:p>
      <w:pPr>
        <w:pStyle w:val="BodyText"/>
      </w:pPr>
      <w:r>
        <w:t xml:space="preserve">The phase boundaries therefore carry little more information about where ceramic differences lie than an uninformed division of the same ground into groups of the same sizes, and less than a division drawn to be spatially tight. A partition marking real interaction communities should behave otherwise: it should stand well above both, because its boundaries would be where the differences are. What the boundaries do track is spatial compactness, and closely. Their within-group dispersion, 161.8 km² per assemblage, is within 1.2 percent of the tightest five-way division of these assemblages at these group sizes that our search found, and a local search minimizing dispersion, which never sees a potsherd, returned the phase partition exactly in 6 of 1,000 random restarts. What the phase scheme appears to record is the gradient itself, real spatial structure read as edges.</w:t>
      </w:r>
    </w:p>
    <w:p>
      <w:pPr>
        <w:pStyle w:val="BodyText"/>
      </w:pPr>
      <w:r>
        <w:t xml:space="preserve">This comparison is internal to the partition and does not depend on the drift model, so the residual that model leaves does not bear on it. It does share the record’s central limitation. With an ordinal chronology derived from the same frequencies, a partition that is chronologically coherent will differentiate for reasons that are not spatial, and that applies to the phase partition and to every alternative it is judged against alike.</w:t>
      </w:r>
    </w:p>
    <w:p>
      <w:pPr>
        <w:pStyle w:val="CaptionedFigure"/>
      </w:pPr>
      <w:r>
        <w:drawing>
          <wp:inline>
            <wp:extent cx="5334000" cy="2584123"/>
            <wp:effectExtent b="0" l="0" r="0" t="0"/>
            <wp:docPr descr="Figure 12. Scale and boundaries. (A) Observed between-cluster cultural F_{ST} against the calibrated spatial-drift null as the basin is partitioned into two through six groups. The drift band is nearly flat; the observed values leave it from three groups upward and the gap widens with grain. (B) Within-group dispersion against cultural F_{ST} for 1,000 partitions carrying the phases’ group sizes with seed points placed at random (light) and 1,000 drawn to minimize dispersion (dark); the star is the phase partition. Differentiation is not a simple function of how tight the groups are (Spearman −0.05 and +0.23 within the two clouds), and the phases are tighter than every random-boundary draw and all but 11 of the 1,000 dispersion-minimizing ones. (C) The phase partition’s F_{ST} (solid line) against the dispersion-minimizing ensemble, in which it sits at the 22nd percentile." title="" id="148" name="Picture"/>
            <a:graphic>
              <a:graphicData uri="http://schemas.openxmlformats.org/drawingml/2006/picture">
                <pic:pic>
                  <pic:nvPicPr>
                    <pic:cNvPr descr="../../figures/fig12_phase_partition.png" id="149" name="Picture"/>
                    <pic:cNvPicPr>
                      <a:picLocks noChangeArrowheads="1" noChangeAspect="1"/>
                    </pic:cNvPicPr>
                  </pic:nvPicPr>
                  <pic:blipFill>
                    <a:blip r:embed="rId147"/>
                    <a:stretch>
                      <a:fillRect/>
                    </a:stretch>
                  </pic:blipFill>
                  <pic:spPr bwMode="auto">
                    <a:xfrm>
                      <a:off x="0" y="0"/>
                      <a:ext cx="5334000" cy="2584123"/>
                    </a:xfrm>
                    <a:prstGeom prst="rect">
                      <a:avLst/>
                    </a:prstGeom>
                    <a:noFill/>
                    <a:ln w="9525">
                      <a:noFill/>
                      <a:headEnd/>
                      <a:tailEnd/>
                    </a:ln>
                  </pic:spPr>
                </pic:pic>
              </a:graphicData>
            </a:graphic>
          </wp:inline>
        </w:drawing>
      </w:r>
    </w:p>
    <w:p>
      <w:pPr>
        <w:pStyle w:val="ImageCaption"/>
      </w:pPr>
      <w:r>
        <w:rPr>
          <w:b/>
          <w:bCs/>
        </w:rPr>
        <w:t xml:space="preserve">Figure 12.</w:t>
      </w:r>
      <w:r>
        <w:t xml:space="preserve"> </w:t>
      </w:r>
      <w:r>
        <w:t xml:space="preserve">Scale and boundaries. (A) Observed between-cluster cultural</w:t>
      </w:r>
      <w:r>
        <w:t xml:space="preserve"> </w:t>
      </w:r>
      <m:oMath>
        <m:sSub>
          <m:e>
            <m:r>
              <m:t>F</m:t>
            </m:r>
          </m:e>
          <m:sub>
            <m:r>
              <m:t>S</m:t>
            </m:r>
            <m:r>
              <m:t>T</m:t>
            </m:r>
          </m:sub>
        </m:sSub>
      </m:oMath>
      <w:r>
        <w:t xml:space="preserve"> </w:t>
      </w:r>
      <w:r>
        <w:t xml:space="preserve">against the calibrated spatial-drift null as the basin is partitioned into two through six groups. The drift band is nearly flat; the observed values leave it from three groups upward and the gap widens with grain. (B) Within-group dispersion against cultural</w:t>
      </w:r>
      <w:r>
        <w:t xml:space="preserve"> </w:t>
      </w:r>
      <m:oMath>
        <m:sSub>
          <m:e>
            <m:r>
              <m:t>F</m:t>
            </m:r>
          </m:e>
          <m:sub>
            <m:r>
              <m:t>S</m:t>
            </m:r>
            <m:r>
              <m:t>T</m:t>
            </m:r>
          </m:sub>
        </m:sSub>
      </m:oMath>
      <w:r>
        <w:t xml:space="preserve"> </w:t>
      </w:r>
      <w:r>
        <w:t xml:space="preserve">for 1,000 partitions carrying the phases’ group sizes with seed points placed at random (light) and 1,000 drawn to minimize dispersion (dark); the star is the phase partition. Differentiation is not a simple function of how tight the groups are (Spearman −0.05 and +0.23 within the two clouds), and the phases are tighter than every random-boundary draw and all but 11 of the 1,000 dispersion-minimizing ones. (C) The phase partition’s</w:t>
      </w:r>
      <w:r>
        <w:t xml:space="preserve"> </w:t>
      </w:r>
      <m:oMath>
        <m:sSub>
          <m:e>
            <m:r>
              <m:t>F</m:t>
            </m:r>
          </m:e>
          <m:sub>
            <m:r>
              <m:t>S</m:t>
            </m:r>
            <m:r>
              <m:t>T</m:t>
            </m:r>
          </m:sub>
        </m:sSub>
      </m:oMath>
      <w:r>
        <w:t xml:space="preserve"> </w:t>
      </w:r>
      <w:r>
        <w:t xml:space="preserve">(solid line) against the dispersion-minimizing ensemble, in which it sits at the 22nd percentile.</w:t>
      </w:r>
    </w:p>
    <w:p>
      <w:pPr>
        <w:pStyle w:val="BodyText"/>
      </w:pPr>
      <w:r>
        <w:t xml:space="preserve">If the boundaries are not where the differences are, what does the scheme record? We clustered the assemblages in a joint space of site coordinates and decorated-class composition, varying how much weight composition carries, and scored each result against the published phase assignments with the adjusted Rand index, which is zero in expectation for unrelated partitions (Figure 14). The nine assemblages this study places by territory are excluded from that score, because a geographic fill rule measured against geography would manufacture the agreement it is meant to test; the remaining 34 are Mainfort’s own assignments. Partitions carrying the phases’ group sizes with their boundaries placed at random agree at 0.356, which is what the group sizes alone produce. The site coordinates alone reach a median of 0.678 over 40 k-means initializations, though they are unstable across them, ranging to 1.000. Adding composition at a weight of 0.1 to 0.25 raises the median to 0.815 and removes that instability, every initialization returning the same partition at a weight of 0.25. Weighting composition equally with the coordinates lowers the median to 0.737, and composition alone reaches 0.138. The phase scheme is therefore neither a partition of the map nor a reading of the pottery. It is the pottery seen through where the sites are, with geography carrying roughly four times the weight.</w:t>
      </w:r>
    </w:p>
    <w:p>
      <w:pPr>
        <w:pStyle w:val="BodyText"/>
      </w:pPr>
      <w:r>
        <w:t xml:space="preserve">That figure is reported under the chi-square transform because it is the only one of the three we ran that has no free parameter. Thirty-nine percent of the cells in this matrix are zero, so a log-ratio transform cannot be computed without deciding what a zero is worth, and that decision moves the agreement from 0.74 to a perfect 1.00 as absence is amplified harder. The sensitivity is reported in full in the Supplemental Text rather than resolved by a choice.</w:t>
      </w:r>
    </w:p>
    <w:p>
      <w:pPr>
        <w:pStyle w:val="BodyText"/>
      </w:pPr>
      <w:r>
        <w:t xml:space="preserve">The boundaries themselves give the same answer from a different direction. Treating decorated-class composition as a continuous field and taking its local gradient yields a rate of compositional turnover at every point in the basin, in proportion units per kilometer (Figure 13A). An edge between interaction communities would appear as a ridge in that field. The published boundaries do not lie on ridges. Median turnover along them is 0.0087 per kilometer against 0.0112 for boundaries built the same way from 200 partitions carrying the phases’ group sizes with their seeds placed at random, which puts the phase boundaries at the 3rd percentile (Figure 13B). They fall where composition changes unusually slowly, not unusually fast. We report that matched comparison rather than the more obvious one against the mapped area as a whole, which gives the 19th percentile and is an artifact: turnover falls where local support rises, and boundaries of this construction necessarily lie in the interior of the site distribution, where support is highest.</w:t>
      </w:r>
    </w:p>
    <w:p>
      <w:pPr>
        <w:pStyle w:val="CaptionedFigure"/>
      </w:pPr>
      <w:r>
        <w:drawing>
          <wp:inline>
            <wp:extent cx="5098009" cy="2911400"/>
            <wp:effectExtent b="0" l="0" r="0" t="0"/>
            <wp:docPr descr="Figure 13. Groupness as a continuous field. (A) Compositional turnover, the root sum of squares of the local weighted-least-squares gradient of the ten decorated-class proportions, on a 160 by 160 grid with a 15 km Gaussian bandwidth, masked where local support falls below two effective assemblages. Circles are assemblages. (B) The same field with the published phase boundaries drawn on it. Median turnover along those boundaries sits at the 3rd percentile of boundaries induced by 200 size-matched partitions with seeds placed at random. (C) Observed cultural F_{ST} against group radius in kilometers, with the calibrated drift band behind it; the axis runs from coarse to fine. The band is nearly flat while the observed value rises from 0.0076 at a 26 km radius to 0.0512 at 7 km. Past a radius of about 10 km the partition begins isolating single assemblages, so finer grains are shown but should not be read as structure." title="" id="151" name="Picture"/>
            <a:graphic>
              <a:graphicData uri="http://schemas.openxmlformats.org/drawingml/2006/picture">
                <pic:pic>
                  <pic:nvPicPr>
                    <pic:cNvPr descr="../../figures/fig13_groupness_surface.png" id="152" name="Picture"/>
                    <pic:cNvPicPr>
                      <a:picLocks noChangeArrowheads="1" noChangeAspect="1"/>
                    </pic:cNvPicPr>
                  </pic:nvPicPr>
                  <pic:blipFill>
                    <a:blip r:embed="rId150"/>
                    <a:stretch>
                      <a:fillRect/>
                    </a:stretch>
                  </pic:blipFill>
                  <pic:spPr bwMode="auto">
                    <a:xfrm>
                      <a:off x="0" y="0"/>
                      <a:ext cx="5098009" cy="2911400"/>
                    </a:xfrm>
                    <a:prstGeom prst="rect">
                      <a:avLst/>
                    </a:prstGeom>
                    <a:noFill/>
                    <a:ln w="9525">
                      <a:noFill/>
                      <a:headEnd/>
                      <a:tailEnd/>
                    </a:ln>
                  </pic:spPr>
                </pic:pic>
              </a:graphicData>
            </a:graphic>
          </wp:inline>
        </w:drawing>
      </w:r>
    </w:p>
    <w:p>
      <w:pPr>
        <w:pStyle w:val="ImageCaption"/>
      </w:pPr>
      <w:r>
        <w:rPr>
          <w:b/>
          <w:bCs/>
        </w:rPr>
        <w:t xml:space="preserve">Figure 13.</w:t>
      </w:r>
      <w:r>
        <w:t xml:space="preserve"> </w:t>
      </w:r>
      <w:r>
        <w:t xml:space="preserve">Groupness as a continuous field. (A) Compositional turnover, the root sum of squares of the local weighted-least-squares gradient of the ten decorated-class proportions, on a 160 by 160 grid with a 15 km Gaussian bandwidth, masked where local support falls below two effective assemblages. Circles are assemblages. (B) The same field with the published phase boundaries drawn on it. Median turnover along those boundaries sits at the 3rd percentile of boundaries induced by 200 size-matched partitions with seeds placed at random. (C) Observed cultural</w:t>
      </w:r>
      <w:r>
        <w:t xml:space="preserve"> </w:t>
      </w:r>
      <m:oMath>
        <m:sSub>
          <m:e>
            <m:r>
              <m:t>F</m:t>
            </m:r>
          </m:e>
          <m:sub>
            <m:r>
              <m:t>S</m:t>
            </m:r>
            <m:r>
              <m:t>T</m:t>
            </m:r>
          </m:sub>
        </m:sSub>
      </m:oMath>
      <w:r>
        <w:t xml:space="preserve"> </w:t>
      </w:r>
      <w:r>
        <w:t xml:space="preserve">against group radius in kilometers, with the calibrated drift band behind it; the axis runs from coarse to fine. The band is nearly flat while the observed value rises from 0.0076 at a 26 km radius to 0.0512 at 7 km. Past a radius of about 10 km the partition begins isolating single assemblages, so finer grains are shown but should not be read as structure.</w:t>
      </w:r>
    </w:p>
    <w:p>
      <w:pPr>
        <w:pStyle w:val="CaptionedFigure"/>
      </w:pPr>
      <w:r>
        <w:drawing>
          <wp:inline>
            <wp:extent cx="3269209" cy="2703443"/>
            <wp:effectExtent b="0" l="0" r="0" t="0"/>
            <wp:docPr descr="Figure 14. What recovers the phase scheme. Agreement with Mainfort’s published phase assignments, measured by adjusted Rand index over the 34 assemblages he assigned, as the median over 40 k-means initializations, for clusterings of a joint space of site coordinates and decorated-class composition as the weight on composition varies. Zero weight is the site map alone. Three compositional transforms are shown; the chi-square transform is the one the text quotes, being the only one with no free parameter. The dash-dotted line is the agreement reached by partitions carrying the phases’ own group sizes with boundaries placed at random, which is what the group sizes produce on their own. Agreement peaks with composition weighted at a quarter or less of the coordinates and falls away on either side." title="" id="154" name="Picture"/>
            <a:graphic>
              <a:graphicData uri="http://schemas.openxmlformats.org/drawingml/2006/picture">
                <pic:pic>
                  <pic:nvPicPr>
                    <pic:cNvPr descr="../../figures/fig14_phase_recovery.png" id="155" name="Picture"/>
                    <pic:cNvPicPr>
                      <a:picLocks noChangeArrowheads="1" noChangeAspect="1"/>
                    </pic:cNvPicPr>
                  </pic:nvPicPr>
                  <pic:blipFill>
                    <a:blip r:embed="rId153"/>
                    <a:stretch>
                      <a:fillRect/>
                    </a:stretch>
                  </pic:blipFill>
                  <pic:spPr bwMode="auto">
                    <a:xfrm>
                      <a:off x="0" y="0"/>
                      <a:ext cx="3269209" cy="2703443"/>
                    </a:xfrm>
                    <a:prstGeom prst="rect">
                      <a:avLst/>
                    </a:prstGeom>
                    <a:noFill/>
                    <a:ln w="9525">
                      <a:noFill/>
                      <a:headEnd/>
                      <a:tailEnd/>
                    </a:ln>
                  </pic:spPr>
                </pic:pic>
              </a:graphicData>
            </a:graphic>
          </wp:inline>
        </w:drawing>
      </w:r>
    </w:p>
    <w:p>
      <w:pPr>
        <w:pStyle w:val="ImageCaption"/>
      </w:pPr>
      <w:r>
        <w:rPr>
          <w:b/>
          <w:bCs/>
        </w:rPr>
        <w:t xml:space="preserve">Figure 14.</w:t>
      </w:r>
      <w:r>
        <w:t xml:space="preserve"> </w:t>
      </w:r>
      <w:r>
        <w:t xml:space="preserve">What recovers the phase scheme. Agreement with Mainfort’s published phase assignments, measured by adjusted Rand index over the 34 assemblages he assigned, as the median over 40 k-means initializations, for clusterings of a joint space of site coordinates and decorated-class composition as the weight on composition varies. Zero weight is the site map alone. Three compositional transforms are shown; the chi-square transform is the one the text quotes, being the only one with no free parameter. The dash-dotted line is the agreement reached by partitions carrying the phases’ own group sizes with boundaries placed at random, which is what the group sizes produce on their own. Agreement peaks with composition weighted at a quarter or less of the coordinates and falls away on either side.</w:t>
      </w:r>
    </w:p>
    <w:bookmarkEnd w:id="156"/>
    <w:bookmarkEnd w:id="157"/>
    <w:bookmarkStart w:id="158" w:name="discussion"/>
    <w:p>
      <w:pPr>
        <w:pStyle w:val="Heading2"/>
      </w:pPr>
      <w:r>
        <w:t xml:space="preserve">Discussion</w:t>
      </w:r>
    </w:p>
    <w:p>
      <w:pPr>
        <w:pStyle w:val="FirstParagraph"/>
      </w:pPr>
      <w:r>
        <w:t xml:space="preserve">The lines of evidence agree on what the Parkin record does not show and disagree on what explains what it does show. Within the St. Francis basin, Parkin is the largest center and has the most elaborate mound construction. Its decorated-ceramic record shows no closure of interaction at the resolution our recovery experiment establishes. The settlement and exchange records likewise show a graded organization rather than one with a single apex</w:t>
      </w:r>
      <w:r>
        <w:t xml:space="preserve"> </w:t>
      </w:r>
      <w:r>
        <w:t xml:space="preserve">(Cobb 2000)</w:t>
      </w:r>
      <w:r>
        <w:t xml:space="preserve">. Because the exchange evidence comes from the region as a whole rather than from within the basin, we treat it as consistent with decentralization at Parkin rather than as proof of it.</w:t>
      </w:r>
    </w:p>
    <w:p>
      <w:pPr>
        <w:pStyle w:val="BodyText"/>
      </w:pPr>
      <w:r>
        <w:t xml:space="preserve">What the record does show, once the drift model is required to match the diversity within the assemblages themselves, is more differentiation between spatial clusters than the simplest form of spatially structured drift produces, and restricted copying, as we have modeled it, does not explain the difference either. Of the four assumptions we were able to relax, only one accounts for it, and it is not an assumption about who copied whom.</w:t>
      </w:r>
    </w:p>
    <w:p>
      <w:pPr>
        <w:pStyle w:val="BodyText"/>
      </w:pPr>
      <w:r>
        <w:t xml:space="preserve">It is worth being clear about what that result does and does not claim about geography’s role. The innovation boundary is itself geographic. The profiles follow the same spatial clusters everything else in this comparison is measured on, and nothing in it requires a social frontier. The four tests separate not geography from some other kind of explanation, but the process geography acts on. Acting on copying, through the distance over which potters learned from one another, geography does not reproduce the record. No metric, length, or decay shape does so while the assemblages’ diversity is held. Acting on innovation, through where new variants first appeared, a weak spatial structure reproduces both at once. The record is spatially organized either way. What it appears not to be is spatially organized in the channel archaeology usually assumes.</w:t>
      </w:r>
    </w:p>
    <w:p>
      <w:pPr>
        <w:pStyle w:val="BodyText"/>
      </w:pPr>
      <w:r>
        <w:t xml:space="preserve">This identifies a mechanism the record is consistent with, not one it demonstrates. The group profiles in the test are random permutations of the regional profile, not the profiles the groups actually have. Using the latter would guarantee the result by construction. The individual realizations are also widely spread, so the agreement is between the model’s central tendency and the observation rather than between tight distributions. What can be said is narrower and still useful. Of the four assumptions we could relax, only a boundary in where new styles</w:t>
      </w:r>
      <w:r>
        <w:t xml:space="preserve"> </w:t>
      </w:r>
      <w:r>
        <w:rPr>
          <w:i/>
          <w:iCs/>
        </w:rPr>
        <w:t xml:space="preserve">originate</w:t>
      </w:r>
      <w:r>
        <w:t xml:space="preserve"> </w:t>
      </w:r>
      <w:r>
        <w:t xml:space="preserve">reproduces the record’s differentiation and its diversity at once. That points attention away from restricted copying, which the paper has already found little sign of, and toward the possibility that innovation itself was locally patterned.</w:t>
      </w:r>
    </w:p>
    <w:p>
      <w:pPr>
        <w:pStyle w:val="BodyText"/>
      </w:pPr>
      <w:r>
        <w:t xml:space="preserve">A drift model alone does not reproduce the phase pattern, and the transmission record does not identify bounded groups as its cause either. A partition-free field model finds almost none of the site-specific residual that bounded groups would leave, so the differentiation that calibrated drift underpredicts is spatially continuous rather than clustered into groups. It leaves the drift-versus-groups question open at the level of the basin, and it does not support interpreting the Parkin phase as a polity.</w:t>
      </w:r>
    </w:p>
    <w:p>
      <w:pPr>
        <w:pStyle w:val="BodyText"/>
      </w:pPr>
      <w:r>
        <w:t xml:space="preserve">The ceramic claim has a narrow scope. Our transmission analysis asks whether interaction closed into bounded, like-with-like groups. It does not ask about group-level fitness differences or a new unit of selection</w:t>
      </w:r>
      <w:r>
        <w:t xml:space="preserve"> </w:t>
      </w:r>
      <w:r>
        <w:t xml:space="preserve">(Richerson et al. 2016)</w:t>
      </w:r>
      <w:r>
        <w:t xml:space="preserve">, because assemblage data cannot address those questions. Nor does it isolate demographic structure, which can shape assemblage diversity independently of any closure of interaction</w:t>
      </w:r>
      <w:r>
        <w:t xml:space="preserve"> </w:t>
      </w:r>
      <w:r>
        <w:t xml:space="preserve">(Henrich 2004; Powell et al. 2009)</w:t>
      </w:r>
      <w:r>
        <w:t xml:space="preserve">.</w:t>
      </w:r>
    </w:p>
    <w:p>
      <w:pPr>
        <w:pStyle w:val="BodyText"/>
      </w:pPr>
      <w:r>
        <w:t xml:space="preserve">The phase rests on the single observation that assemblages resemble their near neighbors more than their distant ones. Spatially structured drift produces a pattern of that shape on its own, with no bounded group anywhere, even though the drift model we calibrated does not match how strong the pattern is here. At the scale at which the phase is drawn, it marks continuous interaction shaped by geography rather than a bounded society. Parkin’s ceremonial and demographic prominence was real. The polity that prominence is taken to imply is not in the transmission record.</w:t>
      </w:r>
    </w:p>
    <w:p>
      <w:pPr>
        <w:pStyle w:val="BodyText"/>
      </w:pPr>
      <w:r>
        <w:t xml:space="preserve">The region’s own ethnohistory offers an independent precedent for separating polity from ceramic phase. Coosa, the best-documented Mississippian paramountcy, spanned two ceramic traditions and site clusters that were separable at the phase level. Political affiliation, rather than shared decorated style, bound them together</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regional literature. In the standard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tested directly, and the calibrated comparison reported above does so. Run forward on the real configuration of the basin assemblages, with copying that decays with distance along the waterways and with no boundary imposed</w:t>
      </w:r>
      <w:r>
        <w:t xml:space="preserve"> </w:t>
      </w:r>
      <w:r>
        <w:t xml:space="preserve">(Lipo et al. 2021)</w:t>
      </w:r>
      <w:r>
        <w:t xml:space="preserve">, and the drift model reproduces the diversity within the assemblages while underpredicting differentiation between the spatial clusters. Local elaboration on a shared complex is most of what the record looks like, but it is not all of it.</w:t>
      </w:r>
    </w:p>
    <w:p>
      <w:pPr>
        <w:pStyle w:val="BodyText"/>
      </w:pPr>
      <w:r>
        <w:t xml:space="preserve">The uncalibrated version of this experiment had placed the observed differentiation at the upper edge of the drift distribution. That version ran at a within-assemblage diversity far above the record’s, and its result was an artifact of the misfit. In finite populations, structure rather than population size governs how drift partitions diversity, and a localized neutral process is easily mistaken for biased transmission when diversity is taken at face value</w:t>
      </w:r>
      <w:r>
        <w:t xml:space="preserve"> </w:t>
      </w:r>
      <w:r>
        <w:t xml:space="preserve">(Barton 1996; Premo 2016; Premo and Scholnick 2011; Schneider et al. 2016)</w:t>
      </w:r>
      <w:r>
        <w:t xml:space="preserve">. The converse also holds. A drift model taken at face value, without calibration, is easily credited with structure it cannot produce.</w:t>
      </w:r>
    </w:p>
    <w:p>
      <w:pPr>
        <w:pStyle w:val="BodyText"/>
      </w:pPr>
      <w:r>
        <w:t xml:space="preserve">The remaining excess is measured on the basin’s spatial clusters, not on the phase labels. Nothing in the comparison singles Parkin out. Its assemblages sit inside the same continuous field as the rest, and time-averaging is built into the null through the eight-slice accumulation window, so it cannot be invoked to discount the excess either.</w:t>
      </w:r>
    </w:p>
    <w:p>
      <w:pPr>
        <w:pStyle w:val="BodyText"/>
      </w:pPr>
      <w:r>
        <w:t xml:space="preserve">If any part of this evidence favored the emerging-chiefdom interpretation, it would be this excess, though the model built to represent boundaries does not reproduce it either. Two further arguments have been offered for that interpretation. The most direct holds that Parkin sits on agriculturally poor soil and so must have drawn tribute from the productive villages around it</w:t>
      </w:r>
      <w:r>
        <w:t xml:space="preserve"> </w:t>
      </w:r>
      <w:r>
        <w:t xml:space="preserve">(Phyllis A. Morse 1990)</w:t>
      </w:r>
      <w:r>
        <w:t xml:space="preserve">. That inference is specific and deserves credit, but it is circular. The tribute it concludes is the tribute it assumes, and Parkin’s position at the confluence of the St. Francis and Tyronza is explained as well by control of movement and communication as by extraction. The second points to skeletal evidence from the lower Mississippi (Yazoo) Delta rather than from the St. Francis basin, where people at a mound center had a better diet than people at a nearby satellite village</w:t>
      </w:r>
      <w:r>
        <w:t xml:space="preserve"> </w:t>
      </w:r>
      <w:r>
        <w:t xml:space="preserve">(Ross-Stallings 2017)</w:t>
      </w:r>
      <w:r>
        <w:t xml:space="preserve">. That contrast is real but weak. The satellite sample numbers fourteen individuals, and health differences between two sites need not arise from an extractive hierarchy. Neither argument supplies the regional, structural signature that the drift-versus-groups comparison seeks and fails to find.</w:t>
      </w:r>
    </w:p>
    <w:p>
      <w:pPr>
        <w:pStyle w:val="BodyText"/>
      </w:pPr>
      <w:r>
        <w:t xml:space="preserve">Before the limits, it is worth setting out plainly what the result is, because it has three parts and they do not carry equal weight.</w:t>
      </w:r>
    </w:p>
    <w:p>
      <w:pPr>
        <w:numPr>
          <w:ilvl w:val="0"/>
          <w:numId w:val="1001"/>
        </w:numPr>
      </w:pPr>
      <w:r>
        <w:rPr>
          <w:i/>
          <w:iCs/>
        </w:rPr>
        <w:t xml:space="preserve">Interaction in the basin narrowed no further than distance alone accounts for, as far as this record can show.</w:t>
      </w:r>
      <w:r>
        <w:t xml:space="preserve"> </w:t>
      </w:r>
      <w:r>
        <w:t xml:space="preserve">The recovery experiment fixes what</w:t>
      </w:r>
      <w:r>
        <w:t xml:space="preserve"> </w:t>
      </w:r>
      <w:r>
        <w:t xml:space="preserve">“as far as this record can show”</w:t>
      </w:r>
      <w:r>
        <w:t xml:space="preserve"> </w:t>
      </w:r>
      <w:r>
        <w:t xml:space="preserve">means. A closure of moderate or greater strength, expressed as divergence between spatial clusters, would have registered, and none did.</w:t>
      </w:r>
    </w:p>
    <w:p>
      <w:pPr>
        <w:numPr>
          <w:ilvl w:val="0"/>
          <w:numId w:val="1001"/>
        </w:numPr>
      </w:pPr>
      <w:r>
        <w:rPr>
          <w:i/>
          <w:iCs/>
        </w:rPr>
        <w:t xml:space="preserve">The basin assemblages are more differentiated than either generative model produces.</w:t>
      </w:r>
      <w:r>
        <w:t xml:space="preserve"> </w:t>
      </w:r>
      <w:r>
        <w:t xml:space="preserve">Between-cluster cultural</w:t>
      </w:r>
      <w:r>
        <w:t xml:space="preserve"> </w:t>
      </w:r>
      <m:oMath>
        <m:sSub>
          <m:e>
            <m:r>
              <m:t>F</m:t>
            </m:r>
          </m:e>
          <m:sub>
            <m:r>
              <m:t>S</m:t>
            </m:r>
            <m:r>
              <m:t>T</m:t>
            </m:r>
          </m:sub>
        </m:sSub>
      </m:oMath>
      <w:r>
        <w:t xml:space="preserve"> </w:t>
      </w:r>
      <w:r>
        <w:t xml:space="preserve">is 0.018, against 0.0007 to 0.018 for the simplest drift model calibrated to the assemblages’ own diversity, and imposing bounded groups on the copying network does not make up the difference.</w:t>
      </w:r>
    </w:p>
    <w:p>
      <w:pPr>
        <w:numPr>
          <w:ilvl w:val="0"/>
          <w:numId w:val="1001"/>
        </w:numPr>
      </w:pPr>
      <w:r>
        <w:rPr>
          <w:i/>
          <w:iCs/>
        </w:rPr>
        <w:t xml:space="preserve">A boundary in where new styles originated is the only tested account of that difference.</w:t>
      </w:r>
      <w:r>
        <w:t xml:space="preserve"> </w:t>
      </w:r>
      <w:r>
        <w:t xml:space="preserve">Of the four assumptions relaxed, it alone reproduces the basin’s differentiation and its within-assemblage diversity at the same time. It is drift with one added ingredient, not an alternative to drift.</w:t>
      </w:r>
    </w:p>
    <w:p>
      <w:pPr>
        <w:pStyle w:val="FirstParagraph"/>
      </w:pPr>
      <w:r>
        <w:t xml:space="preserve">The first is a finding about Parkin, the second is a finding about our models, and the third is a hypothesis the record is consistent with rather than one it demonstrates. Table 2 sets them against the accounts they displace. Each of the four limits below applies to one of them.</w:t>
      </w:r>
    </w:p>
    <w:p>
      <w:pPr>
        <w:pStyle w:val="BodyText"/>
      </w:pPr>
      <w:r>
        <w:t xml:space="preserve">The first limit is resolution, and it applies to the finding about Parkin. On a record of this size, the discrimination reduces to a single confound-controlled signature, cultural</w:t>
      </w:r>
      <w:r>
        <w:t xml:space="preserve"> </w:t>
      </w:r>
      <m:oMath>
        <m:sSub>
          <m:e>
            <m:r>
              <m:t>F</m:t>
            </m:r>
          </m:e>
          <m:sub>
            <m:r>
              <m:t>S</m:t>
            </m:r>
            <m:r>
              <m:t>T</m:t>
            </m:r>
          </m:sub>
        </m:sSub>
      </m:oMath>
      <w:r>
        <w:t xml:space="preserve">, and its size-controlled empirical value is uninformative (Figure 5). Recovery also succeeds only when closure shows up as divergence between groups. So the finding states that this record cannot register closure of the kind and strength it detects. Three kinds are not ruled out. A closure weaker than the detection threshold would be missed, and two others would lie below detection at any strength at all. One is a closure carried purely by conformity within groups, the other a closure following social divisions that do not align with the spatial clusters (Supplemental Text). Naming those, rather than claiming that no closure existed, is what the recovery experiment buys.</w:t>
      </w:r>
    </w:p>
    <w:p>
      <w:pPr>
        <w:pStyle w:val="BodyText"/>
      </w:pPr>
      <w:r>
        <w:t xml:space="preserve">The second limit is the ordinal chronology, and it applies to any interpretation of these findings as change over time. Radiocarbon dates from the basin pool to five dated proveniences across a calibration plateau, so the time axis is a relative order oriented toward later time rather than a calendar rate. This costs less than it might, because the size-controlled</w:t>
      </w:r>
      <w:r>
        <w:t xml:space="preserve"> </w:t>
      </w:r>
      <m:oMath>
        <m:sSub>
          <m:e>
            <m:r>
              <m:t>F</m:t>
            </m:r>
          </m:e>
          <m:sub>
            <m:r>
              <m:t>S</m:t>
            </m:r>
            <m:r>
              <m:t>T</m:t>
            </m:r>
          </m:sub>
        </m:sSub>
      </m:oMath>
      <w:r>
        <w:t xml:space="preserve"> </w:t>
      </w:r>
      <w:r>
        <w:t xml:space="preserve">trend runs the wrong way for closure in the first place, a rank correlation of -0.756 against a draw-to-draw spread of -0.40 to +0.60, and reversing the axis only reverses the sign of a negligible trend. What the paper reports is therefore a level of differentiation, not a trajectory toward or away from one. We report the spatial comparisons under both orientations, and the settlement and exchange lines of evidence do not depend on the ceramic chronology.</w:t>
      </w:r>
    </w:p>
    <w:p>
      <w:pPr>
        <w:pStyle w:val="BodyText"/>
      </w:pPr>
      <w:r>
        <w:t xml:space="preserve">The third limit is time-averaging, which damps variation between assemblages and reduces apparent turnover</w:t>
      </w:r>
      <w:r>
        <w:t xml:space="preserve"> </w:t>
      </w:r>
      <w:r>
        <w:t xml:space="preserve">(Coco and Iovita 2020; Kidwell and Tomašových 2013; Perreault 2018; Tomašových and Kidwell 2009, 2010; Youngblood et al. 2023)</w:t>
      </w:r>
      <w:r>
        <w:t xml:space="preserve">. It also applies to the finding about Parkin, and it sets how strong a closure we could have detected rather than whether we could have detected one at all. We did not simply argue that this damping means our negative result understates whatever closure was really there. We built the damping into the recovery experiment, so its cost is already inside the detection threshold the first limit refers to. It widens the posterior over closure strength rather than shifting it. The verdict is stable across both basin definitions, the watershed subset (15 assemblages) and the full phase set (34).</w:t>
      </w:r>
    </w:p>
    <w:p>
      <w:pPr>
        <w:pStyle w:val="BodyText"/>
      </w:pPr>
      <w:r>
        <w:t xml:space="preserve">The fourth limit is how completely the drift model is specified, and it applies to the second and third findings, which are measured against a model rather than taken directly from the record. An excess over a model is only as meaningful as the model it is measured against. The version of the drift model most often used, with exchangeable classes and a fixed, uncalibrated population, does not fit the assemblages it is compared with, which is why we calibrated. The calibrated model fits their within-assemblage diversity but not their between-cluster differentiation. A more completely specified model could absorb that difference, and one of the four assumptions we relaxed does exactly that. Three do not, and a fifth assumption we did not think to question might do so as well. This is why the innovation boundary is reported as the best of four tested accounts rather than as the explanation, and why the second finding, unlike the first, is a statement about the distance between the record and our best current model of it.</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requirement by construction, since the transmission model entails each signature rather than borrowing it by analogy</w:t>
      </w:r>
      <w:r>
        <w:t xml:space="preserve"> </w:t>
      </w:r>
      <w:r>
        <w:t xml:space="preserve">(Lipo et al. 2015; Neiman 1995)</w:t>
      </w:r>
      <w:r>
        <w:t xml:space="preserve">. The third we test rather than assume, which is the point of the recovery experiment, and for the Parkin record only between-group variance qualifies</w:t>
      </w:r>
      <w:r>
        <w:t xml:space="preserve"> </w:t>
      </w:r>
      <w:r>
        <w:t xml:space="preserve">(Perreault 2019)</w:t>
      </w:r>
      <w:r>
        <w:t xml:space="preserve">. The second they meet only in part, because they measure states along the seriation sequence rather than the transformation between them.</w:t>
      </w:r>
    </w:p>
    <w:p>
      <w:pPr>
        <w:pStyle w:val="BodyText"/>
      </w:pPr>
      <w:r>
        <w:t xml:space="preserve">Two time-domain tests address that shortcoming. The first fits a frequency-dependent copying model to the whole sequence, with the record’s time-averaging built in, and recovers a transmission bias near neutral, a 95 percent interval of -0.026 to +0.041 that includes zero</w:t>
      </w:r>
      <w:r>
        <w:t xml:space="preserve"> </w:t>
      </w:r>
      <w:r>
        <w:t xml:space="preserve">(Crema et al. 2016)</w:t>
      </w:r>
      <w:r>
        <w:t xml:space="preserve">. Its calibration battery shows undercoverage at one tested value, so we treat that interval as consistent with weak or absent basin-wide conformity rather than as excluding strong conformity. Second,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finding about Parkin holds in the time domain as well as on the static states (Supplemental Text).</w:t>
      </w:r>
    </w:p>
    <w:p>
      <w:pPr>
        <w:pStyle w:val="BodyText"/>
      </w:pPr>
      <w:r>
        <w:t xml:space="preserve">This work makes both a methodological and a substantive contribution. The four signatures show that a bounded interaction group can in principle be distinguished from drift, and an idealized simulation confirms that closure moves all four together while the three resembling processes move only some (Figure 2). Before interpreting any similarity structure as social, the approach asks which signatures a given record can support and how strongly each could detect closure. Before any null is credited with reproducing a record, it asks whether that null fits the record’s own diversity. For the Parkin record, the first question has a single answer, since only cultural</w:t>
      </w:r>
      <w:r>
        <w:t xml:space="preserve"> </w:t>
      </w:r>
      <m:oMath>
        <m:sSub>
          <m:e>
            <m:r>
              <m:t>F</m:t>
            </m:r>
          </m:e>
          <m:sub>
            <m:r>
              <m:t>S</m:t>
            </m:r>
            <m:r>
              <m:t>T</m:t>
            </m:r>
          </m:sub>
        </m:sSub>
      </m:oMath>
      <w:r>
        <w:t xml:space="preserve"> </w:t>
      </w:r>
      <w:r>
        <w:t xml:space="preserve">is reliable here, and the second overturns a result we had reported. Even so, had</w:t>
      </w:r>
      <w:r>
        <w:t xml:space="preserve"> </w:t>
      </w:r>
      <m:oMath>
        <m:sSub>
          <m:e>
            <m:r>
              <m:t>F</m:t>
            </m:r>
          </m:e>
          <m:sub>
            <m:r>
              <m:t>S</m:t>
            </m:r>
            <m:r>
              <m:t>T</m:t>
            </m:r>
          </m:sub>
        </m:sSub>
      </m:oMath>
      <w:r>
        <w:t xml:space="preserve"> </w:t>
      </w:r>
      <w:r>
        <w:t xml:space="preserve">shown a positive trend it could not by itself have separated a real group from environmental patchiness, which also drives variance between groups (Table 1). What remains is small, measured on spatial clusters rather than phase labels, and does not identify a bounded group at Parkin. If the polity the De Soto expedition encountered was there, it is registered in ceremonial practice, fortification, and settlement size rather than in a boundary written into ceramic transmission.</w:t>
      </w:r>
    </w:p>
    <w:p>
      <w:pPr>
        <w:pStyle w:val="BodyText"/>
      </w:pPr>
      <w:r>
        <w:t xml:space="preserve">One question remains open and warrants direct investigation. The basin’s between-cluster differentiation exceeds what calibrated drift produces, and that excess is small but consistent. A center just beginning to differentiate from its neighbors would leave an excess of this kind, and contact and the protohistoric depopulation would have cut any such sequence short before it could consolidate. A boundary in copying placed somewhere we did not model would leave an excess of this kind too, though the version we could test reproduces only a small part of it. Relaxing those assumptions narrows the question without settling it. They rule out the geographies and accumulation histories we could construct, but they leave two accounts standing side by side, a locally patterned innovation process and a genuine social boundary, which these data cannot tell apart.</w:t>
      </w:r>
    </w:p>
    <w:p>
      <w:pPr>
        <w:pStyle w:val="BodyText"/>
      </w:pPr>
      <w:r>
        <w:t xml:space="preserve">The time-averaged surface record of the eight assemblages assigned to the Parkin phase proper is not the record on which to settle that question. Stratified, excavated assemblages with independent radiocarbon dates could test whether differentiation increases over time rather than staying flat. Compositional and petrographic sourcing could test whether production and exchange were localized at the center.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test whether economic and social differentiation track the ceramic excess or run independently of it. Whether Parkin was beginning to separate from its neighbors, or simply sits where the river network concentrates interaction, this analysis sharpens but cannot settle.</w:t>
      </w:r>
    </w:p>
    <w:bookmarkEnd w:id="158"/>
    <w:bookmarkStart w:id="159" w:name="conclusion"/>
    <w:p>
      <w:pPr>
        <w:pStyle w:val="Heading2"/>
      </w:pPr>
      <w:r>
        <w:t xml:space="preserve">Conclusion</w:t>
      </w:r>
    </w:p>
    <w:p>
      <w:pPr>
        <w:pStyle w:val="FirstParagraph"/>
      </w:pPr>
      <w:r>
        <w:t xml:space="preserve">The phase is the unit on which lower Mississippi Valley culture history is built. It carries a silent claim, that assemblages grouped by seriation and spatial proximity record a bounded social unit. For the Parkin phase, that claim does not survive measurement, but neither does the alternative we first offered in its place. Parkin is the basin’s largest center, although not the site with its tallest mound. No evidence from settlement, exchange, or the transmission of ceramic decoration indicates that it was the apex of a polity, and the record shows no narrowing of interaction beyond what distance produces, along its sequence and at the resolution the record affords. Across seriation orderings, Parkin sits as a bridge in the transmission network rather than at the closed core of a group.</w:t>
      </w:r>
    </w:p>
    <w:p>
      <w:pPr>
        <w:pStyle w:val="BodyText"/>
      </w:pPr>
      <w:r>
        <w:t xml:space="preserve">The simplest form of neutral drift does not, however, account for the whole of the phase pattern. Once that model is required to fit the assemblages’ own diversity, it reproduces the tendency of nearby assemblages to resemble one another, but it underpredicts how different the basin’s spatial clusters actually are. No parameterization that reproduces the assemblages’ diversity reproduces their differentiation. Restricted copying across spatial groups, as modeled here, accounts for only part of the difference. That difference is not group structure. The partition-free field model finds almost none of the site-specific variation that bounded groups would leave, so the differentiation calibrated drift underpredicts is spread continuously across space rather than gathered into units. The record is more spatially structured than distance-decay copying produces, not more clustered.</w:t>
      </w:r>
    </w:p>
    <w:p>
      <w:pPr>
        <w:pStyle w:val="BodyText"/>
      </w:pPr>
      <w:r>
        <w:t xml:space="preserve">That result carries a consequence researchers should consider. A similarity cluster is not, by itself, a society, and a neutral model is not, by itself, a demonstration that no society is there. Before a phase is interpreted as a social group, the record must be shown to distinguish an interaction boundary from geographic drift, and the drift model must be shown to fit the record it is tested against. Applied to the late pre-contact ceramics of the St. Francis basin, that standard shows continuous interaction with prominent nodes, more spatially structured than calibrated drift predicts, and not resolvable into bounded polities. The open question is no longer whether the phases are societies. It is what makes the record more differentiated than a calibrated neutral model produces, and of the four assumptions we could relax, only a weak boundary in where new styles originate answers it. That account is still neutral drift. What it adds is that the origination of new styles is itself spatially patterned. That is a mechanism the record is consistent with rather than one it demonstrates, and it moves the question from the boundaries culture history drew to the origin of the styles that cross them.</w:t>
      </w:r>
    </w:p>
    <w:bookmarkEnd w:id="159"/>
    <w:bookmarkStart w:id="160"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Upon publication, we will release a versioned snapshot of the repository at https://doi.org/10.5281/zenodo.20796240. The repository includes the decorated-ceramic class counts, the georeferencing and radiocarbon data, the complete analysis procedure, and instructions for reproducing all results and figures. The calibrated drift comparison is implemented in the finite-class simulator (</w:t>
      </w:r>
      <w:r>
        <w:rPr>
          <w:rStyle w:val="VerbatimChar"/>
        </w:rPr>
        <w:t xml:space="preserve">src/mls_emergence/transmission/spatial.py</w:t>
      </w:r>
      <w:r>
        <w:t xml:space="preserve">) and analyses 47 and 50, which write every replicate, the calibration series, and a configuration fingerprint. The code is released under the MIT License, and the data under a Creative Commons Attribution 4.0 International license.</w:t>
      </w:r>
    </w:p>
    <w:bookmarkEnd w:id="160"/>
    <w:bookmarkStart w:id="334" w:name="references"/>
    <w:p>
      <w:pPr>
        <w:pStyle w:val="Heading2"/>
      </w:pPr>
      <w:r>
        <w:t xml:space="preserve">References</w:t>
      </w:r>
    </w:p>
    <w:bookmarkStart w:id="333" w:name="refs"/>
    <w:bookmarkStart w:id="161"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161"/>
    <w:bookmarkStart w:id="163"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162">
        <w:r>
          <w:rPr>
            <w:rStyle w:val="Hyperlink"/>
          </w:rPr>
          <w:t xml:space="preserve">https://doi.org/10.1016/j.jaa.2006.08.002</w:t>
        </w:r>
      </w:hyperlink>
      <w:r>
        <w:t xml:space="preserve">.</w:t>
      </w:r>
    </w:p>
    <w:bookmarkEnd w:id="163"/>
    <w:bookmarkStart w:id="165"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164">
        <w:r>
          <w:rPr>
            <w:rStyle w:val="Hyperlink"/>
          </w:rPr>
          <w:t xml:space="preserve">https://doi.org/10.1016/j.beproc.2018.01.011</w:t>
        </w:r>
      </w:hyperlink>
      <w:r>
        <w:t xml:space="preserve">.</w:t>
      </w:r>
    </w:p>
    <w:bookmarkEnd w:id="165"/>
    <w:bookmarkStart w:id="167"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166">
        <w:r>
          <w:rPr>
            <w:rStyle w:val="Hyperlink"/>
          </w:rPr>
          <w:t xml:space="preserve">https://doi.org/10.1098/rstb.1996.0073</w:t>
        </w:r>
      </w:hyperlink>
      <w:r>
        <w:t xml:space="preserve">.</w:t>
      </w:r>
    </w:p>
    <w:bookmarkEnd w:id="167"/>
    <w:bookmarkStart w:id="168"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168"/>
    <w:bookmarkStart w:id="170"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169">
        <w:r>
          <w:rPr>
            <w:rStyle w:val="Hyperlink"/>
          </w:rPr>
          <w:t xml:space="preserve">https://doi.org/10.2307/3557066</w:t>
        </w:r>
      </w:hyperlink>
      <w:r>
        <w:t xml:space="preserve">.</w:t>
      </w:r>
    </w:p>
    <w:bookmarkEnd w:id="170"/>
    <w:bookmarkStart w:id="172"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171">
        <w:r>
          <w:rPr>
            <w:rStyle w:val="Hyperlink"/>
          </w:rPr>
          <w:t xml:space="preserve">https://doi.org/10.1017/S0094837300026907</w:t>
        </w:r>
      </w:hyperlink>
      <w:r>
        <w:t xml:space="preserve">.</w:t>
      </w:r>
    </w:p>
    <w:bookmarkEnd w:id="172"/>
    <w:bookmarkStart w:id="17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73">
        <w:r>
          <w:rPr>
            <w:rStyle w:val="Hyperlink"/>
          </w:rPr>
          <w:t xml:space="preserve">https://doi.org/10.1073/pnas.0903232106</w:t>
        </w:r>
      </w:hyperlink>
      <w:r>
        <w:t xml:space="preserve">.</w:t>
      </w:r>
    </w:p>
    <w:bookmarkEnd w:id="174"/>
    <w:bookmarkStart w:id="176"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175">
        <w:r>
          <w:rPr>
            <w:rStyle w:val="Hyperlink"/>
          </w:rPr>
          <w:t xml:space="preserve">https://doi.org/10.1371/journal.pone.0003057</w:t>
        </w:r>
      </w:hyperlink>
      <w:r>
        <w:t xml:space="preserve">.</w:t>
      </w:r>
    </w:p>
    <w:bookmarkEnd w:id="176"/>
    <w:bookmarkStart w:id="178"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77">
        <w:r>
          <w:rPr>
            <w:rStyle w:val="Hyperlink"/>
          </w:rPr>
          <w:t xml:space="preserve">https://doi.org/10.1098/rspb.2004.2746</w:t>
        </w:r>
      </w:hyperlink>
      <w:r>
        <w:t xml:space="preserve">.</w:t>
      </w:r>
    </w:p>
    <w:bookmarkEnd w:id="178"/>
    <w:bookmarkStart w:id="179"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179"/>
    <w:bookmarkStart w:id="181"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180">
        <w:r>
          <w:rPr>
            <w:rStyle w:val="Hyperlink"/>
          </w:rPr>
          <w:t xml:space="preserve">https://doi.org/10.2307/2694206</w:t>
        </w:r>
      </w:hyperlink>
      <w:r>
        <w:t xml:space="preserve">.</w:t>
      </w:r>
    </w:p>
    <w:bookmarkEnd w:id="181"/>
    <w:bookmarkStart w:id="182"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182"/>
    <w:bookmarkStart w:id="184"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83">
        <w:r>
          <w:rPr>
            <w:rStyle w:val="Hyperlink"/>
          </w:rPr>
          <w:t xml:space="preserve">https://doi.org/10.1057/s41599-019-0295-9</w:t>
        </w:r>
      </w:hyperlink>
      <w:r>
        <w:t xml:space="preserve">.</w:t>
      </w:r>
    </w:p>
    <w:bookmarkEnd w:id="184"/>
    <w:bookmarkStart w:id="185"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185"/>
    <w:bookmarkStart w:id="187"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186">
        <w:r>
          <w:rPr>
            <w:rStyle w:val="Hyperlink"/>
          </w:rPr>
          <w:t xml:space="preserve">https://doi.org/10.1057/s41599-020-00635-3</w:t>
        </w:r>
      </w:hyperlink>
      <w:r>
        <w:t xml:space="preserve">.</w:t>
      </w:r>
    </w:p>
    <w:bookmarkEnd w:id="187"/>
    <w:bookmarkStart w:id="189"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188">
        <w:r>
          <w:rPr>
            <w:rStyle w:val="Hyperlink"/>
          </w:rPr>
          <w:t xml:space="preserve">https://doi.org/10.1007/s10816-022-09599-x</w:t>
        </w:r>
      </w:hyperlink>
      <w:r>
        <w:t xml:space="preserve">.</w:t>
      </w:r>
    </w:p>
    <w:bookmarkEnd w:id="189"/>
    <w:bookmarkStart w:id="19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90">
        <w:r>
          <w:rPr>
            <w:rStyle w:val="Hyperlink"/>
          </w:rPr>
          <w:t xml:space="preserve">https://doi.org/10.1016/j.jas.2014.07.014</w:t>
        </w:r>
      </w:hyperlink>
      <w:r>
        <w:t xml:space="preserve">.</w:t>
      </w:r>
    </w:p>
    <w:bookmarkEnd w:id="191"/>
    <w:bookmarkStart w:id="19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92">
        <w:r>
          <w:rPr>
            <w:rStyle w:val="Hyperlink"/>
          </w:rPr>
          <w:t xml:space="preserve">https://doi.org/10.1038/srep39122</w:t>
        </w:r>
      </w:hyperlink>
      <w:r>
        <w:t xml:space="preserve">.</w:t>
      </w:r>
    </w:p>
    <w:bookmarkEnd w:id="193"/>
    <w:bookmarkStart w:id="195"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94">
        <w:r>
          <w:rPr>
            <w:rStyle w:val="Hyperlink"/>
          </w:rPr>
          <w:t xml:space="preserve">https://doi.org/10.2307/278341</w:t>
        </w:r>
      </w:hyperlink>
      <w:r>
        <w:t xml:space="preserve">.</w:t>
      </w:r>
    </w:p>
    <w:bookmarkEnd w:id="195"/>
    <w:bookmarkStart w:id="196" w:name="ref-dunnell_1971"/>
    <w:p>
      <w:pPr>
        <w:pStyle w:val="Bibliography"/>
      </w:pPr>
      <w:r>
        <w:t xml:space="preserve">Dunnell, Robert C. 1971.</w:t>
      </w:r>
      <w:r>
        <w:t xml:space="preserve"> </w:t>
      </w:r>
      <w:r>
        <w:rPr>
          <w:i/>
          <w:iCs/>
        </w:rPr>
        <w:t xml:space="preserve">Systematics in Prehistory</w:t>
      </w:r>
      <w:r>
        <w:t xml:space="preserve">. Free Press, New York.</w:t>
      </w:r>
    </w:p>
    <w:bookmarkEnd w:id="196"/>
    <w:bookmarkStart w:id="198"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97">
        <w:r>
          <w:rPr>
            <w:rStyle w:val="Hyperlink"/>
          </w:rPr>
          <w:t xml:space="preserve">https://doi.org/10.2307/279244</w:t>
        </w:r>
      </w:hyperlink>
      <w:r>
        <w:t xml:space="preserve">.</w:t>
      </w:r>
    </w:p>
    <w:bookmarkEnd w:id="198"/>
    <w:bookmarkStart w:id="199"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99"/>
    <w:bookmarkStart w:id="200"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200"/>
    <w:bookmarkStart w:id="201" w:name="ref-dunnell_1995b"/>
    <w:p>
      <w:pPr>
        <w:pStyle w:val="Bibliography"/>
      </w:pPr>
      <w:r>
        <w:t xml:space="preserve">Dunnell, Robert C. 1995b. Style: Concepts and Practice.</w:t>
      </w:r>
    </w:p>
    <w:bookmarkEnd w:id="201"/>
    <w:bookmarkStart w:id="202"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202"/>
    <w:bookmarkStart w:id="204"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203">
        <w:r>
          <w:rPr>
            <w:rStyle w:val="Hyperlink"/>
          </w:rPr>
          <w:t xml:space="preserve">https://doi.org/10.1016/j.jaa.2005.08.001</w:t>
        </w:r>
      </w:hyperlink>
      <w:r>
        <w:t xml:space="preserve">.</w:t>
      </w:r>
    </w:p>
    <w:bookmarkEnd w:id="204"/>
    <w:bookmarkStart w:id="206"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205">
        <w:r>
          <w:rPr>
            <w:rStyle w:val="Hyperlink"/>
          </w:rPr>
          <w:t xml:space="preserve">https://doi.org/10.1007/s10814-007-9013-z</w:t>
        </w:r>
      </w:hyperlink>
      <w:r>
        <w:t xml:space="preserve">.</w:t>
      </w:r>
    </w:p>
    <w:bookmarkEnd w:id="206"/>
    <w:bookmarkStart w:id="207"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207"/>
    <w:bookmarkStart w:id="209"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208">
        <w:r>
          <w:rPr>
            <w:rStyle w:val="Hyperlink"/>
          </w:rPr>
          <w:t xml:space="preserve">https://doi.org/10.1534/genetics.113.158220</w:t>
        </w:r>
      </w:hyperlink>
      <w:r>
        <w:t xml:space="preserve">.</w:t>
      </w:r>
    </w:p>
    <w:bookmarkEnd w:id="209"/>
    <w:bookmarkStart w:id="211"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210">
        <w:r>
          <w:rPr>
            <w:rStyle w:val="Hyperlink"/>
          </w:rPr>
          <w:t xml:space="preserve">https://doi.org/10.1073/pnas.2418106121</w:t>
        </w:r>
      </w:hyperlink>
      <w:r>
        <w:t xml:space="preserve">.</w:t>
      </w:r>
    </w:p>
    <w:bookmarkEnd w:id="211"/>
    <w:bookmarkStart w:id="21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212"/>
    <w:bookmarkStart w:id="21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213"/>
    <w:bookmarkStart w:id="21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214"/>
    <w:bookmarkStart w:id="21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215">
        <w:r>
          <w:rPr>
            <w:rStyle w:val="Hyperlink"/>
          </w:rPr>
          <w:t xml:space="preserve">https://doi.org/10.1525/aa.2001.103.4.992</w:t>
        </w:r>
      </w:hyperlink>
      <w:r>
        <w:t xml:space="preserve">.</w:t>
      </w:r>
    </w:p>
    <w:bookmarkEnd w:id="216"/>
    <w:bookmarkStart w:id="21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217">
        <w:r>
          <w:rPr>
            <w:rStyle w:val="Hyperlink"/>
          </w:rPr>
          <w:t xml:space="preserve">https://doi.org/10.2307/4128416</w:t>
        </w:r>
      </w:hyperlink>
      <w:r>
        <w:t xml:space="preserve">.</w:t>
      </w:r>
    </w:p>
    <w:bookmarkEnd w:id="218"/>
    <w:bookmarkStart w:id="220"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219">
        <w:r>
          <w:rPr>
            <w:rStyle w:val="Hyperlink"/>
          </w:rPr>
          <w:t xml:space="preserve">https://doi.org/10.1016/S1090-5138(98)00018-X</w:t>
        </w:r>
      </w:hyperlink>
      <w:r>
        <w:t xml:space="preserve">.</w:t>
      </w:r>
    </w:p>
    <w:bookmarkEnd w:id="220"/>
    <w:bookmarkStart w:id="221"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221"/>
    <w:bookmarkStart w:id="223"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222">
        <w:r>
          <w:rPr>
            <w:rStyle w:val="Hyperlink"/>
          </w:rPr>
          <w:t xml:space="preserve">https://doi.org/10.1017/aap.2021.10</w:t>
        </w:r>
      </w:hyperlink>
      <w:r>
        <w:t xml:space="preserve">.</w:t>
      </w:r>
    </w:p>
    <w:bookmarkEnd w:id="223"/>
    <w:bookmarkStart w:id="224"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224"/>
    <w:bookmarkStart w:id="22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225"/>
    <w:bookmarkStart w:id="226"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226"/>
    <w:bookmarkStart w:id="22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227">
        <w:r>
          <w:rPr>
            <w:rStyle w:val="Hyperlink"/>
          </w:rPr>
          <w:t xml:space="preserve">https://doi.org/10.1666/05070.1</w:t>
        </w:r>
      </w:hyperlink>
      <w:r>
        <w:t xml:space="preserve">.</w:t>
      </w:r>
    </w:p>
    <w:bookmarkEnd w:id="228"/>
    <w:bookmarkStart w:id="23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229">
        <w:r>
          <w:rPr>
            <w:rStyle w:val="Hyperlink"/>
          </w:rPr>
          <w:t xml:space="preserve">https://doi.org/10.1111/j.1558-5646.2007.00310.x</w:t>
        </w:r>
      </w:hyperlink>
      <w:r>
        <w:t xml:space="preserve">.</w:t>
      </w:r>
    </w:p>
    <w:bookmarkEnd w:id="230"/>
    <w:bookmarkStart w:id="231"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231"/>
    <w:bookmarkStart w:id="23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232">
        <w:r>
          <w:rPr>
            <w:rStyle w:val="Hyperlink"/>
          </w:rPr>
          <w:t xml:space="preserve">https://doi.org/10.1016/j.jtbi.2013.03.006</w:t>
        </w:r>
      </w:hyperlink>
      <w:r>
        <w:t xml:space="preserve">.</w:t>
      </w:r>
    </w:p>
    <w:bookmarkEnd w:id="233"/>
    <w:bookmarkStart w:id="23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234">
        <w:r>
          <w:rPr>
            <w:rStyle w:val="Hyperlink"/>
          </w:rPr>
          <w:t xml:space="preserve">https://doi.org/10.1098/rsif.2015.0905</w:t>
        </w:r>
      </w:hyperlink>
      <w:r>
        <w:t xml:space="preserve">.</w:t>
      </w:r>
    </w:p>
    <w:bookmarkEnd w:id="235"/>
    <w:bookmarkStart w:id="23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236">
        <w:r>
          <w:rPr>
            <w:rStyle w:val="Hyperlink"/>
          </w:rPr>
          <w:t xml:space="preserve">https://doi.org/10.1098/rsos.170949</w:t>
        </w:r>
      </w:hyperlink>
      <w:r>
        <w:t xml:space="preserve">.</w:t>
      </w:r>
    </w:p>
    <w:bookmarkEnd w:id="237"/>
    <w:bookmarkStart w:id="23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238">
        <w:r>
          <w:rPr>
            <w:rStyle w:val="Hyperlink"/>
          </w:rPr>
          <w:t xml:space="preserve">https://doi.org/10.1146/annurev-ecolsys-110512-135838</w:t>
        </w:r>
      </w:hyperlink>
      <w:r>
        <w:t xml:space="preserve">.</w:t>
      </w:r>
    </w:p>
    <w:bookmarkEnd w:id="239"/>
    <w:bookmarkStart w:id="24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240"/>
    <w:bookmarkStart w:id="242"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241">
        <w:r>
          <w:rPr>
            <w:rStyle w:val="Hyperlink"/>
          </w:rPr>
          <w:t xml:space="preserve">https://doi.org/10.2307/2694529</w:t>
        </w:r>
      </w:hyperlink>
      <w:r>
        <w:t xml:space="preserve">.</w:t>
      </w:r>
    </w:p>
    <w:bookmarkEnd w:id="242"/>
    <w:bookmarkStart w:id="243"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243"/>
    <w:bookmarkStart w:id="244"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244"/>
    <w:bookmarkStart w:id="245"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245"/>
    <w:bookmarkStart w:id="247"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246">
        <w:r>
          <w:rPr>
            <w:rStyle w:val="Hyperlink"/>
          </w:rPr>
          <w:t xml:space="preserve">https://doi.org/10.1371/journal.pone.0250690</w:t>
        </w:r>
      </w:hyperlink>
      <w:r>
        <w:t xml:space="preserve">.</w:t>
      </w:r>
    </w:p>
    <w:bookmarkEnd w:id="247"/>
    <w:bookmarkStart w:id="248"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248"/>
    <w:bookmarkStart w:id="250"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249">
        <w:r>
          <w:rPr>
            <w:rStyle w:val="Hyperlink"/>
          </w:rPr>
          <w:t xml:space="preserve">https://doi.org/10.1016/j.jas.2010.05.015</w:t>
        </w:r>
      </w:hyperlink>
      <w:r>
        <w:t xml:space="preserve">.</w:t>
      </w:r>
    </w:p>
    <w:bookmarkEnd w:id="250"/>
    <w:bookmarkStart w:id="251"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251"/>
    <w:bookmarkStart w:id="253"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252">
        <w:r>
          <w:rPr>
            <w:rStyle w:val="Hyperlink"/>
          </w:rPr>
          <w:t xml:space="preserve">https://doi.org/10.1371/journal.pone.0124942</w:t>
        </w:r>
      </w:hyperlink>
      <w:r>
        <w:t xml:space="preserve">.</w:t>
      </w:r>
    </w:p>
    <w:bookmarkEnd w:id="253"/>
    <w:bookmarkStart w:id="255"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254">
        <w:r>
          <w:rPr>
            <w:rStyle w:val="Hyperlink"/>
          </w:rPr>
          <w:t xml:space="preserve">https://doi.org/10.1006/jaar.1997.0314</w:t>
        </w:r>
      </w:hyperlink>
      <w:r>
        <w:t xml:space="preserve">.</w:t>
      </w:r>
    </w:p>
    <w:bookmarkEnd w:id="255"/>
    <w:bookmarkStart w:id="257"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256">
        <w:r>
          <w:rPr>
            <w:rStyle w:val="Hyperlink"/>
          </w:rPr>
          <w:t xml:space="preserve">https://doi.org/10.1073/pnas.1818346116</w:t>
        </w:r>
      </w:hyperlink>
      <w:r>
        <w:t xml:space="preserve">.</w:t>
      </w:r>
    </w:p>
    <w:bookmarkEnd w:id="257"/>
    <w:bookmarkStart w:id="259"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258">
        <w:r>
          <w:rPr>
            <w:rStyle w:val="Hyperlink"/>
          </w:rPr>
          <w:t xml:space="preserve">https://doi.org/10.1016/j.jas.2021.105412</w:t>
        </w:r>
      </w:hyperlink>
      <w:r>
        <w:t xml:space="preserve">.</w:t>
      </w:r>
    </w:p>
    <w:bookmarkEnd w:id="259"/>
    <w:bookmarkStart w:id="260" w:name="ref-madsen_2012"/>
    <w:p>
      <w:pPr>
        <w:pStyle w:val="Bibliography"/>
      </w:pPr>
      <w:r>
        <w:t xml:space="preserve">Madsen, Mark E. 2012. Neutral Cultural Transmission in Time-Averaged Archaeological Assemblages. arXiv preprint arXiv:1204.2043 [physics.soc-ph].</w:t>
      </w:r>
    </w:p>
    <w:bookmarkEnd w:id="260"/>
    <w:bookmarkStart w:id="261"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261"/>
    <w:bookmarkStart w:id="262"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262"/>
    <w:bookmarkStart w:id="263"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263"/>
    <w:bookmarkStart w:id="264"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264"/>
    <w:bookmarkStart w:id="265"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265"/>
    <w:bookmarkStart w:id="266"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266"/>
    <w:bookmarkStart w:id="267"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267"/>
    <w:bookmarkStart w:id="269"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268">
        <w:r>
          <w:rPr>
            <w:rStyle w:val="Hyperlink"/>
          </w:rPr>
          <w:t xml:space="preserve">https://doi.org/10.1080/20548923.2018.1504490</w:t>
        </w:r>
      </w:hyperlink>
      <w:r>
        <w:t xml:space="preserve">.</w:t>
      </w:r>
    </w:p>
    <w:bookmarkEnd w:id="269"/>
    <w:bookmarkStart w:id="270"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270"/>
    <w:bookmarkStart w:id="271"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271"/>
    <w:bookmarkStart w:id="272"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272"/>
    <w:bookmarkStart w:id="273"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273"/>
    <w:bookmarkStart w:id="274"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274"/>
    <w:bookmarkStart w:id="275" w:name="ref-morse_p_1981"/>
    <w:p>
      <w:pPr>
        <w:pStyle w:val="Bibliography"/>
      </w:pPr>
      <w:r>
        <w:t xml:space="preserve">Morse, Phyllis A. 1981.</w:t>
      </w:r>
      <w:r>
        <w:t xml:space="preserve"> </w:t>
      </w:r>
      <w:r>
        <w:rPr>
          <w:i/>
          <w:iCs/>
        </w:rPr>
        <w:t xml:space="preserve">Parkin: The 1978–1979 Archeological Investigations of a</w:t>
      </w:r>
      <w:r>
        <w:rPr>
          <w:i/>
          <w:iCs/>
        </w:rPr>
        <w:t xml:space="preserve"> </w:t>
      </w:r>
      <w:r>
        <w:rPr>
          <w:i/>
          <w:iCs/>
        </w:rPr>
        <w:t xml:space="preserve">Cross County</w:t>
      </w:r>
      <w:r>
        <w:rPr>
          <w:i/>
          <w:iCs/>
        </w:rPr>
        <w:t xml:space="preserve">,</w:t>
      </w:r>
      <w:r>
        <w:rPr>
          <w:i/>
          <w:iCs/>
        </w:rPr>
        <w:t xml:space="preserve"> </w:t>
      </w:r>
      <w:r>
        <w:rPr>
          <w:i/>
          <w:iCs/>
        </w:rPr>
        <w:t xml:space="preserve">Arkansas</w:t>
      </w:r>
      <w:r>
        <w:rPr>
          <w:i/>
          <w:iCs/>
        </w:rPr>
        <w:t xml:space="preserve"> </w:t>
      </w:r>
      <w:r>
        <w:rPr>
          <w:i/>
          <w:iCs/>
        </w:rPr>
        <w:t xml:space="preserve">Site</w:t>
      </w:r>
      <w:r>
        <w:t xml:space="preserve">. Arkansas Archeological Survey Research Series 13. Arkansas Archeological Survey, Fayetteville.</w:t>
      </w:r>
    </w:p>
    <w:bookmarkEnd w:id="275"/>
    <w:bookmarkStart w:id="27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276"/>
    <w:bookmarkStart w:id="27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77"/>
    <w:bookmarkStart w:id="278"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278"/>
    <w:bookmarkStart w:id="280"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279">
        <w:r>
          <w:rPr>
            <w:rStyle w:val="Hyperlink"/>
          </w:rPr>
          <w:t xml:space="preserve">https://doi.org/10.1098/rstb.2016.0426</w:t>
        </w:r>
      </w:hyperlink>
      <w:r>
        <w:t xml:space="preserve">.</w:t>
      </w:r>
    </w:p>
    <w:bookmarkEnd w:id="280"/>
    <w:bookmarkStart w:id="282"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281">
        <w:r>
          <w:rPr>
            <w:rStyle w:val="Hyperlink"/>
          </w:rPr>
          <w:t xml:space="preserve">https://doi.org/10.2307/279066</w:t>
        </w:r>
      </w:hyperlink>
      <w:r>
        <w:t xml:space="preserve">.</w:t>
      </w:r>
    </w:p>
    <w:bookmarkEnd w:id="282"/>
    <w:bookmarkStart w:id="284"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283">
        <w:r>
          <w:rPr>
            <w:rStyle w:val="Hyperlink"/>
          </w:rPr>
          <w:t xml:space="preserve">https://doi.org/10.1016/j.jas.2012.04.040</w:t>
        </w:r>
      </w:hyperlink>
      <w:r>
        <w:t xml:space="preserve">.</w:t>
      </w:r>
    </w:p>
    <w:bookmarkEnd w:id="284"/>
    <w:bookmarkStart w:id="286"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285">
        <w:r>
          <w:rPr>
            <w:rStyle w:val="Hyperlink"/>
          </w:rPr>
          <w:t xml:space="preserve">https://doi.org/10.1007/s10816-018-9364-4</w:t>
        </w:r>
      </w:hyperlink>
      <w:r>
        <w:t xml:space="preserve">.</w:t>
      </w:r>
    </w:p>
    <w:bookmarkEnd w:id="286"/>
    <w:bookmarkStart w:id="287"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287"/>
    <w:bookmarkStart w:id="28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288"/>
    <w:bookmarkStart w:id="289"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289"/>
    <w:bookmarkStart w:id="291"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290">
        <w:r>
          <w:rPr>
            <w:rStyle w:val="Hyperlink"/>
          </w:rPr>
          <w:t xml:space="preserve">https://doi.org/10.1525/aa.1953.55.5.02a00030</w:t>
        </w:r>
      </w:hyperlink>
      <w:r>
        <w:t xml:space="preserve">.</w:t>
      </w:r>
    </w:p>
    <w:bookmarkEnd w:id="291"/>
    <w:bookmarkStart w:id="293"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292">
        <w:r>
          <w:rPr>
            <w:rStyle w:val="Hyperlink"/>
          </w:rPr>
          <w:t xml:space="preserve">https://doi.org/10.1126/science.1170165</w:t>
        </w:r>
      </w:hyperlink>
      <w:r>
        <w:t xml:space="preserve">.</w:t>
      </w:r>
    </w:p>
    <w:bookmarkEnd w:id="293"/>
    <w:bookmarkStart w:id="295"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294">
        <w:r>
          <w:rPr>
            <w:rStyle w:val="Hyperlink"/>
          </w:rPr>
          <w:t xml:space="preserve">https://doi.org/10.1086/674873</w:t>
        </w:r>
      </w:hyperlink>
      <w:r>
        <w:t xml:space="preserve">.</w:t>
      </w:r>
    </w:p>
    <w:bookmarkEnd w:id="295"/>
    <w:bookmarkStart w:id="297"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296">
        <w:r>
          <w:rPr>
            <w:rStyle w:val="Hyperlink"/>
          </w:rPr>
          <w:t xml:space="preserve">https://doi.org/10.7183/0002-7316.81.4.605</w:t>
        </w:r>
      </w:hyperlink>
      <w:r>
        <w:t xml:space="preserve">.</w:t>
      </w:r>
    </w:p>
    <w:bookmarkEnd w:id="297"/>
    <w:bookmarkStart w:id="299"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298">
        <w:r>
          <w:rPr>
            <w:rStyle w:val="Hyperlink"/>
          </w:rPr>
          <w:t xml:space="preserve">https://doi.org/10.7183/0002-7316.76.1.163</w:t>
        </w:r>
      </w:hyperlink>
      <w:r>
        <w:t xml:space="preserve">.</w:t>
      </w:r>
    </w:p>
    <w:bookmarkEnd w:id="299"/>
    <w:bookmarkStart w:id="30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300"/>
    <w:bookmarkStart w:id="30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301">
        <w:r>
          <w:rPr>
            <w:rStyle w:val="Hyperlink"/>
          </w:rPr>
          <w:t xml:space="preserve">https://doi.org/10.1017/RDC.2020.41</w:t>
        </w:r>
      </w:hyperlink>
      <w:r>
        <w:t xml:space="preserve">.</w:t>
      </w:r>
    </w:p>
    <w:bookmarkEnd w:id="302"/>
    <w:bookmarkStart w:id="304"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303">
        <w:r>
          <w:rPr>
            <w:rStyle w:val="Hyperlink"/>
          </w:rPr>
          <w:t xml:space="preserve">https://doi.org/10.1017/S0140525X1400106X</w:t>
        </w:r>
      </w:hyperlink>
      <w:r>
        <w:t xml:space="preserve">.</w:t>
      </w:r>
    </w:p>
    <w:bookmarkEnd w:id="304"/>
    <w:bookmarkStart w:id="306"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305">
        <w:r>
          <w:rPr>
            <w:rStyle w:val="Hyperlink"/>
          </w:rPr>
          <w:t xml:space="preserve">https://doi.org/10.1057/s41599-019-0260-7</w:t>
        </w:r>
      </w:hyperlink>
      <w:r>
        <w:t xml:space="preserve">.</w:t>
      </w:r>
    </w:p>
    <w:bookmarkEnd w:id="306"/>
    <w:bookmarkStart w:id="307"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307"/>
    <w:bookmarkStart w:id="308"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308"/>
    <w:bookmarkStart w:id="30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309"/>
    <w:bookmarkStart w:id="31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310">
        <w:r>
          <w:rPr>
            <w:rStyle w:val="Hyperlink"/>
          </w:rPr>
          <w:t xml:space="preserve">https://doi.org/10.1016/j.jtbi.2016.04.024</w:t>
        </w:r>
      </w:hyperlink>
      <w:r>
        <w:t xml:space="preserve">.</w:t>
      </w:r>
    </w:p>
    <w:bookmarkEnd w:id="311"/>
    <w:bookmarkStart w:id="31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312">
        <w:r>
          <w:rPr>
            <w:rStyle w:val="Hyperlink"/>
          </w:rPr>
          <w:t xml:space="preserve">https://doi.org/10.1016/j.evolhumbehav.2014.09.006</w:t>
        </w:r>
      </w:hyperlink>
      <w:r>
        <w:t xml:space="preserve">.</w:t>
      </w:r>
    </w:p>
    <w:bookmarkEnd w:id="313"/>
    <w:bookmarkStart w:id="31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314"/>
    <w:bookmarkStart w:id="315"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315"/>
    <w:bookmarkStart w:id="31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316"/>
    <w:bookmarkStart w:id="317"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317"/>
    <w:bookmarkStart w:id="319"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318">
        <w:r>
          <w:rPr>
            <w:rStyle w:val="Hyperlink"/>
          </w:rPr>
          <w:t xml:space="preserve">https://doi.org/10.1006/jhev.1994.1037</w:t>
        </w:r>
      </w:hyperlink>
      <w:r>
        <w:t xml:space="preserve">.</w:t>
      </w:r>
    </w:p>
    <w:bookmarkEnd w:id="319"/>
    <w:bookmarkStart w:id="321"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320">
        <w:r>
          <w:rPr>
            <w:rStyle w:val="Hyperlink"/>
          </w:rPr>
          <w:t xml:space="preserve">https://doi.org/10.1017/aaq.2024.1</w:t>
        </w:r>
      </w:hyperlink>
      <w:r>
        <w:t xml:space="preserve">.</w:t>
      </w:r>
    </w:p>
    <w:bookmarkEnd w:id="321"/>
    <w:bookmarkStart w:id="322"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322"/>
    <w:bookmarkStart w:id="324"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323">
        <w:r>
          <w:rPr>
            <w:rStyle w:val="Hyperlink"/>
          </w:rPr>
          <w:t xml:space="preserve">https://doi.org/10.1086/651661</w:t>
        </w:r>
      </w:hyperlink>
      <w:r>
        <w:t xml:space="preserve">.</w:t>
      </w:r>
    </w:p>
    <w:bookmarkEnd w:id="324"/>
    <w:bookmarkStart w:id="325"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325"/>
    <w:bookmarkStart w:id="326" w:name="ref-williams_1954"/>
    <w:p>
      <w:pPr>
        <w:pStyle w:val="Bibliography"/>
      </w:pPr>
      <w:r>
        <w:t xml:space="preserve">Williams, Stephen. 1954. An Archeological Study of the Mississippian Culture in Southeast Missouri. PhD thesis, Yale University, New Haven.</w:t>
      </w:r>
    </w:p>
    <w:bookmarkEnd w:id="326"/>
    <w:bookmarkStart w:id="328"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327">
        <w:r>
          <w:rPr>
            <w:rStyle w:val="Hyperlink"/>
          </w:rPr>
          <w:t xml:space="preserve">https://doi.org/10.1093/genetics/28.2.114</w:t>
        </w:r>
      </w:hyperlink>
      <w:r>
        <w:t xml:space="preserve">.</w:t>
      </w:r>
    </w:p>
    <w:bookmarkEnd w:id="328"/>
    <w:bookmarkStart w:id="330"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329">
        <w:r>
          <w:rPr>
            <w:rStyle w:val="Hyperlink"/>
          </w:rPr>
          <w:t xml:space="preserve">https://doi.org/10.1111/j.1469-1809.1949.tb02451.x</w:t>
        </w:r>
      </w:hyperlink>
      <w:r>
        <w:t xml:space="preserve">.</w:t>
      </w:r>
    </w:p>
    <w:bookmarkEnd w:id="330"/>
    <w:bookmarkStart w:id="332"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331">
        <w:r>
          <w:rPr>
            <w:rStyle w:val="Hyperlink"/>
          </w:rPr>
          <w:t xml:space="preserve">https://doi.org/10.1017/ehs.2023.5</w:t>
        </w:r>
      </w:hyperlink>
      <w:r>
        <w:t xml:space="preserve">.</w:t>
      </w:r>
    </w:p>
    <w:bookmarkEnd w:id="332"/>
    <w:bookmarkEnd w:id="333"/>
    <w:bookmarkEnd w:id="334"/>
    <w:bookmarkEnd w:id="335"/>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hyperlink" Id="rId254" Target="https://doi.org/10.1006/jaar.1997.0314" TargetMode="External" /><Relationship Type="http://schemas.openxmlformats.org/officeDocument/2006/relationships/hyperlink" Id="rId318" Target="https://doi.org/10.1006/jhev.1994.1037" TargetMode="External" /><Relationship Type="http://schemas.openxmlformats.org/officeDocument/2006/relationships/hyperlink" Id="rId205" Target="https://doi.org/10.1007/s10814-007-9013-z" TargetMode="External" /><Relationship Type="http://schemas.openxmlformats.org/officeDocument/2006/relationships/hyperlink" Id="rId285" Target="https://doi.org/10.1007/s10816-018-9364-4" TargetMode="External" /><Relationship Type="http://schemas.openxmlformats.org/officeDocument/2006/relationships/hyperlink" Id="rId188" Target="https://doi.org/10.1007/s10816-022-09599-x" TargetMode="External" /><Relationship Type="http://schemas.openxmlformats.org/officeDocument/2006/relationships/hyperlink" Id="rId219" Target="https://doi.org/10.1016/S1090-5138(98)00018-X" TargetMode="External" /><Relationship Type="http://schemas.openxmlformats.org/officeDocument/2006/relationships/hyperlink" Id="rId164" Target="https://doi.org/10.1016/j.beproc.2018.01.011" TargetMode="External" /><Relationship Type="http://schemas.openxmlformats.org/officeDocument/2006/relationships/hyperlink" Id="rId312" Target="https://doi.org/10.1016/j.evolhumbehav.2014.09.006" TargetMode="External" /><Relationship Type="http://schemas.openxmlformats.org/officeDocument/2006/relationships/hyperlink" Id="rId203" Target="https://doi.org/10.1016/j.jaa.2005.08.001" TargetMode="External" /><Relationship Type="http://schemas.openxmlformats.org/officeDocument/2006/relationships/hyperlink" Id="rId162" Target="https://doi.org/10.1016/j.jaa.2006.08.002" TargetMode="External" /><Relationship Type="http://schemas.openxmlformats.org/officeDocument/2006/relationships/hyperlink" Id="rId249" Target="https://doi.org/10.1016/j.jas.2010.05.015" TargetMode="External" /><Relationship Type="http://schemas.openxmlformats.org/officeDocument/2006/relationships/hyperlink" Id="rId283" Target="https://doi.org/10.1016/j.jas.2012.04.040" TargetMode="External" /><Relationship Type="http://schemas.openxmlformats.org/officeDocument/2006/relationships/hyperlink" Id="rId190" Target="https://doi.org/10.1016/j.jas.2014.07.014" TargetMode="External" /><Relationship Type="http://schemas.openxmlformats.org/officeDocument/2006/relationships/hyperlink" Id="rId258" Target="https://doi.org/10.1016/j.jas.2021.105412" TargetMode="External" /><Relationship Type="http://schemas.openxmlformats.org/officeDocument/2006/relationships/hyperlink" Id="rId232" Target="https://doi.org/10.1016/j.jtbi.2013.03.006" TargetMode="External" /><Relationship Type="http://schemas.openxmlformats.org/officeDocument/2006/relationships/hyperlink" Id="rId310" Target="https://doi.org/10.1016/j.jtbi.2016.04.024" TargetMode="External" /><Relationship Type="http://schemas.openxmlformats.org/officeDocument/2006/relationships/hyperlink" Id="rId301" Target="https://doi.org/10.1017/RDC.2020.41" TargetMode="External" /><Relationship Type="http://schemas.openxmlformats.org/officeDocument/2006/relationships/hyperlink" Id="rId171" Target="https://doi.org/10.1017/S0094837300026907" TargetMode="External" /><Relationship Type="http://schemas.openxmlformats.org/officeDocument/2006/relationships/hyperlink" Id="rId303" Target="https://doi.org/10.1017/S0140525X1400106X" TargetMode="External" /><Relationship Type="http://schemas.openxmlformats.org/officeDocument/2006/relationships/hyperlink" Id="rId222" Target="https://doi.org/10.1017/aap.2021.10" TargetMode="External" /><Relationship Type="http://schemas.openxmlformats.org/officeDocument/2006/relationships/hyperlink" Id="rId320" Target="https://doi.org/10.1017/aaq.2024.1" TargetMode="External" /><Relationship Type="http://schemas.openxmlformats.org/officeDocument/2006/relationships/hyperlink" Id="rId331" Target="https://doi.org/10.1017/ehs.2023.5" TargetMode="External" /><Relationship Type="http://schemas.openxmlformats.org/officeDocument/2006/relationships/hyperlink" Id="rId192" Target="https://doi.org/10.1038/srep39122" TargetMode="External" /><Relationship Type="http://schemas.openxmlformats.org/officeDocument/2006/relationships/hyperlink" Id="rId305" Target="https://doi.org/10.1057/s41599-019-0260-7" TargetMode="External" /><Relationship Type="http://schemas.openxmlformats.org/officeDocument/2006/relationships/hyperlink" Id="rId183" Target="https://doi.org/10.1057/s41599-019-0295-9" TargetMode="External" /><Relationship Type="http://schemas.openxmlformats.org/officeDocument/2006/relationships/hyperlink" Id="rId186" Target="https://doi.org/10.1057/s41599-020-00635-3" TargetMode="External" /><Relationship Type="http://schemas.openxmlformats.org/officeDocument/2006/relationships/hyperlink" Id="rId173" Target="https://doi.org/10.1073/pnas.0903232106" TargetMode="External" /><Relationship Type="http://schemas.openxmlformats.org/officeDocument/2006/relationships/hyperlink" Id="rId256" Target="https://doi.org/10.1073/pnas.1818346116" TargetMode="External" /><Relationship Type="http://schemas.openxmlformats.org/officeDocument/2006/relationships/hyperlink" Id="rId210" Target="https://doi.org/10.1073/pnas.2418106121" TargetMode="External" /><Relationship Type="http://schemas.openxmlformats.org/officeDocument/2006/relationships/hyperlink" Id="rId268" Target="https://doi.org/10.1080/20548923.2018.1504490" TargetMode="External" /><Relationship Type="http://schemas.openxmlformats.org/officeDocument/2006/relationships/hyperlink" Id="rId323" Target="https://doi.org/10.1086/651661" TargetMode="External" /><Relationship Type="http://schemas.openxmlformats.org/officeDocument/2006/relationships/hyperlink" Id="rId294" Target="https://doi.org/10.1086/674873" TargetMode="External" /><Relationship Type="http://schemas.openxmlformats.org/officeDocument/2006/relationships/hyperlink" Id="rId327" Target="https://doi.org/10.1093/genetics/28.2.114" TargetMode="External" /><Relationship Type="http://schemas.openxmlformats.org/officeDocument/2006/relationships/hyperlink" Id="rId234" Target="https://doi.org/10.1098/rsif.2015.0905" TargetMode="External" /><Relationship Type="http://schemas.openxmlformats.org/officeDocument/2006/relationships/hyperlink" Id="rId236" Target="https://doi.org/10.1098/rsos.170949" TargetMode="External" /><Relationship Type="http://schemas.openxmlformats.org/officeDocument/2006/relationships/hyperlink" Id="rId177" Target="https://doi.org/10.1098/rspb.2004.2746" TargetMode="External" /><Relationship Type="http://schemas.openxmlformats.org/officeDocument/2006/relationships/hyperlink" Id="rId166" Target="https://doi.org/10.1098/rstb.1996.0073" TargetMode="External" /><Relationship Type="http://schemas.openxmlformats.org/officeDocument/2006/relationships/hyperlink" Id="rId279" Target="https://doi.org/10.1098/rstb.2016.0426" TargetMode="External" /><Relationship Type="http://schemas.openxmlformats.org/officeDocument/2006/relationships/hyperlink" Id="rId329" Target="https://doi.org/10.1111/j.1469-1809.1949.tb02451.x" TargetMode="External" /><Relationship Type="http://schemas.openxmlformats.org/officeDocument/2006/relationships/hyperlink" Id="rId229" Target="https://doi.org/10.1111/j.1558-5646.2007.00310.x" TargetMode="External" /><Relationship Type="http://schemas.openxmlformats.org/officeDocument/2006/relationships/hyperlink" Id="rId292" Target="https://doi.org/10.1126/science.1170165" TargetMode="External" /><Relationship Type="http://schemas.openxmlformats.org/officeDocument/2006/relationships/hyperlink" Id="rId238" Target="https://doi.org/10.1146/annurev-ecolsys-110512-135838" TargetMode="External" /><Relationship Type="http://schemas.openxmlformats.org/officeDocument/2006/relationships/hyperlink" Id="rId175" Target="https://doi.org/10.1371/journal.pone.0003057" TargetMode="External" /><Relationship Type="http://schemas.openxmlformats.org/officeDocument/2006/relationships/hyperlink" Id="rId252" Target="https://doi.org/10.1371/journal.pone.0124942" TargetMode="External" /><Relationship Type="http://schemas.openxmlformats.org/officeDocument/2006/relationships/hyperlink" Id="rId246" Target="https://doi.org/10.1371/journal.pone.0250690" TargetMode="External" /><Relationship Type="http://schemas.openxmlformats.org/officeDocument/2006/relationships/hyperlink" Id="rId290" Target="https://doi.org/10.1525/aa.1953.55.5.02a00030" TargetMode="External" /><Relationship Type="http://schemas.openxmlformats.org/officeDocument/2006/relationships/hyperlink" Id="rId215" Target="https://doi.org/10.1525/aa.2001.103.4.992" TargetMode="External" /><Relationship Type="http://schemas.openxmlformats.org/officeDocument/2006/relationships/hyperlink" Id="rId208" Target="https://doi.org/10.1534/genetics.113.158220" TargetMode="External" /><Relationship Type="http://schemas.openxmlformats.org/officeDocument/2006/relationships/hyperlink" Id="rId227" Target="https://doi.org/10.1666/05070.1" TargetMode="External" /><Relationship Type="http://schemas.openxmlformats.org/officeDocument/2006/relationships/hyperlink" Id="rId180" Target="https://doi.org/10.2307/2694206" TargetMode="External" /><Relationship Type="http://schemas.openxmlformats.org/officeDocument/2006/relationships/hyperlink" Id="rId241" Target="https://doi.org/10.2307/2694529" TargetMode="External" /><Relationship Type="http://schemas.openxmlformats.org/officeDocument/2006/relationships/hyperlink" Id="rId194" Target="https://doi.org/10.2307/278341" TargetMode="External" /><Relationship Type="http://schemas.openxmlformats.org/officeDocument/2006/relationships/hyperlink" Id="rId281" Target="https://doi.org/10.2307/279066" TargetMode="External" /><Relationship Type="http://schemas.openxmlformats.org/officeDocument/2006/relationships/hyperlink" Id="rId197" Target="https://doi.org/10.2307/279244" TargetMode="External" /><Relationship Type="http://schemas.openxmlformats.org/officeDocument/2006/relationships/hyperlink" Id="rId169" Target="https://doi.org/10.2307/3557066" TargetMode="External" /><Relationship Type="http://schemas.openxmlformats.org/officeDocument/2006/relationships/hyperlink" Id="rId217" Target="https://doi.org/10.2307/4128416" TargetMode="External" /><Relationship Type="http://schemas.openxmlformats.org/officeDocument/2006/relationships/hyperlink" Id="rId298" Target="https://doi.org/10.7183/0002-7316.76.1.163" TargetMode="External" /><Relationship Type="http://schemas.openxmlformats.org/officeDocument/2006/relationships/hyperlink" Id="rId296"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254" Target="https://doi.org/10.1006/jaar.1997.0314" TargetMode="External" /><Relationship Type="http://schemas.openxmlformats.org/officeDocument/2006/relationships/hyperlink" Id="rId318" Target="https://doi.org/10.1006/jhev.1994.1037" TargetMode="External" /><Relationship Type="http://schemas.openxmlformats.org/officeDocument/2006/relationships/hyperlink" Id="rId205" Target="https://doi.org/10.1007/s10814-007-9013-z" TargetMode="External" /><Relationship Type="http://schemas.openxmlformats.org/officeDocument/2006/relationships/hyperlink" Id="rId285" Target="https://doi.org/10.1007/s10816-018-9364-4" TargetMode="External" /><Relationship Type="http://schemas.openxmlformats.org/officeDocument/2006/relationships/hyperlink" Id="rId188" Target="https://doi.org/10.1007/s10816-022-09599-x" TargetMode="External" /><Relationship Type="http://schemas.openxmlformats.org/officeDocument/2006/relationships/hyperlink" Id="rId219" Target="https://doi.org/10.1016/S1090-5138(98)00018-X" TargetMode="External" /><Relationship Type="http://schemas.openxmlformats.org/officeDocument/2006/relationships/hyperlink" Id="rId164" Target="https://doi.org/10.1016/j.beproc.2018.01.011" TargetMode="External" /><Relationship Type="http://schemas.openxmlformats.org/officeDocument/2006/relationships/hyperlink" Id="rId312" Target="https://doi.org/10.1016/j.evolhumbehav.2014.09.006" TargetMode="External" /><Relationship Type="http://schemas.openxmlformats.org/officeDocument/2006/relationships/hyperlink" Id="rId203" Target="https://doi.org/10.1016/j.jaa.2005.08.001" TargetMode="External" /><Relationship Type="http://schemas.openxmlformats.org/officeDocument/2006/relationships/hyperlink" Id="rId162" Target="https://doi.org/10.1016/j.jaa.2006.08.002" TargetMode="External" /><Relationship Type="http://schemas.openxmlformats.org/officeDocument/2006/relationships/hyperlink" Id="rId249" Target="https://doi.org/10.1016/j.jas.2010.05.015" TargetMode="External" /><Relationship Type="http://schemas.openxmlformats.org/officeDocument/2006/relationships/hyperlink" Id="rId283" Target="https://doi.org/10.1016/j.jas.2012.04.040" TargetMode="External" /><Relationship Type="http://schemas.openxmlformats.org/officeDocument/2006/relationships/hyperlink" Id="rId190" Target="https://doi.org/10.1016/j.jas.2014.07.014" TargetMode="External" /><Relationship Type="http://schemas.openxmlformats.org/officeDocument/2006/relationships/hyperlink" Id="rId258" Target="https://doi.org/10.1016/j.jas.2021.105412" TargetMode="External" /><Relationship Type="http://schemas.openxmlformats.org/officeDocument/2006/relationships/hyperlink" Id="rId232" Target="https://doi.org/10.1016/j.jtbi.2013.03.006" TargetMode="External" /><Relationship Type="http://schemas.openxmlformats.org/officeDocument/2006/relationships/hyperlink" Id="rId310" Target="https://doi.org/10.1016/j.jtbi.2016.04.024" TargetMode="External" /><Relationship Type="http://schemas.openxmlformats.org/officeDocument/2006/relationships/hyperlink" Id="rId301" Target="https://doi.org/10.1017/RDC.2020.41" TargetMode="External" /><Relationship Type="http://schemas.openxmlformats.org/officeDocument/2006/relationships/hyperlink" Id="rId171" Target="https://doi.org/10.1017/S0094837300026907" TargetMode="External" /><Relationship Type="http://schemas.openxmlformats.org/officeDocument/2006/relationships/hyperlink" Id="rId303" Target="https://doi.org/10.1017/S0140525X1400106X" TargetMode="External" /><Relationship Type="http://schemas.openxmlformats.org/officeDocument/2006/relationships/hyperlink" Id="rId222" Target="https://doi.org/10.1017/aap.2021.10" TargetMode="External" /><Relationship Type="http://schemas.openxmlformats.org/officeDocument/2006/relationships/hyperlink" Id="rId320" Target="https://doi.org/10.1017/aaq.2024.1" TargetMode="External" /><Relationship Type="http://schemas.openxmlformats.org/officeDocument/2006/relationships/hyperlink" Id="rId331" Target="https://doi.org/10.1017/ehs.2023.5" TargetMode="External" /><Relationship Type="http://schemas.openxmlformats.org/officeDocument/2006/relationships/hyperlink" Id="rId192" Target="https://doi.org/10.1038/srep39122" TargetMode="External" /><Relationship Type="http://schemas.openxmlformats.org/officeDocument/2006/relationships/hyperlink" Id="rId305" Target="https://doi.org/10.1057/s41599-019-0260-7" TargetMode="External" /><Relationship Type="http://schemas.openxmlformats.org/officeDocument/2006/relationships/hyperlink" Id="rId183" Target="https://doi.org/10.1057/s41599-019-0295-9" TargetMode="External" /><Relationship Type="http://schemas.openxmlformats.org/officeDocument/2006/relationships/hyperlink" Id="rId186" Target="https://doi.org/10.1057/s41599-020-00635-3" TargetMode="External" /><Relationship Type="http://schemas.openxmlformats.org/officeDocument/2006/relationships/hyperlink" Id="rId173" Target="https://doi.org/10.1073/pnas.0903232106" TargetMode="External" /><Relationship Type="http://schemas.openxmlformats.org/officeDocument/2006/relationships/hyperlink" Id="rId256" Target="https://doi.org/10.1073/pnas.1818346116" TargetMode="External" /><Relationship Type="http://schemas.openxmlformats.org/officeDocument/2006/relationships/hyperlink" Id="rId210" Target="https://doi.org/10.1073/pnas.2418106121" TargetMode="External" /><Relationship Type="http://schemas.openxmlformats.org/officeDocument/2006/relationships/hyperlink" Id="rId268" Target="https://doi.org/10.1080/20548923.2018.1504490" TargetMode="External" /><Relationship Type="http://schemas.openxmlformats.org/officeDocument/2006/relationships/hyperlink" Id="rId323" Target="https://doi.org/10.1086/651661" TargetMode="External" /><Relationship Type="http://schemas.openxmlformats.org/officeDocument/2006/relationships/hyperlink" Id="rId294" Target="https://doi.org/10.1086/674873" TargetMode="External" /><Relationship Type="http://schemas.openxmlformats.org/officeDocument/2006/relationships/hyperlink" Id="rId327" Target="https://doi.org/10.1093/genetics/28.2.114" TargetMode="External" /><Relationship Type="http://schemas.openxmlformats.org/officeDocument/2006/relationships/hyperlink" Id="rId234" Target="https://doi.org/10.1098/rsif.2015.0905" TargetMode="External" /><Relationship Type="http://schemas.openxmlformats.org/officeDocument/2006/relationships/hyperlink" Id="rId236" Target="https://doi.org/10.1098/rsos.170949" TargetMode="External" /><Relationship Type="http://schemas.openxmlformats.org/officeDocument/2006/relationships/hyperlink" Id="rId177" Target="https://doi.org/10.1098/rspb.2004.2746" TargetMode="External" /><Relationship Type="http://schemas.openxmlformats.org/officeDocument/2006/relationships/hyperlink" Id="rId166" Target="https://doi.org/10.1098/rstb.1996.0073" TargetMode="External" /><Relationship Type="http://schemas.openxmlformats.org/officeDocument/2006/relationships/hyperlink" Id="rId279" Target="https://doi.org/10.1098/rstb.2016.0426" TargetMode="External" /><Relationship Type="http://schemas.openxmlformats.org/officeDocument/2006/relationships/hyperlink" Id="rId329" Target="https://doi.org/10.1111/j.1469-1809.1949.tb02451.x" TargetMode="External" /><Relationship Type="http://schemas.openxmlformats.org/officeDocument/2006/relationships/hyperlink" Id="rId229" Target="https://doi.org/10.1111/j.1558-5646.2007.00310.x" TargetMode="External" /><Relationship Type="http://schemas.openxmlformats.org/officeDocument/2006/relationships/hyperlink" Id="rId292" Target="https://doi.org/10.1126/science.1170165" TargetMode="External" /><Relationship Type="http://schemas.openxmlformats.org/officeDocument/2006/relationships/hyperlink" Id="rId238" Target="https://doi.org/10.1146/annurev-ecolsys-110512-135838" TargetMode="External" /><Relationship Type="http://schemas.openxmlformats.org/officeDocument/2006/relationships/hyperlink" Id="rId175" Target="https://doi.org/10.1371/journal.pone.0003057" TargetMode="External" /><Relationship Type="http://schemas.openxmlformats.org/officeDocument/2006/relationships/hyperlink" Id="rId252" Target="https://doi.org/10.1371/journal.pone.0124942" TargetMode="External" /><Relationship Type="http://schemas.openxmlformats.org/officeDocument/2006/relationships/hyperlink" Id="rId246" Target="https://doi.org/10.1371/journal.pone.0250690" TargetMode="External" /><Relationship Type="http://schemas.openxmlformats.org/officeDocument/2006/relationships/hyperlink" Id="rId290" Target="https://doi.org/10.1525/aa.1953.55.5.02a00030" TargetMode="External" /><Relationship Type="http://schemas.openxmlformats.org/officeDocument/2006/relationships/hyperlink" Id="rId215" Target="https://doi.org/10.1525/aa.2001.103.4.992" TargetMode="External" /><Relationship Type="http://schemas.openxmlformats.org/officeDocument/2006/relationships/hyperlink" Id="rId208" Target="https://doi.org/10.1534/genetics.113.158220" TargetMode="External" /><Relationship Type="http://schemas.openxmlformats.org/officeDocument/2006/relationships/hyperlink" Id="rId227" Target="https://doi.org/10.1666/05070.1" TargetMode="External" /><Relationship Type="http://schemas.openxmlformats.org/officeDocument/2006/relationships/hyperlink" Id="rId180" Target="https://doi.org/10.2307/2694206" TargetMode="External" /><Relationship Type="http://schemas.openxmlformats.org/officeDocument/2006/relationships/hyperlink" Id="rId241" Target="https://doi.org/10.2307/2694529" TargetMode="External" /><Relationship Type="http://schemas.openxmlformats.org/officeDocument/2006/relationships/hyperlink" Id="rId194" Target="https://doi.org/10.2307/278341" TargetMode="External" /><Relationship Type="http://schemas.openxmlformats.org/officeDocument/2006/relationships/hyperlink" Id="rId281" Target="https://doi.org/10.2307/279066" TargetMode="External" /><Relationship Type="http://schemas.openxmlformats.org/officeDocument/2006/relationships/hyperlink" Id="rId197" Target="https://doi.org/10.2307/279244" TargetMode="External" /><Relationship Type="http://schemas.openxmlformats.org/officeDocument/2006/relationships/hyperlink" Id="rId169" Target="https://doi.org/10.2307/3557066" TargetMode="External" /><Relationship Type="http://schemas.openxmlformats.org/officeDocument/2006/relationships/hyperlink" Id="rId217" Target="https://doi.org/10.2307/4128416" TargetMode="External" /><Relationship Type="http://schemas.openxmlformats.org/officeDocument/2006/relationships/hyperlink" Id="rId298" Target="https://doi.org/10.7183/0002-7316.76.1.163" TargetMode="External" /><Relationship Type="http://schemas.openxmlformats.org/officeDocument/2006/relationships/hyperlink" Id="rId296"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2026-09-21T15:11:09Z</dcterms:created>
  <dcterms:modified xsi:type="dcterms:W3CDTF">2026-09-21T15:11:09Z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