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4.png" ContentType="image/png"/>
  <Override PartName="/word/media/rId119.png" ContentType="image/png"/>
  <Override PartName="/word/media/rId123.png" ContentType="image/png"/>
  <Override PartName="/word/media/rId127.png" ContentType="image/png"/>
  <Override PartName="/word/media/rId132.png" ContentType="image/png"/>
  <Override PartName="/word/media/rId138.png" ContentType="image/png"/>
  <Override PartName="/word/media/rId146.png" ContentType="image/png"/>
  <Override PartName="/word/media/rId1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three spatial clusters; six seriation bins). The plug-in value is the Gini-Simpson estimator of the main text. The last bin holds assemblages from a single cluster, so its</w:t>
      </w:r>
      <w:r>
        <w:t xml:space="preserve"> </w:t>
      </w:r>
      <m:oMath>
        <m:sSub>
          <m:e>
            <m:r>
              <m:t>F</m:t>
            </m:r>
          </m:e>
          <m:sub>
            <m:r>
              <m:t>S</m:t>
            </m:r>
            <m:r>
              <m:t>T</m:t>
            </m:r>
          </m:sub>
        </m:sSub>
      </m:oMath>
      <w:r>
        <w:t xml:space="preserve"> </w:t>
      </w:r>
      <w:r>
        <w:t xml:space="preserve">is undefined.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1,533</w:t>
            </w:r>
          </w:p>
        </w:tc>
        <w:tc>
          <w:tcPr/>
          <w:p>
            <w:pPr>
              <w:pStyle w:val="Compact"/>
              <w:jc w:val="right"/>
            </w:pPr>
            <w:r>
              <w:t xml:space="preserve">0.0053</w:t>
            </w:r>
          </w:p>
        </w:tc>
        <w:tc>
          <w:tcPr/>
          <w:p>
            <w:pPr>
              <w:pStyle w:val="Compact"/>
            </w:pPr>
            <w:r>
              <w:t xml:space="preserve">0.0021 to 0.0102</w:t>
            </w:r>
          </w:p>
        </w:tc>
        <w:tc>
          <w:tcPr/>
          <w:p>
            <w:pPr>
              <w:pStyle w:val="Compact"/>
              <w:jc w:val="right"/>
            </w:pPr>
            <w:r>
              <w:t xml:space="preserve">0.0056</w:t>
            </w:r>
          </w:p>
        </w:tc>
      </w:tr>
      <w:tr>
        <w:tc>
          <w:tcPr/>
          <w:p>
            <w:pPr>
              <w:pStyle w:val="Compact"/>
            </w:pPr>
            <w:r>
              <w:t xml:space="preserve">2</w:t>
            </w:r>
          </w:p>
        </w:tc>
        <w:tc>
          <w:tcPr/>
          <w:p>
            <w:pPr>
              <w:pStyle w:val="Compact"/>
              <w:jc w:val="right"/>
            </w:pPr>
            <w:r>
              <w:t xml:space="preserve">1,737</w:t>
            </w:r>
          </w:p>
        </w:tc>
        <w:tc>
          <w:tcPr/>
          <w:p>
            <w:pPr>
              <w:pStyle w:val="Compact"/>
              <w:jc w:val="right"/>
            </w:pPr>
            <w:r>
              <w:t xml:space="preserve">0.0030</w:t>
            </w:r>
          </w:p>
        </w:tc>
        <w:tc>
          <w:tcPr/>
          <w:p>
            <w:pPr>
              <w:pStyle w:val="Compact"/>
            </w:pPr>
            <w:r>
              <w:t xml:space="preserve">0.0007 to 0.0073</w:t>
            </w:r>
          </w:p>
        </w:tc>
        <w:tc>
          <w:tcPr/>
          <w:p>
            <w:pPr>
              <w:pStyle w:val="Compact"/>
              <w:jc w:val="right"/>
            </w:pPr>
            <w:r>
              <w:t xml:space="preserve">0.0028</w:t>
            </w:r>
          </w:p>
        </w:tc>
      </w:tr>
      <w:tr>
        <w:tc>
          <w:tcPr/>
          <w:p>
            <w:pPr>
              <w:pStyle w:val="Compact"/>
            </w:pPr>
            <w:r>
              <w:t xml:space="preserve">3</w:t>
            </w:r>
          </w:p>
        </w:tc>
        <w:tc>
          <w:tcPr/>
          <w:p>
            <w:pPr>
              <w:pStyle w:val="Compact"/>
              <w:jc w:val="right"/>
            </w:pPr>
            <w:r>
              <w:t xml:space="preserve">1,519</w:t>
            </w:r>
          </w:p>
        </w:tc>
        <w:tc>
          <w:tcPr/>
          <w:p>
            <w:pPr>
              <w:pStyle w:val="Compact"/>
              <w:jc w:val="right"/>
            </w:pPr>
            <w:r>
              <w:t xml:space="preserve">0.0283</w:t>
            </w:r>
          </w:p>
        </w:tc>
        <w:tc>
          <w:tcPr/>
          <w:p>
            <w:pPr>
              <w:pStyle w:val="Compact"/>
            </w:pPr>
            <w:r>
              <w:t xml:space="preserve">0.0168 to 0.0419</w:t>
            </w:r>
          </w:p>
        </w:tc>
        <w:tc>
          <w:tcPr/>
          <w:p>
            <w:pPr>
              <w:pStyle w:val="Compact"/>
              <w:jc w:val="right"/>
            </w:pPr>
            <w:r>
              <w:t xml:space="preserve">0.0292</w:t>
            </w:r>
          </w:p>
        </w:tc>
      </w:tr>
      <w:tr>
        <w:tc>
          <w:tcPr/>
          <w:p>
            <w:pPr>
              <w:pStyle w:val="Compact"/>
            </w:pPr>
            <w:r>
              <w:t xml:space="preserve">4</w:t>
            </w:r>
          </w:p>
        </w:tc>
        <w:tc>
          <w:tcPr/>
          <w:p>
            <w:pPr>
              <w:pStyle w:val="Compact"/>
              <w:jc w:val="right"/>
            </w:pPr>
            <w:r>
              <w:t xml:space="preserve">3,300</w:t>
            </w:r>
          </w:p>
        </w:tc>
        <w:tc>
          <w:tcPr/>
          <w:p>
            <w:pPr>
              <w:pStyle w:val="Compact"/>
              <w:jc w:val="right"/>
            </w:pPr>
            <w:r>
              <w:t xml:space="preserve">0.1330</w:t>
            </w:r>
          </w:p>
        </w:tc>
        <w:tc>
          <w:tcPr/>
          <w:p>
            <w:pPr>
              <w:pStyle w:val="Compact"/>
            </w:pPr>
            <w:r>
              <w:t xml:space="preserve">0.1174 to 0.1484</w:t>
            </w:r>
          </w:p>
        </w:tc>
        <w:tc>
          <w:tcPr/>
          <w:p>
            <w:pPr>
              <w:pStyle w:val="Compact"/>
              <w:jc w:val="right"/>
            </w:pPr>
            <w:r>
              <w:t xml:space="preserve">0.1355</w:t>
            </w:r>
          </w:p>
        </w:tc>
      </w:tr>
      <w:tr>
        <w:tc>
          <w:tcPr/>
          <w:p>
            <w:pPr>
              <w:pStyle w:val="Compact"/>
            </w:pPr>
            <w:r>
              <w:t xml:space="preserve">5</w:t>
            </w:r>
          </w:p>
        </w:tc>
        <w:tc>
          <w:tcPr/>
          <w:p>
            <w:pPr>
              <w:pStyle w:val="Compact"/>
              <w:jc w:val="right"/>
            </w:pPr>
            <w:r>
              <w:t xml:space="preserve">14,224</w:t>
            </w:r>
          </w:p>
        </w:tc>
        <w:tc>
          <w:tcPr/>
          <w:p>
            <w:pPr>
              <w:pStyle w:val="Compact"/>
              <w:jc w:val="right"/>
            </w:pPr>
            <w:r>
              <w:t xml:space="preserve">0.0074</w:t>
            </w:r>
          </w:p>
        </w:tc>
        <w:tc>
          <w:tcPr/>
          <w:p>
            <w:pPr>
              <w:pStyle w:val="Compact"/>
            </w:pPr>
            <w:r>
              <w:t xml:space="preserve">0.0052 to 0.0102</w:t>
            </w:r>
          </w:p>
        </w:tc>
        <w:tc>
          <w:tcPr/>
          <w:p>
            <w:pPr>
              <w:pStyle w:val="Compact"/>
              <w:jc w:val="right"/>
            </w:pPr>
            <w:r>
              <w:t xml:space="preserve">0.0075</w:t>
            </w:r>
          </w:p>
        </w:tc>
      </w:tr>
      <w:tr>
        <w:tc>
          <w:tcPr/>
          <w:p>
            <w:pPr>
              <w:pStyle w:val="Compact"/>
            </w:pPr>
            <w:r>
              <w:t xml:space="preserve">6</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has a posterior median of +0.019 with a 95 percent credible interval of -0.039 to +0.077, and P(slope &gt; 0) = 0.77.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43 basin assemblages and ten decorated classes, the spatial share is 0.97 with a 95 percent credible interval of 0.93 to 0.99 (0.968, 0.928 to 0.989, under the marginalized nugget, and 0.969, 0.927 to 0.989,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0.0152 to 0.0212 (median 0.0180) against an observed 0.0179 (Bayesian predictive p = 0.51). For the distance decay of similarity it is -0.370 to -0.265 (median -0.323) against -0.327 (p = 0.56), for the mean within-assemblage Gini-Simpson diversity 0.495 to 0.522 against 0.510 (p = 0.49), and for its spread across assemblages 0.126 to 0.154 against 0.144 (p = 0.24).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monotonically from 0.0147 (95 percent credible interval 0.0128 to 0.0167) at two clusters, through 0.0178 (0.0157 to 0.0200) at the three the silhouette criterion selects, to 0.0347 (0.0319 to 0.0376) at six, and the intervals at the two ends do not overlap. It does not depend on which particular division is used at a given number of clusters. Twenty k-means seeds at three clusters return the same partition, and the division we use sits at the 51st percentile of 150 alternative contiguous divisions of the basin at the same grain, whose median of posterior medians is 0.0178.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43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47969"/>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5" name="Picture"/>
            <a:graphic>
              <a:graphicData uri="http://schemas.openxmlformats.org/drawingml/2006/picture">
                <pic:pic>
                  <pic:nvPicPr>
                    <pic:cNvPr descr="../../figures/figS1_neiman.png" id="116" name="Picture"/>
                    <pic:cNvPicPr>
                      <a:picLocks noChangeArrowheads="1" noChangeAspect="1"/>
                    </pic:cNvPicPr>
                  </pic:nvPicPr>
                  <pic:blipFill>
                    <a:blip r:embed="rId114"/>
                    <a:stretch>
                      <a:fillRect/>
                    </a:stretch>
                  </pic:blipFill>
                  <pic:spPr bwMode="auto">
                    <a:xfrm>
                      <a:off x="0" y="0"/>
                      <a:ext cx="5334000" cy="294796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7"/>
    <w:bookmarkStart w:id="118"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8"/>
    <w:bookmarkStart w:id="122"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43 assemblages, using the model and calibration described in the next section. The calibration is the first result. Under uniform innovation, in which the ten classes are exchangeable, none of the 297 parameter combinations falls within the 10 percent tolerance on the six calibration draws. The closest (120 learners, innovation 0.0002, mixing 0.1) gives a within-assemblage Gini-Simpson diversity of 0.59 and a pooled diversity of 0.62, against 0.51 and 0.52 observed, so the uniform model runs too diverse throughout. Under pooled-profile innovation, 55 combinations match, spanning population sizes of 120, 2,000 and 10,000 learners and low rates of innovation and mixing (Table S2). None of the 55 reaches the observed between-cluster</w:t>
      </w:r>
      <w:r>
        <w:t xml:space="preserve"> </w:t>
      </w:r>
      <m:oMath>
        <m:sSub>
          <m:e>
            <m:r>
              <m:t>F</m:t>
            </m:r>
          </m:e>
          <m:sub>
            <m:r>
              <m:t>S</m:t>
            </m:r>
            <m:r>
              <m:t>T</m:t>
            </m:r>
          </m:sub>
        </m:sSub>
      </m:oMath>
      <w:r>
        <w:t xml:space="preserve">. The highest median among them is 0.006 against 0.021 observed, a result we return to with the full grid below.</w:t>
      </w:r>
    </w:p>
    <w:p>
      <w:pPr>
        <w:pStyle w:val="BodyText"/>
      </w:pPr>
      <w:r>
        <w:t xml:space="preserve">At the diversity-matched parameter combination most favorable to drift (10,000 learners, innovation 0.0002, mixing 0.005, interaction length 24 river-km), the observed between-cluster</w:t>
      </w:r>
      <w:r>
        <w:t xml:space="preserve"> </w:t>
      </w:r>
      <m:oMath>
        <m:sSub>
          <m:e>
            <m:r>
              <m:t>F</m:t>
            </m:r>
          </m:e>
          <m:sub>
            <m:r>
              <m:t>S</m:t>
            </m:r>
            <m:r>
              <m:t>T</m:t>
            </m:r>
          </m:sub>
        </m:sSub>
      </m:oMath>
      <w:r>
        <w:t xml:space="preserve"> </w:t>
      </w:r>
      <w:r>
        <w:t xml:space="preserve">of 0.018 lies above the drift interval of 0.0005 to 0.013 (median 0.003). Only 1.2 percent of simulated datasets reach it under the seriation order, 0.8 percent reversed, and 1.4 percent contemporaneous. Calibrated drift returns one ceramic community in 488 of 500 runs, so modularity and the between-community</w:t>
      </w:r>
      <w:r>
        <w:t xml:space="preserve"> </w:t>
      </w:r>
      <m:oMath>
        <m:sSub>
          <m:e>
            <m:r>
              <m:t>F</m:t>
            </m:r>
          </m:e>
          <m:sub>
            <m:r>
              <m:t>S</m:t>
            </m:r>
            <m:r>
              <m:t>T</m:t>
            </m:r>
          </m:sub>
        </m:sSub>
      </m:oMath>
      <w:r>
        <w:t xml:space="preserve"> </w:t>
      </w:r>
      <w:r>
        <w:t xml:space="preserve">are near zero where the data give 0.057 and 0.043. The distance decay of similarity is reproduced (observed Mantel r = -0.32; drift interval -0.62 to -0.02). The distance-controlled boundary excess of the spatial clusters is negative in the data (-11.9, within-cluster pairs less similar than between-cluster pairs at matched distance), outside both the drift interval (-4.0 to 8.9) and the bounded-groups interval (1.3 to 19.8). Reducing copying across the spatial clusters by factors of 0.5, 0.1, and 0.03 leaves the median</w:t>
      </w:r>
      <w:r>
        <w:t xml:space="preserve"> </w:t>
      </w:r>
      <m:oMath>
        <m:sSub>
          <m:e>
            <m:r>
              <m:t>F</m:t>
            </m:r>
          </m:e>
          <m:sub>
            <m:r>
              <m:t>S</m:t>
            </m:r>
            <m:r>
              <m:t>T</m:t>
            </m:r>
          </m:sub>
        </m:sSub>
      </m:oMath>
      <w:r>
        <w:t xml:space="preserve"> </w:t>
      </w:r>
      <w:r>
        <w:t xml:space="preserve">between 0.003 and 0.006 at both interaction lengths. The observation falls inside those intervals only through their upper tails at 30 realizations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0" name="Picture"/>
            <a:graphic>
              <a:graphicData uri="http://schemas.openxmlformats.org/drawingml/2006/picture">
                <pic:pic>
                  <pic:nvPicPr>
                    <pic:cNvPr descr="../../figures/figS2_drift_vs_groups.png" id="121" name="Picture"/>
                    <pic:cNvPicPr>
                      <a:picLocks noChangeArrowheads="1" noChangeAspect="1"/>
                    </pic:cNvPicPr>
                  </pic:nvPicPr>
                  <pic:blipFill>
                    <a:blip r:embed="rId119"/>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median partition</w:t>
      </w:r>
      <w:r>
        <w:t xml:space="preserve"> </w:t>
      </w:r>
      <m:oMath>
        <m:sSub>
          <m:e>
            <m:r>
              <m:t>F</m:t>
            </m:r>
          </m:e>
          <m:sub>
            <m:r>
              <m:t>S</m:t>
            </m:r>
            <m:r>
              <m:t>T</m:t>
            </m:r>
          </m:sub>
        </m:sSub>
      </m:oMath>
      <w:r>
        <w:t xml:space="preserve">. Where no combination matches, the minimum-misfit combination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61</w:t>
            </w:r>
          </w:p>
        </w:tc>
        <w:tc>
          <w:tcPr/>
          <w:p>
            <w:pPr>
              <w:pStyle w:val="Compact"/>
            </w:pPr>
            <w:r>
              <w:t xml:space="preserve">10,000, 0.0002, 0.005</w:t>
            </w:r>
          </w:p>
        </w:tc>
        <w:tc>
          <w:tcPr/>
          <w:p>
            <w:pPr>
              <w:pStyle w:val="Compact"/>
            </w:pPr>
            <w:r>
              <w:t xml:space="preserve">0.510 / 5.90 / 0.522</w:t>
            </w:r>
          </w:p>
        </w:tc>
        <w:tc>
          <w:tcPr/>
          <w:p>
            <w:pPr>
              <w:pStyle w:val="Compact"/>
            </w:pPr>
            <w:r>
              <w:t xml:space="preserve">0.512 / 5.31 / 0.523</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(fails at 500 realizations)</w:t>
            </w:r>
          </w:p>
        </w:tc>
        <w:tc>
          <w:tcPr/>
          <w:p>
            <w:pPr>
              <w:pStyle w:val="Compact"/>
            </w:pPr>
            <w:r>
              <w:t xml:space="preserve">120, 0.0002, 0.2</w:t>
            </w:r>
          </w:p>
        </w:tc>
        <w:tc>
          <w:tcPr/>
          <w:p>
            <w:pPr>
              <w:pStyle w:val="Compact"/>
            </w:pPr>
            <w:r>
              <w:t xml:space="preserve">0.510 / 5.90 / 0.522</w:t>
            </w:r>
          </w:p>
        </w:tc>
        <w:tc>
          <w:tcPr/>
          <w:p>
            <w:pPr>
              <w:pStyle w:val="Compact"/>
            </w:pPr>
            <w:r>
              <w:t xml:space="preserve">0.599 / 5.83 / 0.629</w:t>
            </w:r>
          </w:p>
        </w:tc>
      </w:tr>
    </w:tbl>
    <w:bookmarkEnd w:id="122"/>
    <w:bookmarkStart w:id="126"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43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simulated at six seeds per combination with the same time-transgressive sampling applied to the data, and a combination is diversity-matched when all three simulated summaries fall within 10 percent of the observed values. The baseline combination for the drift comparison is the diversity-matched parameter combination with the highest median partition</w:t>
      </w:r>
      <w:r>
        <w:t xml:space="preserve"> </w:t>
      </w:r>
      <m:oMath>
        <m:sSub>
          <m:e>
            <m:r>
              <m:t>F</m:t>
            </m:r>
          </m:e>
          <m:sub>
            <m:r>
              <m:t>S</m:t>
            </m:r>
            <m:r>
              <m:t>T</m:t>
            </m:r>
          </m:sub>
        </m:sSub>
      </m:oMath>
      <w:r>
        <w:t xml:space="preserve">, so the comparison is the one most favorable to drift. When no combination is matched, we use the minimum-misfit combination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43 assemblages connect on the resulting network and the mean access distance from an assemblage to a mapped channel is 3.85 km. Detour is summarized two ways, because the summaries differ: the mean of the per-pair ratios of along-water to straight-line distance is 3.3 and the median is 2.4.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because it more faithfully represents how potters in the basin could interact.</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0.98 to 1.00 for every basin assemblage, because the model returns a single community in almost every run.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0.043 against the calibrated drift distributions under contemporaneous and time-transgressive sampling for both innovation models. Under pooled-profile innovation, the model returns a single community in 488 of 500 time-transgressive runs, where a between-community</w:t>
      </w:r>
      <w:r>
        <w:t xml:space="preserve"> </w:t>
      </w:r>
      <m:oMath>
        <m:sSub>
          <m:e>
            <m:r>
              <m:t>F</m:t>
            </m:r>
          </m:e>
          <m:sub>
            <m:r>
              <m:t>S</m:t>
            </m:r>
            <m:r>
              <m:t>T</m:t>
            </m:r>
          </m:sub>
        </m:sSub>
      </m:oMath>
      <w:r>
        <w:t xml:space="preserve"> </w:t>
      </w:r>
      <w:r>
        <w:t xml:space="preserve">is undefined. In the 12 runs that return two communities it runs from 0.009 to 0.026 (median 0.014), all below the observed 0.043.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 F_{ST} 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 title="" id="124" name="Picture"/>
            <a:graphic>
              <a:graphicData uri="http://schemas.openxmlformats.org/drawingml/2006/picture">
                <pic:pic>
                  <pic:nvPicPr>
                    <pic:cNvPr descr="../../figures/figS3_emergent_phases.png" id="125" name="Picture"/>
                    <pic:cNvPicPr>
                      <a:picLocks noChangeArrowheads="1" noChangeAspect="1"/>
                    </pic:cNvPicPr>
                  </pic:nvPicPr>
                  <pic:blipFill>
                    <a:blip r:embed="rId123"/>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w:t>
      </w:r>
      <w:r>
        <w:t xml:space="preserve"> </w:t>
      </w:r>
      <m:oMath>
        <m:sSub>
          <m:e>
            <m:r>
              <m:t>F</m:t>
            </m:r>
          </m:e>
          <m:sub>
            <m:r>
              <m:t>S</m:t>
            </m:r>
            <m:r>
              <m:t>T</m:t>
            </m:r>
          </m:sub>
        </m:sSub>
      </m:oMath>
      <w:r>
        <w:t xml:space="preserve"> </w:t>
      </w:r>
      <w:r>
        <w:t xml:space="preserve">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w:t>
      </w:r>
    </w:p>
    <w:bookmarkEnd w:id="126"/>
    <w:bookmarkStart w:id="130"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the median partition</w:t>
      </w:r>
      <w:r>
        <w:t xml:space="preserve"> </w:t>
      </w:r>
      <m:oMath>
        <m:sSub>
          <m:e>
            <m:r>
              <m:t>F</m:t>
            </m:r>
          </m:e>
          <m:sub>
            <m:r>
              <m:t>S</m:t>
            </m:r>
            <m:r>
              <m:t>T</m:t>
            </m:r>
          </m:sub>
        </m:sSub>
      </m:oMath>
      <w:r>
        <w:t xml:space="preserve"> </w:t>
      </w:r>
      <w:r>
        <w:t xml:space="preserve">of its six calibration draws. Combinations to the left of the tolerance line match the assemblages’ diversity. In the basin, the matched combinations lie well below the observed</w:t>
      </w:r>
      <w:r>
        <w:t xml:space="preserve"> </w:t>
      </w:r>
      <m:oMath>
        <m:sSub>
          <m:e>
            <m:r>
              <m:t>F</m:t>
            </m:r>
          </m:e>
          <m:sub>
            <m:r>
              <m:t>S</m:t>
            </m:r>
            <m:r>
              <m:t>T</m:t>
            </m:r>
          </m:sub>
        </m:sSub>
      </m:oMath>
      <w:r>
        <w:t xml:space="preserve">, and the combinations that reach the observed</w:t>
      </w:r>
      <w:r>
        <w:t xml:space="preserve"> </w:t>
      </w:r>
      <m:oMath>
        <m:sSub>
          <m:e>
            <m:r>
              <m:t>F</m:t>
            </m:r>
          </m:e>
          <m:sub>
            <m:r>
              <m:t>S</m:t>
            </m:r>
            <m:r>
              <m:t>T</m:t>
            </m:r>
          </m:sub>
        </m:sSub>
      </m:oMath>
      <w:r>
        <w:t xml:space="preserve"> </w:t>
      </w:r>
      <w:r>
        <w:t xml:space="preserve">are those that misfit the diversity by a factor of two or more. Under uniform innovation, the whole grid misfits.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the median partition F_{ST} 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in either panel." title="" id="128" name="Picture"/>
            <a:graphic>
              <a:graphicData uri="http://schemas.openxmlformats.org/drawingml/2006/picture">
                <pic:pic>
                  <pic:nvPicPr>
                    <pic:cNvPr descr="../../figures/figS4_emergence_robustness.png" id="129" name="Picture"/>
                    <pic:cNvPicPr>
                      <a:picLocks noChangeArrowheads="1" noChangeAspect="1"/>
                    </pic:cNvPicPr>
                  </pic:nvPicPr>
                  <pic:blipFill>
                    <a:blip r:embed="rId127"/>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the median partition</w:t>
      </w:r>
      <w:r>
        <w:t xml:space="preserve"> </w:t>
      </w:r>
      <m:oMath>
        <m:sSub>
          <m:e>
            <m:r>
              <m:t>F</m:t>
            </m:r>
          </m:e>
          <m:sub>
            <m:r>
              <m:t>S</m:t>
            </m:r>
            <m:r>
              <m:t>T</m:t>
            </m:r>
          </m:sub>
        </m:sSub>
      </m:oMath>
      <w:r>
        <w:t xml:space="preserve"> </w:t>
      </w:r>
      <w:r>
        <w:t xml:space="preserve">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0.018; H_S 0.51, richness 5.9)</w:t>
            </w:r>
          </w:p>
        </w:tc>
        <w:tc>
          <w:tcPr/>
          <w:p>
            <w:pPr>
              <w:pStyle w:val="Compact"/>
            </w:pPr>
            <w:r>
              <w:t xml:space="preserve">baseline</w:t>
            </w:r>
          </w:p>
        </w:tc>
        <w:tc>
          <w:tcPr/>
          <w:p>
            <w:pPr>
              <w:pStyle w:val="Compact"/>
            </w:pPr>
            <w:r>
              <w:t xml:space="preserve">0.0029 [0.0005, 0.0128]</w:t>
            </w:r>
          </w:p>
        </w:tc>
        <w:tc>
          <w:tcPr/>
          <w:p>
            <w:pPr>
              <w:pStyle w:val="Compact"/>
              <w:jc w:val="right"/>
            </w:pPr>
            <w:r>
              <w:t xml:space="preserve">0.012</w:t>
            </w:r>
          </w:p>
        </w:tc>
        <w:tc>
          <w:tcPr/>
          <w:p>
            <w:pPr>
              <w:pStyle w:val="Compact"/>
              <w:jc w:val="right"/>
            </w:pPr>
            <w:r>
              <w:t xml:space="preserve">0.51</w:t>
            </w:r>
          </w:p>
        </w:tc>
        <w:tc>
          <w:tcPr/>
          <w:p>
            <w:pPr>
              <w:pStyle w:val="Compact"/>
              <w:jc w:val="right"/>
            </w:pPr>
            <w:r>
              <w:t xml:space="preserve">5.3</w:t>
            </w:r>
          </w:p>
        </w:tc>
      </w:tr>
      <w:tr>
        <w:tc>
          <w:tcPr/>
          <w:p>
            <w:pPr>
              <w:pStyle w:val="Compact"/>
            </w:pPr>
          </w:p>
        </w:tc>
        <w:tc>
          <w:tcPr/>
          <w:p>
            <w:pPr>
              <w:pStyle w:val="Compact"/>
            </w:pPr>
            <w:r>
              <w:t xml:space="preserve">burn-in 2,400</w:t>
            </w:r>
          </w:p>
        </w:tc>
        <w:tc>
          <w:tcPr/>
          <w:p>
            <w:pPr>
              <w:pStyle w:val="Compact"/>
            </w:pPr>
            <w:r>
              <w:t xml:space="preserve">0.0030 [0.0006, 0.0107]</w:t>
            </w:r>
          </w:p>
        </w:tc>
        <w:tc>
          <w:tcPr/>
          <w:p>
            <w:pPr>
              <w:pStyle w:val="Compact"/>
              <w:jc w:val="right"/>
            </w:pPr>
            <w:r>
              <w:t xml:space="preserve">0.020</w:t>
            </w:r>
          </w:p>
        </w:tc>
        <w:tc>
          <w:tcPr/>
          <w:p>
            <w:pPr>
              <w:pStyle w:val="Compact"/>
              <w:jc w:val="right"/>
            </w:pPr>
            <w:r>
              <w:t xml:space="preserve">0.52</w:t>
            </w:r>
          </w:p>
        </w:tc>
        <w:tc>
          <w:tcPr/>
          <w:p>
            <w:pPr>
              <w:pStyle w:val="Compact"/>
              <w:jc w:val="right"/>
            </w:pPr>
            <w:r>
              <w:t xml:space="preserve">5.2</w:t>
            </w:r>
          </w:p>
        </w:tc>
      </w:tr>
      <w:tr>
        <w:tc>
          <w:tcPr/>
          <w:p>
            <w:pPr>
              <w:pStyle w:val="Compact"/>
            </w:pPr>
          </w:p>
        </w:tc>
        <w:tc>
          <w:tcPr/>
          <w:p>
            <w:pPr>
              <w:pStyle w:val="Compact"/>
            </w:pPr>
            <w:r>
              <w:t xml:space="preserve">monomorphic start, burn-in</w:t>
            </w:r>
          </w:p>
        </w:tc>
        <w:tc>
          <w:tcPr/>
          <w:p>
            <w:pPr>
              <w:pStyle w:val="Compact"/>
            </w:pPr>
            <w:r>
              <w:t xml:space="preserve">0.0028 [0.0006, 0.0126]</w:t>
            </w:r>
          </w:p>
        </w:tc>
        <w:tc>
          <w:tcPr/>
          <w:p>
            <w:pPr>
              <w:pStyle w:val="Compact"/>
              <w:jc w:val="right"/>
            </w:pPr>
            <w:r>
              <w:t xml:space="preserve">0.020</w:t>
            </w:r>
          </w:p>
        </w:tc>
        <w:tc>
          <w:tcPr/>
          <w:p>
            <w:pPr>
              <w:pStyle w:val="Compact"/>
              <w:jc w:val="right"/>
            </w:pPr>
            <w:r>
              <w:t xml:space="preserve">0.22</w:t>
            </w:r>
          </w:p>
        </w:tc>
        <w:tc>
          <w:tcPr/>
          <w:p>
            <w:pPr>
              <w:pStyle w:val="Compact"/>
              <w:jc w:val="right"/>
            </w:pPr>
            <w:r>
              <w:t xml:space="preserve">4.2</w:t>
            </w:r>
          </w:p>
        </w:tc>
      </w:tr>
      <w:tr>
        <w:tc>
          <w:tcPr/>
          <w:p>
            <w:pPr>
              <w:pStyle w:val="Compact"/>
            </w:pPr>
          </w:p>
        </w:tc>
        <w:tc>
          <w:tcPr/>
          <w:p>
            <w:pPr>
              <w:pStyle w:val="Compact"/>
            </w:pPr>
            <w:r>
              <w:t xml:space="preserve">monomorphic start, no burn-in</w:t>
            </w:r>
          </w:p>
        </w:tc>
        <w:tc>
          <w:tcPr/>
          <w:p>
            <w:pPr>
              <w:pStyle w:val="Compact"/>
            </w:pPr>
            <w:r>
              <w:t xml:space="preserve">0.0033 [0.0004, 0.0141]</w:t>
            </w:r>
          </w:p>
        </w:tc>
        <w:tc>
          <w:tcPr/>
          <w:p>
            <w:pPr>
              <w:pStyle w:val="Compact"/>
              <w:jc w:val="right"/>
            </w:pPr>
            <w:r>
              <w:t xml:space="preserve">0.020</w:t>
            </w:r>
          </w:p>
        </w:tc>
        <w:tc>
          <w:tcPr/>
          <w:p>
            <w:pPr>
              <w:pStyle w:val="Compact"/>
              <w:jc w:val="right"/>
            </w:pPr>
            <w:r>
              <w:t xml:space="preserve">0.11</w:t>
            </w:r>
          </w:p>
        </w:tc>
        <w:tc>
          <w:tcPr/>
          <w:p>
            <w:pPr>
              <w:pStyle w:val="Compact"/>
              <w:jc w:val="right"/>
            </w:pPr>
            <w:r>
              <w:t xml:space="preserve">3.6</w:t>
            </w:r>
          </w:p>
        </w:tc>
      </w:tr>
      <w:tr>
        <w:tc>
          <w:tcPr/>
          <w:p>
            <w:pPr>
              <w:pStyle w:val="Compact"/>
            </w:pPr>
          </w:p>
        </w:tc>
        <w:tc>
          <w:tcPr/>
          <w:p>
            <w:pPr>
              <w:pStyle w:val="Compact"/>
            </w:pPr>
            <w:r>
              <w:t xml:space="preserve">innovation halved</w:t>
            </w:r>
          </w:p>
        </w:tc>
        <w:tc>
          <w:tcPr/>
          <w:p>
            <w:pPr>
              <w:pStyle w:val="Compact"/>
            </w:pPr>
            <w:r>
              <w:t xml:space="preserve">0.0028 [0.0007, 0.0160]</w:t>
            </w:r>
          </w:p>
        </w:tc>
        <w:tc>
          <w:tcPr/>
          <w:p>
            <w:pPr>
              <w:pStyle w:val="Compact"/>
              <w:jc w:val="right"/>
            </w:pPr>
            <w:r>
              <w:t xml:space="preserve">0.039</w:t>
            </w:r>
          </w:p>
        </w:tc>
        <w:tc>
          <w:tcPr/>
          <w:p>
            <w:pPr>
              <w:pStyle w:val="Compact"/>
              <w:jc w:val="right"/>
            </w:pPr>
            <w:r>
              <w:t xml:space="preserve">0.50</w:t>
            </w:r>
          </w:p>
        </w:tc>
        <w:tc>
          <w:tcPr/>
          <w:p>
            <w:pPr>
              <w:pStyle w:val="Compact"/>
              <w:jc w:val="right"/>
            </w:pPr>
            <w:r>
              <w:t xml:space="preserve">5.0</w:t>
            </w:r>
          </w:p>
        </w:tc>
      </w:tr>
      <w:tr>
        <w:tc>
          <w:tcPr/>
          <w:p>
            <w:pPr>
              <w:pStyle w:val="Compact"/>
            </w:pPr>
          </w:p>
        </w:tc>
        <w:tc>
          <w:tcPr/>
          <w:p>
            <w:pPr>
              <w:pStyle w:val="Compact"/>
            </w:pPr>
            <w:r>
              <w:t xml:space="preserve">innovation doubled</w:t>
            </w:r>
          </w:p>
        </w:tc>
        <w:tc>
          <w:tcPr/>
          <w:p>
            <w:pPr>
              <w:pStyle w:val="Compact"/>
            </w:pPr>
            <w:r>
              <w:t xml:space="preserve">0.0029 [0.0009, 0.0122]</w:t>
            </w:r>
          </w:p>
        </w:tc>
        <w:tc>
          <w:tcPr/>
          <w:p>
            <w:pPr>
              <w:pStyle w:val="Compact"/>
              <w:jc w:val="right"/>
            </w:pPr>
            <w:r>
              <w:t xml:space="preserve">0.020</w:t>
            </w:r>
          </w:p>
        </w:tc>
        <w:tc>
          <w:tcPr/>
          <w:p>
            <w:pPr>
              <w:pStyle w:val="Compact"/>
              <w:jc w:val="right"/>
            </w:pPr>
            <w:r>
              <w:t xml:space="preserve">0.51</w:t>
            </w:r>
          </w:p>
        </w:tc>
        <w:tc>
          <w:tcPr/>
          <w:p>
            <w:pPr>
              <w:pStyle w:val="Compact"/>
              <w:jc w:val="right"/>
            </w:pPr>
            <w:r>
              <w:t xml:space="preserve">5.6</w:t>
            </w:r>
          </w:p>
        </w:tc>
      </w:tr>
      <w:tr>
        <w:tc>
          <w:tcPr/>
          <w:p>
            <w:pPr>
              <w:pStyle w:val="Compact"/>
            </w:pPr>
          </w:p>
        </w:tc>
        <w:tc>
          <w:tcPr/>
          <w:p>
            <w:pPr>
              <w:pStyle w:val="Compact"/>
            </w:pPr>
            <w:r>
              <w:t xml:space="preserve">mixing halved</w:t>
            </w:r>
          </w:p>
        </w:tc>
        <w:tc>
          <w:tcPr/>
          <w:p>
            <w:pPr>
              <w:pStyle w:val="Compact"/>
            </w:pPr>
            <w:r>
              <w:t xml:space="preserve">0.0039 [0.0006, 0.0211]</w:t>
            </w:r>
          </w:p>
        </w:tc>
        <w:tc>
          <w:tcPr/>
          <w:p>
            <w:pPr>
              <w:pStyle w:val="Compact"/>
              <w:jc w:val="right"/>
            </w:pPr>
            <w:r>
              <w:t xml:space="preserve">0.059</w:t>
            </w:r>
          </w:p>
        </w:tc>
        <w:tc>
          <w:tcPr/>
          <w:p>
            <w:pPr>
              <w:pStyle w:val="Compact"/>
              <w:jc w:val="right"/>
            </w:pPr>
            <w:r>
              <w:t xml:space="preserve">0.50</w:t>
            </w:r>
          </w:p>
        </w:tc>
        <w:tc>
          <w:tcPr/>
          <w:p>
            <w:pPr>
              <w:pStyle w:val="Compact"/>
              <w:jc w:val="right"/>
            </w:pPr>
            <w:r>
              <w:t xml:space="preserve">4.9</w:t>
            </w:r>
          </w:p>
        </w:tc>
      </w:tr>
      <w:tr>
        <w:tc>
          <w:tcPr/>
          <w:p>
            <w:pPr>
              <w:pStyle w:val="Compact"/>
            </w:pPr>
          </w:p>
        </w:tc>
        <w:tc>
          <w:tcPr/>
          <w:p>
            <w:pPr>
              <w:pStyle w:val="Compact"/>
            </w:pPr>
            <w:r>
              <w:t xml:space="preserve">mixing doubled</w:t>
            </w:r>
          </w:p>
        </w:tc>
        <w:tc>
          <w:tcPr/>
          <w:p>
            <w:pPr>
              <w:pStyle w:val="Compact"/>
            </w:pPr>
            <w:r>
              <w:t xml:space="preserve">0.0019 [0.0002, 0.0071]</w:t>
            </w:r>
          </w:p>
        </w:tc>
        <w:tc>
          <w:tcPr/>
          <w:p>
            <w:pPr>
              <w:pStyle w:val="Compact"/>
              <w:jc w:val="right"/>
            </w:pPr>
            <w:r>
              <w:t xml:space="preserve">0.020</w:t>
            </w:r>
          </w:p>
        </w:tc>
        <w:tc>
          <w:tcPr/>
          <w:p>
            <w:pPr>
              <w:pStyle w:val="Compact"/>
              <w:jc w:val="right"/>
            </w:pPr>
            <w:r>
              <w:t xml:space="preserve">0.52</w:t>
            </w:r>
          </w:p>
        </w:tc>
        <w:tc>
          <w:tcPr/>
          <w:p>
            <w:pPr>
              <w:pStyle w:val="Compact"/>
              <w:jc w:val="right"/>
            </w:pPr>
            <w:r>
              <w:t xml:space="preserve">5.7</w:t>
            </w:r>
          </w:p>
        </w:tc>
      </w:tr>
      <w:tr>
        <w:tc>
          <w:tcPr/>
          <w:p>
            <w:pPr>
              <w:pStyle w:val="Compact"/>
            </w:pPr>
          </w:p>
        </w:tc>
        <w:tc>
          <w:tcPr/>
          <w:p>
            <w:pPr>
              <w:pStyle w:val="Compact"/>
            </w:pPr>
            <w:r>
              <w:t xml:space="preserve">boundary, multiplier 0.5 (24 km)</w:t>
            </w:r>
          </w:p>
        </w:tc>
        <w:tc>
          <w:tcPr/>
          <w:p>
            <w:pPr>
              <w:pStyle w:val="Compact"/>
            </w:pPr>
            <w:r>
              <w:t xml:space="preserve">0.0026 [0.0005, 0.0191]</w:t>
            </w:r>
          </w:p>
        </w:tc>
        <w:tc>
          <w:tcPr/>
          <w:p>
            <w:pPr>
              <w:pStyle w:val="Compact"/>
              <w:jc w:val="right"/>
            </w:pPr>
            <w:r>
              <w:t xml:space="preserve">0.065</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0.0042 [0.0013, 0.0153]</w:t>
            </w:r>
          </w:p>
        </w:tc>
        <w:tc>
          <w:tcPr/>
          <w:p>
            <w:pPr>
              <w:pStyle w:val="Compact"/>
              <w:jc w:val="right"/>
            </w:pPr>
            <w:r>
              <w:t xml:space="preserve">0.032</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0.0045 [0.0011, 0.0421]</w:t>
            </w:r>
          </w:p>
        </w:tc>
        <w:tc>
          <w:tcPr/>
          <w:p>
            <w:pPr>
              <w:pStyle w:val="Compact"/>
              <w:jc w:val="right"/>
            </w:pPr>
            <w:r>
              <w:t xml:space="preserve">0.226</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0.02 and 0.06, so the underprediction is not a property of one startup or rate choice. The 30-realization boundary cases resolve tail probabilities only to about 0.03.</w:t>
      </w:r>
    </w:p>
    <w:bookmarkEnd w:id="130"/>
    <w:bookmarkStart w:id="131"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0.018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10000</w:t>
            </w:r>
          </w:p>
        </w:tc>
        <w:tc>
          <w:tcPr/>
          <w:p>
            <w:pPr>
              <w:pStyle w:val="Compact"/>
              <w:jc w:val="right"/>
            </w:pPr>
            <w:r>
              <w:t xml:space="preserve">0.0030</w:t>
            </w:r>
          </w:p>
        </w:tc>
        <w:tc>
          <w:tcPr/>
          <w:p>
            <w:pPr>
              <w:pStyle w:val="Compact"/>
            </w:pPr>
            <w:r>
              <w:t xml:space="preserve">[0.0005, 0.0145]</w:t>
            </w:r>
          </w:p>
        </w:tc>
        <w:tc>
          <w:tcPr/>
          <w:p>
            <w:pPr>
              <w:pStyle w:val="Compact"/>
              <w:jc w:val="right"/>
            </w:pPr>
            <w:r>
              <w:t xml:space="preserve">6.0x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7814</w:t>
            </w:r>
          </w:p>
        </w:tc>
        <w:tc>
          <w:tcPr/>
          <w:p>
            <w:pPr>
              <w:pStyle w:val="Compact"/>
              <w:jc w:val="right"/>
            </w:pPr>
            <w:r>
              <w:t xml:space="preserve">0.0036</w:t>
            </w:r>
          </w:p>
        </w:tc>
        <w:tc>
          <w:tcPr/>
          <w:p>
            <w:pPr>
              <w:pStyle w:val="Compact"/>
            </w:pPr>
            <w:r>
              <w:t xml:space="preserve">[0.0004, 0.0171]</w:t>
            </w:r>
          </w:p>
        </w:tc>
        <w:tc>
          <w:tcPr/>
          <w:p>
            <w:pPr>
              <w:pStyle w:val="Compact"/>
              <w:jc w:val="right"/>
            </w:pPr>
            <w:r>
              <w:t xml:space="preserve">4.9x</w:t>
            </w:r>
          </w:p>
        </w:tc>
        <w:tc>
          <w:tcPr/>
          <w:p>
            <w:pPr>
              <w:pStyle w:val="Compact"/>
              <w:jc w:val="center"/>
            </w:pPr>
            <w:r>
              <w:t xml:space="preserve">broken</w:t>
            </w:r>
          </w:p>
        </w:tc>
      </w:tr>
      <w:tr>
        <w:tc>
          <w:tcPr/>
          <w:p>
            <w:pPr>
              <w:pStyle w:val="Compact"/>
              <w:jc w:val="right"/>
            </w:pPr>
            <w:r>
              <w:t xml:space="preserve">1.0</w:t>
            </w:r>
          </w:p>
        </w:tc>
        <w:tc>
          <w:tcPr/>
          <w:p>
            <w:pPr>
              <w:pStyle w:val="Compact"/>
              <w:jc w:val="right"/>
            </w:pPr>
            <w:r>
              <w:t xml:space="preserve">5097</w:t>
            </w:r>
          </w:p>
        </w:tc>
        <w:tc>
          <w:tcPr/>
          <w:p>
            <w:pPr>
              <w:pStyle w:val="Compact"/>
              <w:jc w:val="right"/>
            </w:pPr>
            <w:r>
              <w:t xml:space="preserve">0.0053</w:t>
            </w:r>
          </w:p>
        </w:tc>
        <w:tc>
          <w:tcPr/>
          <w:p>
            <w:pPr>
              <w:pStyle w:val="Compact"/>
            </w:pPr>
            <w:r>
              <w:t xml:space="preserve">[0.0007, 0.0223]</w:t>
            </w:r>
          </w:p>
        </w:tc>
        <w:tc>
          <w:tcPr/>
          <w:p>
            <w:pPr>
              <w:pStyle w:val="Compact"/>
              <w:jc w:val="right"/>
            </w:pPr>
            <w:r>
              <w:t xml:space="preserve">3.4x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3361</w:t>
            </w:r>
          </w:p>
        </w:tc>
        <w:tc>
          <w:tcPr/>
          <w:p>
            <w:pPr>
              <w:pStyle w:val="Compact"/>
              <w:jc w:val="right"/>
            </w:pPr>
            <w:r>
              <w:t xml:space="preserve">0.0073</w:t>
            </w:r>
          </w:p>
        </w:tc>
        <w:tc>
          <w:tcPr/>
          <w:p>
            <w:pPr>
              <w:pStyle w:val="Compact"/>
            </w:pPr>
            <w:r>
              <w:t xml:space="preserve">[0.0014, 0.0363]</w:t>
            </w:r>
          </w:p>
        </w:tc>
        <w:tc>
          <w:tcPr/>
          <w:p>
            <w:pPr>
              <w:pStyle w:val="Compact"/>
              <w:jc w:val="right"/>
            </w:pPr>
            <w:r>
              <w:t xml:space="preserve">2.4x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2349</w:t>
            </w:r>
          </w:p>
        </w:tc>
        <w:tc>
          <w:tcPr/>
          <w:p>
            <w:pPr>
              <w:pStyle w:val="Compact"/>
              <w:jc w:val="right"/>
            </w:pPr>
            <w:r>
              <w:t xml:space="preserve">0.0115</w:t>
            </w:r>
          </w:p>
        </w:tc>
        <w:tc>
          <w:tcPr/>
          <w:p>
            <w:pPr>
              <w:pStyle w:val="Compact"/>
            </w:pPr>
            <w:r>
              <w:t xml:space="preserve">[0.0013, 0.0645]</w:t>
            </w:r>
          </w:p>
        </w:tc>
        <w:tc>
          <w:tcPr/>
          <w:p>
            <w:pPr>
              <w:pStyle w:val="Compact"/>
              <w:jc w:val="right"/>
            </w:pPr>
            <w:r>
              <w:t xml:space="preserve">1.6x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1342</w:t>
            </w:r>
          </w:p>
        </w:tc>
        <w:tc>
          <w:tcPr/>
          <w:p>
            <w:pPr>
              <w:pStyle w:val="Compact"/>
              <w:jc w:val="right"/>
            </w:pPr>
            <w:r>
              <w:t xml:space="preserve">0.0159</w:t>
            </w:r>
          </w:p>
        </w:tc>
        <w:tc>
          <w:tcPr/>
          <w:p>
            <w:pPr>
              <w:pStyle w:val="Compact"/>
            </w:pPr>
            <w:r>
              <w:t xml:space="preserve">[0.0016, 0.1064]</w:t>
            </w:r>
          </w:p>
        </w:tc>
        <w:tc>
          <w:tcPr/>
          <w:p>
            <w:pPr>
              <w:pStyle w:val="Compact"/>
              <w:jc w:val="right"/>
            </w:pPr>
            <w:r>
              <w:t xml:space="preserve">1.1x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34 of the 43 basin assemblages and is the only size field there with usable coverage. Taking population to scale with height, with height squared, or with height cubed implies a coefficient of variation of 0.94, 1.45 and 1.94 respectively, with Morse’s corrected height for Parkin substituted as elsewhere. Across that bracket the shortfall runs from about four-fold at a coefficient of variation of 1.0 to about two-fold at 2.0, and the diversity match already breaks above 1.0.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0.0072</w:t>
            </w:r>
          </w:p>
        </w:tc>
        <w:tc>
          <w:tcPr/>
          <w:p>
            <w:pPr>
              <w:pStyle w:val="Compact"/>
            </w:pPr>
            <w:r>
              <w:t xml:space="preserve">[0.0014, 0.0415]</w:t>
            </w:r>
          </w:p>
        </w:tc>
        <w:tc>
          <w:tcPr/>
          <w:p>
            <w:pPr>
              <w:pStyle w:val="Compact"/>
              <w:jc w:val="right"/>
            </w:pPr>
            <w:r>
              <w:t xml:space="preserve">2.5x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0.0061</w:t>
            </w:r>
          </w:p>
        </w:tc>
        <w:tc>
          <w:tcPr/>
          <w:p>
            <w:pPr>
              <w:pStyle w:val="Compact"/>
            </w:pPr>
            <w:r>
              <w:t xml:space="preserve">[0.0007, 0.0263]</w:t>
            </w:r>
          </w:p>
        </w:tc>
        <w:tc>
          <w:tcPr/>
          <w:p>
            <w:pPr>
              <w:pStyle w:val="Compact"/>
              <w:jc w:val="right"/>
            </w:pPr>
            <w:r>
              <w:t xml:space="preserve">3.0x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0.0031</w:t>
            </w:r>
          </w:p>
        </w:tc>
        <w:tc>
          <w:tcPr/>
          <w:p>
            <w:pPr>
              <w:pStyle w:val="Compact"/>
            </w:pPr>
            <w:r>
              <w:t xml:space="preserve">[0.0007, 0.0126]</w:t>
            </w:r>
          </w:p>
        </w:tc>
        <w:tc>
          <w:tcPr/>
          <w:p>
            <w:pPr>
              <w:pStyle w:val="Compact"/>
              <w:jc w:val="right"/>
            </w:pPr>
            <w:r>
              <w:t xml:space="preserve">5.8x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0.0012</w:t>
            </w:r>
          </w:p>
        </w:tc>
        <w:tc>
          <w:tcPr/>
          <w:p>
            <w:pPr>
              <w:pStyle w:val="Compact"/>
            </w:pPr>
            <w:r>
              <w:t xml:space="preserve">[0.0002, 0.0051]</w:t>
            </w:r>
          </w:p>
        </w:tc>
        <w:tc>
          <w:tcPr/>
          <w:p>
            <w:pPr>
              <w:pStyle w:val="Compact"/>
              <w:jc w:val="right"/>
            </w:pPr>
            <w:r>
              <w:t xml:space="preserve">15.3x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0.0007</w:t>
            </w:r>
          </w:p>
        </w:tc>
        <w:tc>
          <w:tcPr/>
          <w:p>
            <w:pPr>
              <w:pStyle w:val="Compact"/>
            </w:pPr>
            <w:r>
              <w:t xml:space="preserve">[0.0001, 0.0039]</w:t>
            </w:r>
          </w:p>
        </w:tc>
        <w:tc>
          <w:tcPr/>
          <w:p>
            <w:pPr>
              <w:pStyle w:val="Compact"/>
              <w:jc w:val="right"/>
            </w:pPr>
            <w:r>
              <w:t xml:space="preserve">25.5x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0.0041</w:t>
            </w:r>
          </w:p>
        </w:tc>
        <w:tc>
          <w:tcPr/>
          <w:p>
            <w:pPr>
              <w:pStyle w:val="Compact"/>
            </w:pPr>
            <w:r>
              <w:t xml:space="preserve">[0.0008, 0.0238]</w:t>
            </w:r>
          </w:p>
        </w:tc>
        <w:tc>
          <w:tcPr/>
          <w:p>
            <w:pPr>
              <w:pStyle w:val="Compact"/>
              <w:jc w:val="right"/>
            </w:pPr>
            <w:r>
              <w:t xml:space="preserve">4.4x</w:t>
            </w:r>
          </w:p>
        </w:tc>
        <w:tc>
          <w:tcPr/>
          <w:p>
            <w:pPr>
              <w:pStyle w:val="Compact"/>
              <w:jc w:val="center"/>
            </w:pPr>
            <w:r>
              <w:t xml:space="preserve">broken</w:t>
            </w:r>
          </w:p>
        </w:tc>
      </w:tr>
      <w:tr>
        <w:tc>
          <w:tcPr/>
          <w:p>
            <w:pPr>
              <w:pStyle w:val="Compact"/>
            </w:pPr>
            <w:r>
              <w:t xml:space="preserve">straight-line, exponential, 12 km</w:t>
            </w:r>
          </w:p>
        </w:tc>
        <w:tc>
          <w:tcPr/>
          <w:p>
            <w:pPr>
              <w:pStyle w:val="Compact"/>
              <w:jc w:val="right"/>
            </w:pPr>
            <w:r>
              <w:t xml:space="preserve">0.0019</w:t>
            </w:r>
          </w:p>
        </w:tc>
        <w:tc>
          <w:tcPr/>
          <w:p>
            <w:pPr>
              <w:pStyle w:val="Compact"/>
            </w:pPr>
            <w:r>
              <w:t xml:space="preserve">[0.0003, 0.0081]</w:t>
            </w:r>
          </w:p>
        </w:tc>
        <w:tc>
          <w:tcPr/>
          <w:p>
            <w:pPr>
              <w:pStyle w:val="Compact"/>
              <w:jc w:val="right"/>
            </w:pPr>
            <w:r>
              <w:t xml:space="preserve">9.4x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0.0009</w:t>
            </w:r>
          </w:p>
        </w:tc>
        <w:tc>
          <w:tcPr/>
          <w:p>
            <w:pPr>
              <w:pStyle w:val="Compact"/>
            </w:pPr>
            <w:r>
              <w:t xml:space="preserve">[0.0002, 0.0040]</w:t>
            </w:r>
          </w:p>
        </w:tc>
        <w:tc>
          <w:tcPr/>
          <w:p>
            <w:pPr>
              <w:pStyle w:val="Compact"/>
              <w:jc w:val="right"/>
            </w:pPr>
            <w:r>
              <w:t xml:space="preserve">19.8x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0.0007</w:t>
            </w:r>
          </w:p>
        </w:tc>
        <w:tc>
          <w:tcPr/>
          <w:p>
            <w:pPr>
              <w:pStyle w:val="Compact"/>
            </w:pPr>
            <w:r>
              <w:t xml:space="preserve">[0.0001, 0.0034]</w:t>
            </w:r>
          </w:p>
        </w:tc>
        <w:tc>
          <w:tcPr/>
          <w:p>
            <w:pPr>
              <w:pStyle w:val="Compact"/>
              <w:jc w:val="right"/>
            </w:pPr>
            <w:r>
              <w:t xml:space="preserve">24.9x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0.0007</w:t>
            </w:r>
          </w:p>
        </w:tc>
        <w:tc>
          <w:tcPr/>
          <w:p>
            <w:pPr>
              <w:pStyle w:val="Compact"/>
            </w:pPr>
            <w:r>
              <w:t xml:space="preserve">[0.0001, 0.0032]</w:t>
            </w:r>
          </w:p>
        </w:tc>
        <w:tc>
          <w:tcPr/>
          <w:p>
            <w:pPr>
              <w:pStyle w:val="Compact"/>
              <w:jc w:val="right"/>
            </w:pPr>
            <w:r>
              <w:t xml:space="preserve">25.9x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0.0100</w:t>
            </w:r>
          </w:p>
        </w:tc>
        <w:tc>
          <w:tcPr/>
          <w:p>
            <w:pPr>
              <w:pStyle w:val="Compact"/>
            </w:pPr>
            <w:r>
              <w:t xml:space="preserve">[0.0013, 0.0533]</w:t>
            </w:r>
          </w:p>
        </w:tc>
        <w:tc>
          <w:tcPr/>
          <w:p>
            <w:pPr>
              <w:pStyle w:val="Compact"/>
              <w:jc w:val="right"/>
            </w:pPr>
            <w:r>
              <w:t xml:space="preserve">1.8x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0.0086</w:t>
            </w:r>
          </w:p>
        </w:tc>
        <w:tc>
          <w:tcPr/>
          <w:p>
            <w:pPr>
              <w:pStyle w:val="Compact"/>
            </w:pPr>
            <w:r>
              <w:t xml:space="preserve">[0.0010, 0.0415]</w:t>
            </w:r>
          </w:p>
        </w:tc>
        <w:tc>
          <w:tcPr/>
          <w:p>
            <w:pPr>
              <w:pStyle w:val="Compact"/>
              <w:jc w:val="right"/>
            </w:pPr>
            <w:r>
              <w:t xml:space="preserve">2.1x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0.0058</w:t>
            </w:r>
          </w:p>
        </w:tc>
        <w:tc>
          <w:tcPr/>
          <w:p>
            <w:pPr>
              <w:pStyle w:val="Compact"/>
            </w:pPr>
            <w:r>
              <w:t xml:space="preserve">[0.0009, 0.0287]</w:t>
            </w:r>
          </w:p>
        </w:tc>
        <w:tc>
          <w:tcPr/>
          <w:p>
            <w:pPr>
              <w:pStyle w:val="Compact"/>
              <w:jc w:val="right"/>
            </w:pPr>
            <w:r>
              <w:t xml:space="preserve">3.1x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0.0032</w:t>
            </w:r>
          </w:p>
        </w:tc>
        <w:tc>
          <w:tcPr/>
          <w:p>
            <w:pPr>
              <w:pStyle w:val="Compact"/>
            </w:pPr>
            <w:r>
              <w:t xml:space="preserve">[0.0005, 0.0141]</w:t>
            </w:r>
          </w:p>
        </w:tc>
        <w:tc>
          <w:tcPr/>
          <w:p>
            <w:pPr>
              <w:pStyle w:val="Compact"/>
              <w:jc w:val="right"/>
            </w:pPr>
            <w:r>
              <w:t xml:space="preserve">5.5x</w:t>
            </w:r>
          </w:p>
        </w:tc>
        <w:tc>
          <w:tcPr/>
          <w:p>
            <w:pPr>
              <w:pStyle w:val="Compact"/>
              <w:jc w:val="center"/>
            </w:pPr>
            <w:r>
              <w:t xml:space="preserve">broken</w:t>
            </w:r>
          </w:p>
        </w:tc>
      </w:tr>
      <w:tr>
        <w:tc>
          <w:tcPr/>
          <w:p>
            <w:pPr>
              <w:pStyle w:val="Compact"/>
            </w:pPr>
            <w:r>
              <w:t xml:space="preserve">river, gaussian, 96 km</w:t>
            </w:r>
          </w:p>
        </w:tc>
        <w:tc>
          <w:tcPr/>
          <w:p>
            <w:pPr>
              <w:pStyle w:val="Compact"/>
              <w:jc w:val="right"/>
            </w:pPr>
            <w:r>
              <w:t xml:space="preserve">0.0009</w:t>
            </w:r>
          </w:p>
        </w:tc>
        <w:tc>
          <w:tcPr/>
          <w:p>
            <w:pPr>
              <w:pStyle w:val="Compact"/>
            </w:pPr>
            <w:r>
              <w:t xml:space="preserve">[0.0002, 0.0056]</w:t>
            </w:r>
          </w:p>
        </w:tc>
        <w:tc>
          <w:tcPr/>
          <w:p>
            <w:pPr>
              <w:pStyle w:val="Compact"/>
              <w:jc w:val="right"/>
            </w:pPr>
            <w:r>
              <w:t xml:space="preserve">20.2x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0.0022</w:t>
            </w:r>
          </w:p>
        </w:tc>
        <w:tc>
          <w:tcPr/>
          <w:p>
            <w:pPr>
              <w:pStyle w:val="Compact"/>
            </w:pPr>
            <w:r>
              <w:t xml:space="preserve">[0.0003, 0.0131]</w:t>
            </w:r>
          </w:p>
        </w:tc>
        <w:tc>
          <w:tcPr/>
          <w:p>
            <w:pPr>
              <w:pStyle w:val="Compact"/>
              <w:jc w:val="right"/>
            </w:pPr>
            <w:r>
              <w:t xml:space="preserve">8.0x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0.0018</w:t>
            </w:r>
          </w:p>
        </w:tc>
        <w:tc>
          <w:tcPr/>
          <w:p>
            <w:pPr>
              <w:pStyle w:val="Compact"/>
            </w:pPr>
            <w:r>
              <w:t xml:space="preserve">[0.0003, 0.0078]</w:t>
            </w:r>
          </w:p>
        </w:tc>
        <w:tc>
          <w:tcPr/>
          <w:p>
            <w:pPr>
              <w:pStyle w:val="Compact"/>
              <w:jc w:val="right"/>
            </w:pPr>
            <w:r>
              <w:t xml:space="preserve">10.2x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0.0012</w:t>
            </w:r>
          </w:p>
        </w:tc>
        <w:tc>
          <w:tcPr/>
          <w:p>
            <w:pPr>
              <w:pStyle w:val="Compact"/>
            </w:pPr>
            <w:r>
              <w:t xml:space="preserve">[0.0002, 0.0071]</w:t>
            </w:r>
          </w:p>
        </w:tc>
        <w:tc>
          <w:tcPr/>
          <w:p>
            <w:pPr>
              <w:pStyle w:val="Compact"/>
              <w:jc w:val="right"/>
            </w:pPr>
            <w:r>
              <w:t xml:space="preserve">15.1x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0.0009</w:t>
            </w:r>
          </w:p>
        </w:tc>
        <w:tc>
          <w:tcPr/>
          <w:p>
            <w:pPr>
              <w:pStyle w:val="Compact"/>
            </w:pPr>
            <w:r>
              <w:t xml:space="preserve">[0.0002, 0.0050]</w:t>
            </w:r>
          </w:p>
        </w:tc>
        <w:tc>
          <w:tcPr/>
          <w:p>
            <w:pPr>
              <w:pStyle w:val="Compact"/>
              <w:jc w:val="right"/>
            </w:pPr>
            <w:r>
              <w:t xml:space="preserve">19.8x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0.0008</w:t>
            </w:r>
          </w:p>
        </w:tc>
        <w:tc>
          <w:tcPr/>
          <w:p>
            <w:pPr>
              <w:pStyle w:val="Compact"/>
            </w:pPr>
            <w:r>
              <w:t xml:space="preserve">[0.0001, 0.0041]</w:t>
            </w:r>
          </w:p>
        </w:tc>
        <w:tc>
          <w:tcPr/>
          <w:p>
            <w:pPr>
              <w:pStyle w:val="Compact"/>
              <w:jc w:val="right"/>
            </w:pPr>
            <w:r>
              <w:t xml:space="preserve">23.5x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0.0031</w:t>
            </w:r>
          </w:p>
        </w:tc>
        <w:tc>
          <w:tcPr/>
          <w:p>
            <w:pPr>
              <w:pStyle w:val="Compact"/>
            </w:pPr>
            <w:r>
              <w:t xml:space="preserve">[0.0007, 0.0126]</w:t>
            </w:r>
          </w:p>
        </w:tc>
        <w:tc>
          <w:tcPr/>
          <w:p>
            <w:pPr>
              <w:pStyle w:val="Compact"/>
              <w:jc w:val="right"/>
            </w:pPr>
            <w:r>
              <w:t xml:space="preserve">5.8x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0.0031</w:t>
            </w:r>
          </w:p>
        </w:tc>
        <w:tc>
          <w:tcPr/>
          <w:p>
            <w:pPr>
              <w:pStyle w:val="Compact"/>
            </w:pPr>
            <w:r>
              <w:t xml:space="preserve">[0.0006, 0.0118]</w:t>
            </w:r>
          </w:p>
        </w:tc>
        <w:tc>
          <w:tcPr/>
          <w:p>
            <w:pPr>
              <w:pStyle w:val="Compact"/>
              <w:jc w:val="right"/>
            </w:pPr>
            <w:r>
              <w:t xml:space="preserve">5.8x</w:t>
            </w:r>
          </w:p>
        </w:tc>
        <w:tc>
          <w:tcPr/>
          <w:p>
            <w:pPr>
              <w:pStyle w:val="Compact"/>
              <w:jc w:val="center"/>
            </w:pPr>
            <w:r>
              <w:t xml:space="preserve">broken</w:t>
            </w:r>
          </w:p>
        </w:tc>
      </w:tr>
      <w:tr>
        <w:tc>
          <w:tcPr/>
          <w:p>
            <w:pPr>
              <w:pStyle w:val="Compact"/>
            </w:pPr>
            <w:r>
              <w:t xml:space="preserve">window 8 +/- 4</w:t>
            </w:r>
          </w:p>
        </w:tc>
        <w:tc>
          <w:tcPr/>
          <w:p>
            <w:pPr>
              <w:pStyle w:val="Compact"/>
              <w:jc w:val="right"/>
            </w:pPr>
            <w:r>
              <w:t xml:space="preserve">0.0030</w:t>
            </w:r>
          </w:p>
        </w:tc>
        <w:tc>
          <w:tcPr/>
          <w:p>
            <w:pPr>
              <w:pStyle w:val="Compact"/>
            </w:pPr>
            <w:r>
              <w:t xml:space="preserve">[0.0006, 0.0121]</w:t>
            </w:r>
          </w:p>
        </w:tc>
        <w:tc>
          <w:tcPr/>
          <w:p>
            <w:pPr>
              <w:pStyle w:val="Compact"/>
              <w:jc w:val="right"/>
            </w:pPr>
            <w:r>
              <w:t xml:space="preserve">6.1x</w:t>
            </w:r>
          </w:p>
        </w:tc>
        <w:tc>
          <w:tcPr/>
          <w:p>
            <w:pPr>
              <w:pStyle w:val="Compact"/>
              <w:jc w:val="center"/>
            </w:pPr>
            <w:r>
              <w:t xml:space="preserve">broken</w:t>
            </w:r>
          </w:p>
        </w:tc>
      </w:tr>
      <w:tr>
        <w:tc>
          <w:tcPr/>
          <w:p>
            <w:pPr>
              <w:pStyle w:val="Compact"/>
            </w:pPr>
            <w:r>
              <w:t xml:space="preserve">window 8 +/- 6</w:t>
            </w:r>
          </w:p>
        </w:tc>
        <w:tc>
          <w:tcPr/>
          <w:p>
            <w:pPr>
              <w:pStyle w:val="Compact"/>
              <w:jc w:val="right"/>
            </w:pPr>
            <w:r>
              <w:t xml:space="preserve">0.0030</w:t>
            </w:r>
          </w:p>
        </w:tc>
        <w:tc>
          <w:tcPr/>
          <w:p>
            <w:pPr>
              <w:pStyle w:val="Compact"/>
            </w:pPr>
            <w:r>
              <w:t xml:space="preserve">[0.0006, 0.0123]</w:t>
            </w:r>
          </w:p>
        </w:tc>
        <w:tc>
          <w:tcPr/>
          <w:p>
            <w:pPr>
              <w:pStyle w:val="Compact"/>
              <w:jc w:val="right"/>
            </w:pPr>
            <w:r>
              <w:t xml:space="preserve">6.0x</w:t>
            </w:r>
          </w:p>
        </w:tc>
        <w:tc>
          <w:tcPr/>
          <w:p>
            <w:pPr>
              <w:pStyle w:val="Compact"/>
              <w:jc w:val="center"/>
            </w:pPr>
            <w:r>
              <w:t xml:space="preserve">broken</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0.0031</w:t>
            </w:r>
          </w:p>
        </w:tc>
        <w:tc>
          <w:tcPr/>
          <w:p>
            <w:pPr>
              <w:pStyle w:val="Compact"/>
            </w:pPr>
            <w:r>
              <w:t xml:space="preserve">[0.0007, 0.0126]</w:t>
            </w:r>
          </w:p>
        </w:tc>
        <w:tc>
          <w:tcPr/>
          <w:p>
            <w:pPr>
              <w:pStyle w:val="Compact"/>
              <w:jc w:val="right"/>
            </w:pPr>
            <w:r>
              <w:t xml:space="preserve">5.8x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0.0040</w:t>
            </w:r>
          </w:p>
        </w:tc>
        <w:tc>
          <w:tcPr/>
          <w:p>
            <w:pPr>
              <w:pStyle w:val="Compact"/>
            </w:pPr>
            <w:r>
              <w:t xml:space="preserve">[0.0007, 0.0572]</w:t>
            </w:r>
          </w:p>
        </w:tc>
        <w:tc>
          <w:tcPr/>
          <w:p>
            <w:pPr>
              <w:pStyle w:val="Compact"/>
              <w:jc w:val="right"/>
            </w:pPr>
            <w:r>
              <w:t xml:space="preserve">4.5x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0.0054</w:t>
            </w:r>
          </w:p>
        </w:tc>
        <w:tc>
          <w:tcPr/>
          <w:p>
            <w:pPr>
              <w:pStyle w:val="Compact"/>
            </w:pPr>
            <w:r>
              <w:t xml:space="preserve">[0.0009, 0.0705]</w:t>
            </w:r>
          </w:p>
        </w:tc>
        <w:tc>
          <w:tcPr/>
          <w:p>
            <w:pPr>
              <w:pStyle w:val="Compact"/>
              <w:jc w:val="right"/>
            </w:pPr>
            <w:r>
              <w:t xml:space="preserve">3.4x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0.0094</w:t>
            </w:r>
          </w:p>
        </w:tc>
        <w:tc>
          <w:tcPr/>
          <w:p>
            <w:pPr>
              <w:pStyle w:val="Compact"/>
            </w:pPr>
            <w:r>
              <w:t xml:space="preserve">[0.0008, 0.0823]</w:t>
            </w:r>
          </w:p>
        </w:tc>
        <w:tc>
          <w:tcPr/>
          <w:p>
            <w:pPr>
              <w:pStyle w:val="Compact"/>
              <w:jc w:val="right"/>
            </w:pPr>
            <w:r>
              <w:t xml:space="preserve">1.9x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0.0164</w:t>
            </w:r>
          </w:p>
        </w:tc>
        <w:tc>
          <w:tcPr/>
          <w:p>
            <w:pPr>
              <w:pStyle w:val="Compact"/>
            </w:pPr>
            <w:r>
              <w:t xml:space="preserve">[0.0011, 0.0805]</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0.0194</w:t>
            </w:r>
          </w:p>
        </w:tc>
        <w:tc>
          <w:tcPr/>
          <w:p>
            <w:pPr>
              <w:pStyle w:val="Compact"/>
            </w:pPr>
            <w:r>
              <w:t xml:space="preserve">[0.0011, 0.0879]</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0.0286</w:t>
            </w:r>
          </w:p>
        </w:tc>
        <w:tc>
          <w:tcPr/>
          <w:p>
            <w:pPr>
              <w:pStyle w:val="Compact"/>
            </w:pPr>
            <w:r>
              <w:t xml:space="preserve">[0.0021, 0.0893]</w:t>
            </w:r>
          </w:p>
        </w:tc>
        <w:tc>
          <w:tcPr/>
          <w:p>
            <w:pPr>
              <w:pStyle w:val="Compact"/>
              <w:jc w:val="right"/>
            </w:pPr>
            <w:r>
              <w:t xml:space="preserve">0.6x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0.0529</w:t>
            </w:r>
          </w:p>
        </w:tc>
        <w:tc>
          <w:tcPr/>
          <w:p>
            <w:pPr>
              <w:pStyle w:val="Compact"/>
            </w:pPr>
            <w:r>
              <w:t xml:space="preserve">[0.0072, 0.0909]</w:t>
            </w:r>
          </w:p>
        </w:tc>
        <w:tc>
          <w:tcPr/>
          <w:p>
            <w:pPr>
              <w:pStyle w:val="Compact"/>
              <w:jc w:val="right"/>
            </w:pPr>
            <w:r>
              <w:t xml:space="preserve">0.3x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0.0610</w:t>
            </w:r>
          </w:p>
        </w:tc>
        <w:tc>
          <w:tcPr/>
          <w:p>
            <w:pPr>
              <w:pStyle w:val="Compact"/>
            </w:pPr>
            <w:r>
              <w:t xml:space="preserve">[0.0195, 0.1023]</w:t>
            </w:r>
          </w:p>
        </w:tc>
        <w:tc>
          <w:tcPr/>
          <w:p>
            <w:pPr>
              <w:pStyle w:val="Compact"/>
              <w:jc w:val="right"/>
            </w:pPr>
            <w:r>
              <w:t xml:space="preserve">0.3x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1.8, the closest any geographic setting comes, but only at an interaction length of 6 km on a drainage spanning 128 km, and only by breaking the diversity match. A power-law decay, with its heavier tail, is worse everywhere.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1"/>
    <w:bookmarkStart w:id="136"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pooled over five independent runs of the sampler (4,000 draws), is concentrated near neutral, with mean</w:t>
      </w:r>
      <w:r>
        <w:t xml:space="preserve"> </w:t>
      </w:r>
      <m:oMath>
        <m:r>
          <m:t>b</m:t>
        </m:r>
        <m:r>
          <m:rPr>
            <m:sty m:val="p"/>
          </m:rPr>
          <m:t>=</m:t>
        </m:r>
        <m:r>
          <m:rPr>
            <m:sty m:val="p"/>
          </m:rPr>
          <m:t>+</m:t>
        </m:r>
        <m:r>
          <m:t>0.005</m:t>
        </m:r>
      </m:oMath>
      <w:r>
        <w:t xml:space="preserve"> </w:t>
      </w:r>
      <w:r>
        <w:t xml:space="preserve">and a 95 percent interval of</w:t>
      </w:r>
      <w:r>
        <w:t xml:space="preserve"> </w:t>
      </w:r>
      <m:oMath>
        <m:r>
          <m:rPr>
            <m:sty m:val="p"/>
          </m:rPr>
          <m:t>−</m:t>
        </m:r>
        <m:r>
          <m:t>0.026</m:t>
        </m:r>
      </m:oMath>
      <w:r>
        <w:t xml:space="preserve"> </w:t>
      </w:r>
      <w:r>
        <w:t xml:space="preserve">to</w:t>
      </w:r>
      <w:r>
        <w:t xml:space="preserve"> </w:t>
      </w:r>
      <m:oMath>
        <m:r>
          <m:rPr>
            <m:sty m:val="p"/>
          </m:rPr>
          <m:t>+</m:t>
        </m:r>
        <m:r>
          <m:t>0.041</m:t>
        </m:r>
      </m:oMath>
      <w:r>
        <w:t xml:space="preserve"> </w:t>
      </w:r>
      <w:r>
        <w:t xml:space="preserve">that includes zero (Figure S5A). The posterior standard deviation is 0.016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pooled posterior, and across the five runs it ranges from 0.42 to 0.82,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0.083, p = 0.12,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0.028</m:t>
        </m:r>
      </m:oMath>
      <w:r>
        <w:t xml:space="preserve">, 95 percent interval</w:t>
      </w:r>
      <w:r>
        <w:t xml:space="preserve"> </w:t>
      </w:r>
      <m:oMath>
        <m:r>
          <m:rPr>
            <m:sty m:val="p"/>
          </m:rPr>
          <m:t>−</m:t>
        </m:r>
        <m:r>
          <m:t>0.021</m:t>
        </m:r>
      </m:oMath>
      <w:r>
        <w:t xml:space="preserve"> </w:t>
      </w:r>
      <w:r>
        <w:t xml:space="preserve">to</w:t>
      </w:r>
      <w:r>
        <w:t xml:space="preserve"> </w:t>
      </w:r>
      <m:oMath>
        <m:r>
          <m:rPr>
            <m:sty m:val="p"/>
          </m:rPr>
          <m:t>+</m:t>
        </m:r>
        <m:r>
          <m:t>0.063</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falls steadily from 0.690 in the earliest bin to 0.324 in the latest. The mean-reversion rate has a posterior median of 0.37 with a 95 percent credible interval of 0.04 to 6.9, spanning the unbiased and stasis limits and so unresolved. The directional drift is resolved and negative, with a median of -0.098 and an interval of -0.181 to -0.009, with P(drift &gt; 0) = 0.017. The decline is therefore a real feature of the sequence rather than undirected fluctuation. That is not a departure from neutrality. Drift in a finite population loses variants, and the posterior predictive check above, which draws its effective population size and innovation rate from the transmission posterior rather than fixing them, reproduces this exact declining trajectory in all six bins. What the two results say jointly is that diversity declines, and that a neutral process of the estimated size and innovation rate is sufficient to produce that decline.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8297"/>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37, interval 0.04 to 6.9, spanning the unbiased-walk and stasis limits). The directional drift is resolved and negative (median -0.098, interval -0.181 to -0.009), the steady decline in diversity along the sequence." title="" id="133" name="Picture"/>
            <a:graphic>
              <a:graphicData uri="http://schemas.openxmlformats.org/drawingml/2006/picture">
                <pic:pic>
                  <pic:nvPicPr>
                    <pic:cNvPr descr="../../figures/figS5_dynamic.png" id="134" name="Picture"/>
                    <pic:cNvPicPr>
                      <a:picLocks noChangeArrowheads="1" noChangeAspect="1"/>
                    </pic:cNvPicPr>
                  </pic:nvPicPr>
                  <pic:blipFill>
                    <a:blip r:embed="rId132"/>
                    <a:stretch>
                      <a:fillRect/>
                    </a:stretch>
                  </pic:blipFill>
                  <pic:spPr bwMode="auto">
                    <a:xfrm>
                      <a:off x="0" y="0"/>
                      <a:ext cx="5334000" cy="257829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0.37, interval 0.04 to 6.9, spanning the unbiased-walk and stasis limits). The directional drift is resolved and negative (median -0.098, interval -0.181 to -0.009), the steady decline in diversity along the sequence.</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5"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5"/>
    <w:bookmarkEnd w:id="136"/>
    <w:bookmarkStart w:id="137"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Nine of the 43 assemblages carry a phase this study derived by territory, which is a geographic rule. Scoring geography against those labels would be scoring geography against itself, so every value quoted in the main text is computed on the 34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430 cells in the basin matrix, 168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0.737</w:t>
            </w:r>
          </w:p>
        </w:tc>
      </w:tr>
      <w:tr>
        <w:tc>
          <w:tcPr/>
          <w:p>
            <w:pPr>
              <w:pStyle w:val="Compact"/>
            </w:pPr>
            <w:r>
              <w:t xml:space="preserve">floor at 2.0 times the smallest positive proportion</w:t>
            </w:r>
          </w:p>
        </w:tc>
        <w:tc>
          <w:tcPr/>
          <w:p>
            <w:pPr>
              <w:pStyle w:val="Compact"/>
            </w:pPr>
            <w:r>
              <w:t xml:space="preserve">0.815</w:t>
            </w:r>
          </w:p>
        </w:tc>
      </w:tr>
      <w:tr>
        <w:tc>
          <w:tcPr/>
          <w:p>
            <w:pPr>
              <w:pStyle w:val="Compact"/>
            </w:pPr>
            <w:r>
              <w:t xml:space="preserve">floor at 0.5 times the smallest positive proportion</w:t>
            </w:r>
          </w:p>
        </w:tc>
        <w:tc>
          <w:tcPr/>
          <w:p>
            <w:pPr>
              <w:pStyle w:val="Compact"/>
            </w:pPr>
            <w:r>
              <w:t xml:space="preserve">0.902</w:t>
            </w:r>
          </w:p>
        </w:tc>
      </w:tr>
      <w:tr>
        <w:tc>
          <w:tcPr/>
          <w:p>
            <w:pPr>
              <w:pStyle w:val="Compact"/>
            </w:pPr>
            <w:r>
              <w:t xml:space="preserve">floor at 0.1 times the smallest positive proportion</w:t>
            </w:r>
          </w:p>
        </w:tc>
        <w:tc>
          <w:tcPr/>
          <w:p>
            <w:pPr>
              <w:pStyle w:val="Compact"/>
            </w:pPr>
            <w:r>
              <w:t xml:space="preserve">1.000</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from a moderate improvement over the map alone to an exact reproduction of the phase scheme.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7"/>
    <w:bookmarkStart w:id="141"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39" name="Picture"/>
            <a:graphic>
              <a:graphicData uri="http://schemas.openxmlformats.org/drawingml/2006/picture">
                <pic:pic>
                  <pic:nvPicPr>
                    <pic:cNvPr descr="../../figures/figS6_chronology.png" id="140" name="Picture"/>
                    <pic:cNvPicPr>
                      <a:picLocks noChangeArrowheads="1" noChangeAspect="1"/>
                    </pic:cNvPicPr>
                  </pic:nvPicPr>
                  <pic:blipFill>
                    <a:blip r:embed="rId138"/>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1"/>
    <w:bookmarkStart w:id="153"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2"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and at the matched combination most favorable to drift (120 learners, innovation 0.012, mixing 0.005, great-circle distance) the observed</w:t>
      </w:r>
      <w:r>
        <w:t xml:space="preserve"> </w:t>
      </w:r>
      <m:oMath>
        <m:sSub>
          <m:e>
            <m:r>
              <m:t>F</m:t>
            </m:r>
          </m:e>
          <m:sub>
            <m:r>
              <m:t>S</m:t>
            </m:r>
            <m:r>
              <m:t>T</m:t>
            </m:r>
          </m:sub>
        </m:sSub>
      </m:oMath>
      <w:r>
        <w:t xml:space="preserve"> </w:t>
      </w:r>
      <w:r>
        <w:t xml:space="preserve">lies above the drift interval of 0.004 to 0.032 (median 0.012), reached by 2.4 percent of simulated datasets, 2.2 percent reversed and 4.2 percent contemporaneous. Uniform innovation fits at no combination and overpredicts the differentiation several-fold at its nearest one (median 0.083). The bounded-groups process at multiplier 0.03 leaves the median at 0.013 and brackets the observation only through its upper tail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2"/>
    <w:bookmarkStart w:id="143"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3"/>
    <w:bookmarkStart w:id="144"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gradually and predictably. From a permuted fraction of 0 to 0.3 the median</w:t>
      </w:r>
      <w:r>
        <w:t xml:space="preserve"> </w:t>
      </w:r>
      <m:oMath>
        <m:sSub>
          <m:e>
            <m:r>
              <m:t>F</m:t>
            </m:r>
          </m:e>
          <m:sub>
            <m:r>
              <m:t>S</m:t>
            </m:r>
            <m:r>
              <m:t>T</m:t>
            </m:r>
          </m:sub>
        </m:sSub>
      </m:oMath>
      <w:r>
        <w:t xml:space="preserve"> </w:t>
      </w:r>
      <w:r>
        <w:t xml:space="preserve">rises from 0.003 to 0.019, reaching the observed 0.018, while the diversity misfit falls from 9.9 to 3.7 percent before returning to 7.7. On the southeast-Missouri set the same change does not behave gradually. Its median barely moves while its upper tail becomes extremely large. At a permuted fraction of 0.11 the 97.5th percentile is 22 times the median, against 5 times in the basin, and pooled diversity</w:t>
      </w:r>
      <w:r>
        <w:t xml:space="preserve"> </w:t>
      </w:r>
      <m:oMath>
        <m:sSub>
          <m:e>
            <m:r>
              <m:t>H</m:t>
            </m:r>
          </m:e>
          <m:sub>
            <m:r>
              <m:t>T</m:t>
            </m:r>
          </m:sub>
        </m:sSub>
      </m:oMath>
      <w:r>
        <w:t xml:space="preserve"> </w:t>
      </w:r>
      <w:r>
        <w:t xml:space="preserve">is the summary that breaks at every step. Refining the grid to steps of 0.01 across 0.10 to 0.15 confirms that no combination both reaches the observed 0.034 and holds the diversity match. The median climbs only from 0.019 to 0.030 while the misfit rises from 8.3 to 17.0 percent.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4"/>
    <w:bookmarkStart w:id="145"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5"/>
    <w:bookmarkStart w:id="152"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32975"/>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7" name="Picture"/>
            <a:graphic>
              <a:graphicData uri="http://schemas.openxmlformats.org/drawingml/2006/picture">
                <pic:pic>
                  <pic:nvPicPr>
                    <pic:cNvPr descr="../../figures/figS7_regional.png" id="148" name="Picture"/>
                    <pic:cNvPicPr>
                      <a:picLocks noChangeArrowheads="1" noChangeAspect="1"/>
                    </pic:cNvPicPr>
                  </pic:nvPicPr>
                  <pic:blipFill>
                    <a:blip r:embed="rId146"/>
                    <a:stretch>
                      <a:fillRect/>
                    </a:stretch>
                  </pic:blipFill>
                  <pic:spPr bwMode="auto">
                    <a:xfrm>
                      <a:off x="0" y="0"/>
                      <a:ext cx="4572000" cy="52329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707152"/>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0" name="Picture"/>
            <a:graphic>
              <a:graphicData uri="http://schemas.openxmlformats.org/drawingml/2006/picture">
                <pic:pic>
                  <pic:nvPicPr>
                    <pic:cNvPr descr="../../figures/figS8_within_region.png" id="151" name="Picture"/>
                    <pic:cNvPicPr>
                      <a:picLocks noChangeArrowheads="1" noChangeAspect="1"/>
                    </pic:cNvPicPr>
                  </pic:nvPicPr>
                  <pic:blipFill>
                    <a:blip r:embed="rId149"/>
                    <a:stretch>
                      <a:fillRect/>
                    </a:stretch>
                  </pic:blipFill>
                  <pic:spPr bwMode="auto">
                    <a:xfrm>
                      <a:off x="0" y="0"/>
                      <a:ext cx="4754880" cy="3707152"/>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2"/>
    <w:bookmarkEnd w:id="153"/>
    <w:bookmarkStart w:id="210" w:name="references"/>
    <w:p>
      <w:pPr>
        <w:pStyle w:val="Heading2"/>
      </w:pPr>
      <w:r>
        <w:t xml:space="preserve">References</w:t>
      </w:r>
    </w:p>
    <w:bookmarkStart w:id="209" w:name="refs"/>
    <w:bookmarkStart w:id="154"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4"/>
    <w:bookmarkStart w:id="15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5">
        <w:r>
          <w:rPr>
            <w:rStyle w:val="Hyperlink"/>
          </w:rPr>
          <w:t xml:space="preserve">https://doi.org/10.1073/pnas.0903232106</w:t>
        </w:r>
      </w:hyperlink>
      <w:r>
        <w:t xml:space="preserve">.</w:t>
      </w:r>
    </w:p>
    <w:bookmarkEnd w:id="156"/>
    <w:bookmarkStart w:id="15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7">
        <w:r>
          <w:rPr>
            <w:rStyle w:val="Hyperlink"/>
          </w:rPr>
          <w:t xml:space="preserve">https://doi.org/10.1098/rspb.2004.2746</w:t>
        </w:r>
      </w:hyperlink>
      <w:r>
        <w:t xml:space="preserve">.</w:t>
      </w:r>
    </w:p>
    <w:bookmarkEnd w:id="158"/>
    <w:bookmarkStart w:id="160"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59">
        <w:r>
          <w:rPr>
            <w:rStyle w:val="Hyperlink"/>
          </w:rPr>
          <w:t xml:space="preserve">https://doi.org/10.1057/s41599-019-0295-9</w:t>
        </w:r>
      </w:hyperlink>
      <w:r>
        <w:t xml:space="preserve">.</w:t>
      </w:r>
    </w:p>
    <w:bookmarkEnd w:id="160"/>
    <w:bookmarkStart w:id="161"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1"/>
    <w:bookmarkStart w:id="16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2">
        <w:r>
          <w:rPr>
            <w:rStyle w:val="Hyperlink"/>
          </w:rPr>
          <w:t xml:space="preserve">https://doi.org/10.1016/j.jas.2014.07.014</w:t>
        </w:r>
      </w:hyperlink>
      <w:r>
        <w:t xml:space="preserve">.</w:t>
      </w:r>
    </w:p>
    <w:bookmarkEnd w:id="163"/>
    <w:bookmarkStart w:id="16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4">
        <w:r>
          <w:rPr>
            <w:rStyle w:val="Hyperlink"/>
          </w:rPr>
          <w:t xml:space="preserve">https://doi.org/10.1038/srep39122</w:t>
        </w:r>
      </w:hyperlink>
      <w:r>
        <w:t xml:space="preserve">.</w:t>
      </w:r>
    </w:p>
    <w:bookmarkEnd w:id="165"/>
    <w:bookmarkStart w:id="16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6">
        <w:r>
          <w:rPr>
            <w:rStyle w:val="Hyperlink"/>
          </w:rPr>
          <w:t xml:space="preserve">https://doi.org/10.1371/journal.pone.0041010</w:t>
        </w:r>
      </w:hyperlink>
      <w:r>
        <w:t xml:space="preserve">.</w:t>
      </w:r>
    </w:p>
    <w:bookmarkEnd w:id="167"/>
    <w:bookmarkStart w:id="16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68">
        <w:r>
          <w:rPr>
            <w:rStyle w:val="Hyperlink"/>
          </w:rPr>
          <w:t xml:space="preserve">https://doi.org/10.2307/278341</w:t>
        </w:r>
      </w:hyperlink>
      <w:r>
        <w:t xml:space="preserve">.</w:t>
      </w:r>
    </w:p>
    <w:bookmarkEnd w:id="169"/>
    <w:bookmarkStart w:id="170"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0"/>
    <w:bookmarkStart w:id="172"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1">
        <w:r>
          <w:rPr>
            <w:rStyle w:val="Hyperlink"/>
          </w:rPr>
          <w:t xml:space="preserve">https://doi.org/10.1534/genetics.113.158220</w:t>
        </w:r>
      </w:hyperlink>
      <w:r>
        <w:t xml:space="preserve">.</w:t>
      </w:r>
    </w:p>
    <w:bookmarkEnd w:id="172"/>
    <w:bookmarkStart w:id="173"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3"/>
    <w:bookmarkStart w:id="174"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4"/>
    <w:bookmarkStart w:id="17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5">
        <w:r>
          <w:rPr>
            <w:rStyle w:val="Hyperlink"/>
          </w:rPr>
          <w:t xml:space="preserve">https://doi.org/10.1525/aa.2001.103.4.992</w:t>
        </w:r>
      </w:hyperlink>
      <w:r>
        <w:t xml:space="preserve">.</w:t>
      </w:r>
    </w:p>
    <w:bookmarkEnd w:id="176"/>
    <w:bookmarkStart w:id="177"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7"/>
    <w:bookmarkStart w:id="17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78">
        <w:r>
          <w:rPr>
            <w:rStyle w:val="Hyperlink"/>
          </w:rPr>
          <w:t xml:space="preserve">https://doi.org/10.1666/05070.1</w:t>
        </w:r>
      </w:hyperlink>
      <w:r>
        <w:t xml:space="preserve">.</w:t>
      </w:r>
    </w:p>
    <w:bookmarkEnd w:id="179"/>
    <w:bookmarkStart w:id="18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0">
        <w:r>
          <w:rPr>
            <w:rStyle w:val="Hyperlink"/>
          </w:rPr>
          <w:t xml:space="preserve">https://doi.org/10.1111/j.1558-5646.2007.00310.x</w:t>
        </w:r>
      </w:hyperlink>
      <w:r>
        <w:t xml:space="preserve">.</w:t>
      </w:r>
    </w:p>
    <w:bookmarkEnd w:id="181"/>
    <w:bookmarkStart w:id="18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2">
        <w:r>
          <w:rPr>
            <w:rStyle w:val="Hyperlink"/>
          </w:rPr>
          <w:t xml:space="preserve">https://doi.org/10.1016/j.jtbi.2013.03.006</w:t>
        </w:r>
      </w:hyperlink>
      <w:r>
        <w:t xml:space="preserve">.</w:t>
      </w:r>
    </w:p>
    <w:bookmarkEnd w:id="183"/>
    <w:bookmarkStart w:id="184"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4"/>
    <w:bookmarkStart w:id="18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5">
        <w:r>
          <w:rPr>
            <w:rStyle w:val="Hyperlink"/>
          </w:rPr>
          <w:t xml:space="preserve">https://doi.org/10.1371/journal.pone.0124942</w:t>
        </w:r>
      </w:hyperlink>
      <w:r>
        <w:t xml:space="preserve">.</w:t>
      </w:r>
    </w:p>
    <w:bookmarkEnd w:id="186"/>
    <w:bookmarkStart w:id="18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7">
        <w:r>
          <w:rPr>
            <w:rStyle w:val="Hyperlink"/>
          </w:rPr>
          <w:t xml:space="preserve">https://doi.org/10.1006/jaar.1997.0314</w:t>
        </w:r>
      </w:hyperlink>
      <w:r>
        <w:t xml:space="preserve">.</w:t>
      </w:r>
    </w:p>
    <w:bookmarkEnd w:id="188"/>
    <w:bookmarkStart w:id="189"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89"/>
    <w:bookmarkStart w:id="190"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0"/>
    <w:bookmarkStart w:id="191"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1"/>
    <w:bookmarkStart w:id="192"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2"/>
    <w:bookmarkStart w:id="193"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3"/>
    <w:bookmarkStart w:id="194"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4"/>
    <w:bookmarkStart w:id="196"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5">
        <w:r>
          <w:rPr>
            <w:rStyle w:val="Hyperlink"/>
          </w:rPr>
          <w:t xml:space="preserve">https://doi.org/10.1017/RDC.2020.41</w:t>
        </w:r>
      </w:hyperlink>
      <w:r>
        <w:t xml:space="preserve">.</w:t>
      </w:r>
    </w:p>
    <w:bookmarkEnd w:id="196"/>
    <w:bookmarkStart w:id="197"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197"/>
    <w:bookmarkStart w:id="199"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98">
        <w:r>
          <w:rPr>
            <w:rStyle w:val="Hyperlink"/>
          </w:rPr>
          <w:t xml:space="preserve">https://doi.org/10.1038/nature08227</w:t>
        </w:r>
      </w:hyperlink>
      <w:r>
        <w:t xml:space="preserve">.</w:t>
      </w:r>
    </w:p>
    <w:bookmarkEnd w:id="199"/>
    <w:bookmarkStart w:id="201"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0">
        <w:r>
          <w:rPr>
            <w:rStyle w:val="Hyperlink"/>
          </w:rPr>
          <w:t xml:space="preserve">https://doi.org/10.1016/j.jas.2007.01.003</w:t>
        </w:r>
      </w:hyperlink>
      <w:r>
        <w:t xml:space="preserve">.</w:t>
      </w:r>
    </w:p>
    <w:bookmarkEnd w:id="201"/>
    <w:bookmarkStart w:id="203"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2">
        <w:r>
          <w:rPr>
            <w:rStyle w:val="Hyperlink"/>
          </w:rPr>
          <w:t xml:space="preserve">https://doi.org/10.1016/j.jas.2009.03.029</w:t>
        </w:r>
      </w:hyperlink>
      <w:r>
        <w:t xml:space="preserve">.</w:t>
      </w:r>
    </w:p>
    <w:bookmarkEnd w:id="203"/>
    <w:bookmarkStart w:id="204"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4"/>
    <w:bookmarkStart w:id="205"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5"/>
    <w:bookmarkStart w:id="207"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6">
        <w:r>
          <w:rPr>
            <w:rStyle w:val="Hyperlink"/>
          </w:rPr>
          <w:t xml:space="preserve">https://doi.org/10.1098/rsif.2008.0172</w:t>
        </w:r>
      </w:hyperlink>
      <w:r>
        <w:t xml:space="preserve">.</w:t>
      </w:r>
    </w:p>
    <w:bookmarkEnd w:id="207"/>
    <w:bookmarkStart w:id="208" w:name="ref-williams_1954"/>
    <w:p>
      <w:pPr>
        <w:pStyle w:val="Bibliography"/>
      </w:pPr>
      <w:r>
        <w:t xml:space="preserve">Williams, Stephen. 1954. An Archeological Study of the Mississippian Culture in Southeast Missouri. PhD thesis, Yale University, New Haven.</w:t>
      </w:r>
    </w:p>
    <w:bookmarkEnd w:id="208"/>
    <w:bookmarkEnd w:id="209"/>
    <w:bookmarkEnd w:id="210"/>
    <w:bookmarkEnd w:id="211"/>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hyperlink" Id="rId187" Target="https://doi.org/10.1006/jaar.1997.0314" TargetMode="External" /><Relationship Type="http://schemas.openxmlformats.org/officeDocument/2006/relationships/hyperlink" Id="rId200" Target="https://doi.org/10.1016/j.jas.2007.01.003" TargetMode="External" /><Relationship Type="http://schemas.openxmlformats.org/officeDocument/2006/relationships/hyperlink" Id="rId202" Target="https://doi.org/10.1016/j.jas.2009.03.029" TargetMode="External" /><Relationship Type="http://schemas.openxmlformats.org/officeDocument/2006/relationships/hyperlink" Id="rId162" Target="https://doi.org/10.1016/j.jas.2014.07.014" TargetMode="External" /><Relationship Type="http://schemas.openxmlformats.org/officeDocument/2006/relationships/hyperlink" Id="rId182" Target="https://doi.org/10.1016/j.jtbi.2013.03.006" TargetMode="External" /><Relationship Type="http://schemas.openxmlformats.org/officeDocument/2006/relationships/hyperlink" Id="rId195" Target="https://doi.org/10.1017/RDC.2020.41" TargetMode="External" /><Relationship Type="http://schemas.openxmlformats.org/officeDocument/2006/relationships/hyperlink" Id="rId198" Target="https://doi.org/10.1038/nature08227" TargetMode="External" /><Relationship Type="http://schemas.openxmlformats.org/officeDocument/2006/relationships/hyperlink" Id="rId164" Target="https://doi.org/10.1038/srep39122" TargetMode="External" /><Relationship Type="http://schemas.openxmlformats.org/officeDocument/2006/relationships/hyperlink" Id="rId159" Target="https://doi.org/10.1057/s41599-019-0295-9" TargetMode="External" /><Relationship Type="http://schemas.openxmlformats.org/officeDocument/2006/relationships/hyperlink" Id="rId155" Target="https://doi.org/10.1073/pnas.0903232106" TargetMode="External" /><Relationship Type="http://schemas.openxmlformats.org/officeDocument/2006/relationships/hyperlink" Id="rId206" Target="https://doi.org/10.1098/rsif.2008.0172" TargetMode="External" /><Relationship Type="http://schemas.openxmlformats.org/officeDocument/2006/relationships/hyperlink" Id="rId157" Target="https://doi.org/10.1098/rspb.2004.2746" TargetMode="External" /><Relationship Type="http://schemas.openxmlformats.org/officeDocument/2006/relationships/hyperlink" Id="rId180" Target="https://doi.org/10.1111/j.1558-5646.2007.00310.x" TargetMode="External" /><Relationship Type="http://schemas.openxmlformats.org/officeDocument/2006/relationships/hyperlink" Id="rId166" Target="https://doi.org/10.1371/journal.pone.0041010" TargetMode="External" /><Relationship Type="http://schemas.openxmlformats.org/officeDocument/2006/relationships/hyperlink" Id="rId185" Target="https://doi.org/10.1371/journal.pone.0124942" TargetMode="External" /><Relationship Type="http://schemas.openxmlformats.org/officeDocument/2006/relationships/hyperlink" Id="rId175" Target="https://doi.org/10.1525/aa.2001.103.4.992" TargetMode="External" /><Relationship Type="http://schemas.openxmlformats.org/officeDocument/2006/relationships/hyperlink" Id="rId171" Target="https://doi.org/10.1534/genetics.113.158220" TargetMode="External" /><Relationship Type="http://schemas.openxmlformats.org/officeDocument/2006/relationships/hyperlink" Id="rId178" Target="https://doi.org/10.1666/05070.1" TargetMode="External" /><Relationship Type="http://schemas.openxmlformats.org/officeDocument/2006/relationships/hyperlink" Id="rId168"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6/jaar.1997.0314" TargetMode="External" /><Relationship Type="http://schemas.openxmlformats.org/officeDocument/2006/relationships/hyperlink" Id="rId200" Target="https://doi.org/10.1016/j.jas.2007.01.003" TargetMode="External" /><Relationship Type="http://schemas.openxmlformats.org/officeDocument/2006/relationships/hyperlink" Id="rId202" Target="https://doi.org/10.1016/j.jas.2009.03.029" TargetMode="External" /><Relationship Type="http://schemas.openxmlformats.org/officeDocument/2006/relationships/hyperlink" Id="rId162" Target="https://doi.org/10.1016/j.jas.2014.07.014" TargetMode="External" /><Relationship Type="http://schemas.openxmlformats.org/officeDocument/2006/relationships/hyperlink" Id="rId182" Target="https://doi.org/10.1016/j.jtbi.2013.03.006" TargetMode="External" /><Relationship Type="http://schemas.openxmlformats.org/officeDocument/2006/relationships/hyperlink" Id="rId195" Target="https://doi.org/10.1017/RDC.2020.41" TargetMode="External" /><Relationship Type="http://schemas.openxmlformats.org/officeDocument/2006/relationships/hyperlink" Id="rId198" Target="https://doi.org/10.1038/nature08227" TargetMode="External" /><Relationship Type="http://schemas.openxmlformats.org/officeDocument/2006/relationships/hyperlink" Id="rId164" Target="https://doi.org/10.1038/srep39122" TargetMode="External" /><Relationship Type="http://schemas.openxmlformats.org/officeDocument/2006/relationships/hyperlink" Id="rId159" Target="https://doi.org/10.1057/s41599-019-0295-9" TargetMode="External" /><Relationship Type="http://schemas.openxmlformats.org/officeDocument/2006/relationships/hyperlink" Id="rId155" Target="https://doi.org/10.1073/pnas.0903232106" TargetMode="External" /><Relationship Type="http://schemas.openxmlformats.org/officeDocument/2006/relationships/hyperlink" Id="rId206" Target="https://doi.org/10.1098/rsif.2008.0172" TargetMode="External" /><Relationship Type="http://schemas.openxmlformats.org/officeDocument/2006/relationships/hyperlink" Id="rId157" Target="https://doi.org/10.1098/rspb.2004.2746" TargetMode="External" /><Relationship Type="http://schemas.openxmlformats.org/officeDocument/2006/relationships/hyperlink" Id="rId180" Target="https://doi.org/10.1111/j.1558-5646.2007.00310.x" TargetMode="External" /><Relationship Type="http://schemas.openxmlformats.org/officeDocument/2006/relationships/hyperlink" Id="rId166" Target="https://doi.org/10.1371/journal.pone.0041010" TargetMode="External" /><Relationship Type="http://schemas.openxmlformats.org/officeDocument/2006/relationships/hyperlink" Id="rId185" Target="https://doi.org/10.1371/journal.pone.0124942" TargetMode="External" /><Relationship Type="http://schemas.openxmlformats.org/officeDocument/2006/relationships/hyperlink" Id="rId175" Target="https://doi.org/10.1525/aa.2001.103.4.992" TargetMode="External" /><Relationship Type="http://schemas.openxmlformats.org/officeDocument/2006/relationships/hyperlink" Id="rId171" Target="https://doi.org/10.1534/genetics.113.158220" TargetMode="External" /><Relationship Type="http://schemas.openxmlformats.org/officeDocument/2006/relationships/hyperlink" Id="rId178" Target="https://doi.org/10.1666/05070.1" TargetMode="External" /><Relationship Type="http://schemas.openxmlformats.org/officeDocument/2006/relationships/hyperlink" Id="rId168"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2026-09-21T15:11:14Z</dcterms:created>
  <dcterms:modified xsi:type="dcterms:W3CDTF">2026-09-21T15:11:14Z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