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120.png" ContentType="image/png"/>
  <Override PartName="/word/media/rId124.png" ContentType="image/png"/>
  <Override PartName="/word/media/rId128.png" ContentType="image/png"/>
  <Override PartName="/word/media/rId133.png" ContentType="image/png"/>
  <Override PartName="/word/media/rId140.png" ContentType="image/png"/>
  <Override PartName="/word/media/rId148.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4"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Figure and section references to the main text (for example, Figure 4, Results, Discussion) point to the primary article.</w:t>
      </w:r>
    </w:p>
    <w:bookmarkStart w:id="10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many small, mutually non-co-seriable groups indicate a fragmented one. We report the number and maximum size of these groups and, for each assemblage, its group-membership count, which identifies the bridge assemblages that join otherwise incompatible orderings. The number of maximal groups is the continuous signature. Checking every possible ordering becomes computationally intractable beyond about fourteen assemblages. IDSS instead builds solutions agglomeratively, starting from the valid three-assemblage seriations and extending each by adding assemblages that keep every class unimodal and continuous, until none can be added. An ordering is broken when a decorated class is not unimodal along it, or when a class’s relative frequency jumps between adjacent assemblages by more than a fixed continuity threshold, which we set to 0.10. The threshold sets how much adjacent frequency change we treat as real rather than sampling noise. A looser threshold admits more orderings and a stricter one fewer, and the fragmented, overlapping topology reported in the main text is stable across a range of thresholds.</w:t>
      </w:r>
    </w:p>
    <w:p>
      <w:pPr>
        <w:pStyle w:val="BodyText"/>
      </w:pPr>
      <w:r>
        <w:t xml:space="preserve">In the record-matched recovery experiment and the empirical trajectory, that statistic is the number of maximal co-seriable groups per assemblage within each ordinal bin, computed by the same deterministic algorithm at a continuity threshold of 0.10. The idealized validation of Figure S1 instead uses a simpler proxy, the number of fall-to-rise reversals in each class’s frequency column along the supplied order. An earlier implementation of that proxy accepted a single valley as unimodal, and the corrected score treats any fall followed by a rise as a violation. Neither implementation includes the bootstrap significance layer of the published method.</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increases as they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was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resampling intervals. All size-control draws take 50 sherds from each assemblage without replacement (multivariate hypergeometric sampling). An assemblage with exactly 50 sherds remains unchanged. The three signatures the recovery experiment shows to be unreliable are averaged over 400 such draws. The cultural</w:t>
      </w:r>
      <w:r>
        <w:t xml:space="preserve"> </w:t>
      </w:r>
      <m:oMath>
        <m:sSub>
          <m:e>
            <m:r>
              <m:t>F</m:t>
            </m:r>
          </m:e>
          <m:sub>
            <m:r>
              <m:t>S</m:t>
            </m:r>
            <m:r>
              <m:t>T</m:t>
            </m:r>
          </m:sub>
        </m:sSub>
      </m:oMath>
      <w:r>
        <w:t xml:space="preserve"> </w:t>
      </w:r>
      <w:r>
        <w:t xml:space="preserve">trend, the one signature the record can resolve, is quoted from 4,000 draws with a Monte Carlo interval on the mean, because a single draw of that statistic has a standard deviation of about 0.25 and a few-hundred-draw mean is not stable in sign. All of these condition on the observed assemblages, spatial partition, and ordering rather than on uncertainty about deposits, chronology, or model choice.</w:t>
      </w:r>
    </w:p>
    <w:bookmarkEnd w:id="109"/>
    <w:bookmarkStart w:id="110"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 Henrich</w:t>
      </w:r>
      <w:r>
        <w:t xml:space="preserve"> </w:t>
      </w:r>
      <w:r>
        <w:t xml:space="preserve">(2001)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simulations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bookmarkEnd w:id="110"/>
    <w:bookmarkStart w:id="11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main text reports the trend in cultural</w:t>
      </w:r>
      <w:r>
        <w:t xml:space="preserve"> </w:t>
      </w:r>
      <m:oMath>
        <m:sSub>
          <m:e>
            <m:r>
              <m:t>F</m:t>
            </m:r>
          </m:e>
          <m:sub>
            <m:r>
              <m:t>S</m:t>
            </m:r>
            <m:r>
              <m:t>T</m:t>
            </m:r>
          </m:sub>
        </m:sSub>
      </m:oMath>
      <w:r>
        <w:t xml:space="preserve"> </w:t>
      </w:r>
      <w:r>
        <w:t xml:space="preserve">along the seriation sequence as a rank correlation on rarefied assemblages. We also estimate it a second way that does not discard data. The Balding-Nichols model is fitted to each seriation bin, giving a posterior for that bin’s</w:t>
      </w:r>
      <w:r>
        <w:t xml:space="preserve"> </w:t>
      </w:r>
      <m:oMath>
        <m:sSub>
          <m:e>
            <m:r>
              <m:t>F</m:t>
            </m:r>
          </m:e>
          <m:sub>
            <m:r>
              <m:t>S</m:t>
            </m:r>
            <m:r>
              <m:t>T</m:t>
            </m:r>
          </m:sub>
        </m:sSub>
      </m:oMath>
      <w:r>
        <w:t xml:space="preserve"> </w:t>
      </w:r>
      <w:r>
        <w:t xml:space="preserve">whose width reflects how many sherds the bin contains, and the trend is then estimated as a slope over those posteriors. The prior on</w:t>
      </w:r>
      <w:r>
        <w:t xml:space="preserve"> </w:t>
      </w:r>
      <m:oMath>
        <m:sSub>
          <m:e>
            <m:r>
              <m:t>F</m:t>
            </m:r>
          </m:e>
          <m:sub>
            <m:r>
              <m:t>S</m:t>
            </m:r>
            <m:r>
              <m:t>T</m:t>
            </m:r>
          </m:sub>
        </m:sSub>
      </m:oMath>
      <w:r>
        <w:t xml:space="preserve"> </w:t>
      </w:r>
      <w:r>
        <w:t xml:space="preserve">is Beta(1,10). A flat prior on that parameter is not flat on the observable. At this design it expects a median</w:t>
      </w:r>
      <w:r>
        <w:t xml:space="preserve"> </w:t>
      </w:r>
      <m:oMath>
        <m:sSub>
          <m:e>
            <m:r>
              <m:t>F</m:t>
            </m:r>
          </m:e>
          <m:sub>
            <m:r>
              <m:t>S</m:t>
            </m:r>
            <m:r>
              <m:t>T</m:t>
            </m:r>
          </m:sub>
        </m:sSub>
      </m:oMath>
      <w:r>
        <w:t xml:space="preserve"> </w:t>
      </w:r>
      <w:r>
        <w:t xml:space="preserve">near 0.27 and places 47 percent of its prior predictive mass above 0.30, against an observed 0.018, whereas Beta(1,10) expects a median of 0.027 with 1 percent above 0.30. Results under the flat prior are reported alongside. Because the model treats sampling generatively rather than equalizing it by subsampling, the sample-size confound is absorbed rather than removed, and the reported uncertainty is a credible interval rather than a resampling spread. The two are different quantities, a rank correlation on rarefied assemblages and a slope in</w:t>
      </w:r>
      <w:r>
        <w:t xml:space="preserve"> </w:t>
      </w:r>
      <m:oMath>
        <m:sSub>
          <m:e>
            <m:r>
              <m:t>F</m:t>
            </m:r>
          </m:e>
          <m:sub>
            <m:r>
              <m:t>S</m:t>
            </m:r>
            <m:r>
              <m:t>T</m:t>
            </m:r>
          </m:sub>
        </m:sSub>
      </m:oMath>
      <w:r>
        <w:t xml:space="preserve"> </w:t>
      </w:r>
      <w:r>
        <w:t xml:space="preserve">units per standardized bin. The per-bin posteriors themselves are in Table S1.</w:t>
      </w:r>
    </w:p>
    <w:p>
      <w:pPr>
        <w:pStyle w:val="BodyText"/>
      </w:pPr>
      <w:r>
        <w:rPr>
          <w:b/>
          <w:bCs/>
        </w:rPr>
        <w:t xml:space="preserve">Table S1.</w:t>
      </w:r>
      <w:r>
        <w:t xml:space="preserve"> </w:t>
      </w:r>
      <w:r>
        <w:t xml:space="preserve">Per-bin cultural</w:t>
      </w:r>
      <w:r>
        <w:t xml:space="preserve"> </w:t>
      </w:r>
      <m:oMath>
        <m:sSub>
          <m:e>
            <m:r>
              <m:t>F</m:t>
            </m:r>
          </m:e>
          <m:sub>
            <m:r>
              <m:t>S</m:t>
            </m:r>
            <m:r>
              <m:t>T</m:t>
            </m:r>
          </m:sub>
        </m:sSub>
      </m:oMath>
      <w:r>
        <w:t xml:space="preserve"> </w:t>
      </w:r>
      <w:r>
        <w:t xml:space="preserve">under the Balding-Nichols model (Beta(1,10) prior; two spatial clusters; six seriation bins). The plug-in value is the Gini-Simpson estimator of the main text. The first and fifth bins hold assemblages from a single cluster, so their</w:t>
      </w:r>
      <w:r>
        <w:t xml:space="preserve"> </w:t>
      </w:r>
      <m:oMath>
        <m:sSub>
          <m:e>
            <m:r>
              <m:t>F</m:t>
            </m:r>
          </m:e>
          <m:sub>
            <m:r>
              <m:t>S</m:t>
            </m:r>
            <m:r>
              <m:t>T</m:t>
            </m:r>
          </m:sub>
        </m:sSub>
      </m:oMath>
      <w:r>
        <w:t xml:space="preserve"> </w:t>
      </w:r>
      <w:r>
        <w:t xml:space="preserve">is undefined; the ends of this chronology are places.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Bin</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The slope of per-bin</w:t>
      </w:r>
      <w:r>
        <w:t xml:space="preserve"> </w:t>
      </w:r>
      <m:oMath>
        <m:sSub>
          <m:e>
            <m:r>
              <m:t>F</m:t>
            </m:r>
          </m:e>
          <m:sub>
            <m:r>
              <m:t>S</m:t>
            </m:r>
            <m:r>
              <m:t>T</m:t>
            </m:r>
          </m:sub>
        </m:sSub>
      </m:oMath>
      <w:r>
        <w:t xml:space="preserve"> </w:t>
      </w:r>
      <w:r>
        <w:t xml:space="preserve">against standardized bin position, over the four estimable bins, has a posterior median of +0.0009 with a 95 percent credible interval of -0.034 to +0.033, and P(slope &gt; 0) = 0.54 (R-hat 1.006, minimum bulk ESS 1,445, 2 divergent transitions of 6,000, which we report rather than suppress). Under the flat prior it is +0.019 (-0.040 to +0.076) with P(slope &gt; 0) = 0.76. The direction of the trend is unresolved rather than absent, which agrees with the rarefied rank correlation of the main text. Every fit converged (R-hat at most 1.004, no divergent transitions).</w:t>
      </w:r>
    </w:p>
    <w:bookmarkEnd w:id="111"/>
    <w:bookmarkStart w:id="113" w:name="the-spatial-field-model"/>
    <w:p>
      <w:pPr>
        <w:pStyle w:val="Heading2"/>
      </w:pPr>
      <w:r>
        <w:t xml:space="preserve">The spatial field model</w:t>
      </w:r>
    </w:p>
    <w:p>
      <w:pPr>
        <w:pStyle w:val="FirstParagraph"/>
      </w:pPr>
      <w:r>
        <w:t xml:space="preserve">The between-cluster cultural</w:t>
      </w:r>
      <w:r>
        <w:t xml:space="preserve"> </w:t>
      </w:r>
      <m:oMath>
        <m:sSub>
          <m:e>
            <m:r>
              <m:t>F</m:t>
            </m:r>
          </m:e>
          <m:sub>
            <m:r>
              <m:t>S</m:t>
            </m:r>
            <m:r>
              <m:t>T</m:t>
            </m:r>
          </m:sub>
        </m:sSub>
      </m:oMath>
      <w:r>
        <w:t xml:space="preserve"> </w:t>
      </w:r>
      <w:r>
        <w:t xml:space="preserve">reported in the main text requires a division of the basin into spatial clusters. The field model removes that requirement. It treats the decorated-class composition of each assemblage as a draw from a multinomial whose class probabilities, on the logit scale, are the sum of a class mean, a spatially correlated latent field over the assemblage coordinates, and an assemblage-specific term with no spatial structure. The field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variant we report, the assemblage-specific term enters the covariance as a nugget rather than as a second latent field, which halves the number of latent parameters and removes a flat direction along which the two terms trade off. The quantity the question turns on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assemblage-level compositional variance carried by the spatial field. Bounded interaction groups leave site-specific character that geography does not explain, and in this model that character can only enter through</w:t>
      </w:r>
      <w:r>
        <w:t xml:space="preserve"> </w:t>
      </w:r>
      <m:oMath>
        <m:r>
          <m:t>τ</m:t>
        </m:r>
      </m:oMath>
      <w:r>
        <w:t xml:space="preserve">. The length scale carries an inverse-gamma prior that places its mass inside the range the basin’s geometry can resolve. The models are written in Stan and fitted by Hamiltonian Monte Carlo (rstan 2.32). The model files and fitting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basin assemblages and ten decorated classes, the spatial share is 0.996 with a 95 percent credible interval of 0.973 to 1.000 under the marginalized nugget, and 0.997, 0.975 to 1.000, under the additive form. The length scale is not identified. Its posterior sits at or above the basin’s 128 km extent under both forms, and the sampler saturates its tree depth without divergences, which is the signature of a ridge in the posterior rather than of a step-size problem. We therefore report the length scale as unresolved rather than as an estimate, and interpret the fit as showing that no decay in composition is detectable across the St. Francis drainage. Recovery tests on simulated fields with known length scales show that the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the quantities it was not fitted to. Under the marginalized form, the posterior predictive interval for the between-cluster cultural</w:t>
      </w:r>
      <w:r>
        <w:t xml:space="preserve"> </w:t>
      </w:r>
      <m:oMath>
        <m:sSub>
          <m:e>
            <m:r>
              <m:t>F</m:t>
            </m:r>
          </m:e>
          <m:sub>
            <m:r>
              <m:t>S</m:t>
            </m:r>
            <m:r>
              <m:t>T</m:t>
            </m:r>
          </m:sub>
        </m:sSub>
      </m:oMath>
      <w:r>
        <w:t xml:space="preserve"> </w:t>
      </w:r>
      <w:r>
        <w:t xml:space="preserve">at three clusters is 0.0130 to 0.0191 (median 0.0157) against an observed 0.0156 (Bayesian predictive p = 0.52). For the distance decay of similarity it is -0.361 to -0.271 (median -0.321) against -0.340 (p = 0.82), for the mean within-assemblage Gini-Simpson diversity 0.553 to 0.576 against 0.563 (p = 0.58), and for its spread across assemblages 0.096 to 0.121 against 0.112 (p = 0.32). This check is run on the fit it checks; an earlier version of the pipeline ran it before the fit and so compared the previous data set’s replicates with the current observations. A field with no groups therefore reproduces the observed differentiation, the distance decay, and the diversity structure. The field model describes the pattern rather than a mechanism, so it does not compete with the calibrated drift comparison of the main text. It establishes that whatever produced the differentiation left it spatially continuous.</w:t>
      </w:r>
    </w:p>
    <w:bookmarkStart w:id="112" w:name="X0ffd540a80cb4a4e15a57742160a7122f7bc725"/>
    <w:p>
      <w:pPr>
        <w:pStyle w:val="Heading3"/>
      </w:pPr>
      <w:r>
        <w:t xml:space="preserve">Sensitivity of cultural</w:t>
      </w:r>
      <w:r>
        <w:t xml:space="preserve"> </w:t>
      </w:r>
      <m:oMath>
        <m:sSub>
          <m:e>
            <m:r>
              <m:t>F</m:t>
            </m:r>
          </m:e>
          <m:sub>
            <m:r>
              <m:t>S</m:t>
            </m:r>
            <m:r>
              <m:t>T</m:t>
            </m:r>
          </m:sub>
        </m:sSub>
      </m:oMath>
      <w:r>
        <w:t xml:space="preserve"> </w:t>
      </w:r>
      <w:r>
        <w:t xml:space="preserve">to the partition</w:t>
      </w:r>
    </w:p>
    <w:p>
      <w:pPr>
        <w:pStyle w:val="FirstParagraph"/>
      </w:pPr>
      <w:r>
        <w:t xml:space="preserve">The between-cluster</w:t>
      </w:r>
      <w:r>
        <w:t xml:space="preserve"> </w:t>
      </w:r>
      <m:oMath>
        <m:sSub>
          <m:e>
            <m:r>
              <m:t>F</m:t>
            </m:r>
          </m:e>
          <m:sub>
            <m:r>
              <m:t>S</m:t>
            </m:r>
            <m:r>
              <m:t>T</m:t>
            </m:r>
          </m:sub>
        </m:sSub>
      </m:oMath>
      <w:r>
        <w:t xml:space="preserve"> </w:t>
      </w:r>
      <w:r>
        <w:t xml:space="preserve">depends on how finely the basin is divided. Fitted with the Balding-Nichols model at two through six spatial clusters, its posterior median moves from 0.0062 (95 percent credible interval 0.0051 to 0.0076) at the two clusters the silhouette criterion selects, through 0.0155 (0.0133 to 0.0180) at three, to 0.0302 (0.0267 to 0.0342) at five and 0.0248 at six, and the intervals at the two ends do not overlap. It does not depend on which particular division is used at a given number of clusters. Twenty k-means seeds at two clusters return the same partition, and the division we use sits at the 43rd percentile of 150 alternative contiguous divisions of the basin at the same grain, whose median of posterior medians is 0.0067. A quantity that responds to the grain of an imposed division and not to which division is imposed is measuring the division. That is why the main text reports the between-cluster</w:t>
      </w:r>
      <w:r>
        <w:t xml:space="preserve"> </w:t>
      </w:r>
      <m:oMath>
        <m:sSub>
          <m:e>
            <m:r>
              <m:t>F</m:t>
            </m:r>
          </m:e>
          <m:sub>
            <m:r>
              <m:t>S</m:t>
            </m:r>
            <m:r>
              <m:t>T</m:t>
            </m:r>
          </m:sub>
        </m:sSub>
      </m:oMath>
      <w:r>
        <w:t xml:space="preserve"> </w:t>
      </w:r>
      <w:r>
        <w:t xml:space="preserve">alongside the partition-free field model rather than on its own.</w:t>
      </w:r>
    </w:p>
    <w:bookmarkEnd w:id="112"/>
    <w:bookmarkEnd w:id="113"/>
    <w:bookmarkStart w:id="114" w:name="the-minimum-sample-size-and-why-it-is-75"/>
    <w:p>
      <w:pPr>
        <w:pStyle w:val="Heading2"/>
      </w:pPr>
      <w:r>
        <w:t xml:space="preserve">The minimum sample size, and why it is 75</w:t>
      </w:r>
    </w:p>
    <w:p>
      <w:pPr>
        <w:pStyle w:val="FirstParagraph"/>
      </w:pPr>
      <w:r>
        <w:t xml:space="preserve">The cultural</w:t>
      </w:r>
      <w:r>
        <w:t xml:space="preserve"> </w:t>
      </w:r>
      <m:oMath>
        <m:sSub>
          <m:e>
            <m:r>
              <m:t>F</m:t>
            </m:r>
          </m:e>
          <m:sub>
            <m:r>
              <m:t>S</m:t>
            </m:r>
            <m:r>
              <m:t>T</m:t>
            </m:r>
          </m:sub>
        </m:sSub>
      </m:oMath>
      <w:r>
        <w:t xml:space="preserve"> </w:t>
      </w:r>
      <w:r>
        <w:t xml:space="preserve">used throughout is the Gini-Simpson plug-in, and it is biased upward by sampling. Two assemblages drawn from the same population of pots differ because each is a finite sample, and the spurious between-assemblage variance scales roughly as one over the sample size. To find the count at which that artifact stops being able to pass for the differentiation the basin shows,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observed between-cluster</w:t>
      </w:r>
      <w:r>
        <w:t xml:space="preserve"> </w:t>
      </w:r>
      <m:oMath>
        <m:sSub>
          <m:e>
            <m:r>
              <m:t>F</m:t>
            </m:r>
          </m:e>
          <m:sub>
            <m:r>
              <m:t>S</m:t>
            </m:r>
            <m:r>
              <m:t>T</m:t>
            </m:r>
          </m:sub>
        </m:sSub>
      </m:oMath>
      <w:r>
        <w:t xml:space="preserve"> </w:t>
      </w:r>
      <w:r>
        <w:t xml:space="preserve">at five spatial clusters is the reference.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48%</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23%</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14%</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11%</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7%</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5%</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4%</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2%</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1%</w:t>
            </w:r>
          </w:p>
        </w:tc>
      </w:tr>
    </w:tbl>
    <w:p>
      <w:pPr>
        <w:pStyle w:val="BodyText"/>
      </w:pPr>
      <w:r>
        <w:t xml:space="preserve">At 75 sherds the median artifact is about a seventh of the observed differentiation and its 95th percentile first falls below the observed value. Above 75 the bias shrinks slowly, by about three percentage points of the observed value between 75 and 100, while assemblages are lost quickly: 100 would remove five more.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roughly 100 decorated sherds. The drift null is drawn at the observed sherd totals and carries the same bias, so the calibrated comparison is not distorted by it; the minimum protects the per-cluster decomposition of the residual and any reading of a single small cluster, where a term computed on a few dozen sherds is mostly the artifact.</w:t>
      </w:r>
    </w:p>
    <w:bookmarkEnd w:id="114"/>
    <w:bookmarkStart w:id="118"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28 basin assemblages, we computed the homozygosity-based and richness-based estimates of the transmission parameter and their signed difference. We then correlated each with assemblage size and with seriation position, following Neiman’s protocol for separating a transmission signature from a sample-size artifact. Several further checks support the Results. A forking-paths sensitivity analysis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 distance is computed with its diversity-distance relationship and divergence trajectory. We evaluate the alternative basin definition, the stricter watershed rule,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Figure S1 shows the Neiman interassemblage-distance result.</w:t>
      </w:r>
    </w:p>
    <w:p>
      <w:pPr>
        <w:pStyle w:val="CaptionedFigure"/>
      </w:pPr>
      <w:r>
        <w:drawing>
          <wp:inline>
            <wp:extent cx="5334000" cy="2918988"/>
            <wp:effectExtent b="0" l="0" r="0" t="0"/>
            <wp:docPr descr="Figure S1. 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 title="" id="116" name="Picture"/>
            <a:graphic>
              <a:graphicData uri="http://schemas.openxmlformats.org/drawingml/2006/picture">
                <pic:pic>
                  <pic:nvPicPr>
                    <pic:cNvPr descr="../../figures/figS1_neiman.png" id="117" name="Picture"/>
                    <pic:cNvPicPr>
                      <a:picLocks noChangeArrowheads="1" noChangeAspect="1"/>
                    </pic:cNvPicPr>
                  </pic:nvPicPr>
                  <pic:blipFill>
                    <a:blip r:embed="rId115"/>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w:t>
      </w:r>
    </w:p>
    <w:bookmarkEnd w:id="118"/>
    <w:bookmarkStart w:id="119"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imposes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pattern. We tested this by imposing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imposed closure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-0.40 at the null to +0.83 at strong imposed closure) and also recovers the non-spatial social pathway (from -0.29 to +0.54), because both ultimately raise between-group variance somewhere the partition can see it. The four signatures are therefore not four independent pathways, even in this diagnostic. The only one that registers imposed closure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imposed closure is collinear with</w:t>
      </w:r>
      <w:r>
        <w:t xml:space="preserve"> </w:t>
      </w:r>
      <m:oMath>
        <m:sSub>
          <m:e>
            <m:r>
              <m:t>F</m:t>
            </m:r>
          </m:e>
          <m:sub>
            <m:r>
              <m:t>S</m:t>
            </m:r>
            <m:r>
              <m:t>T</m:t>
            </m:r>
          </m:sub>
        </m:sSub>
      </m:oMath>
      <w:r>
        <w:t xml:space="preserve">. That resolution is 29 time-averaged assemblages subsampled to a common count over ten aggregated classes. A series of subsampling-depth runs (the weak signatures climb modestly with more sherds but remain well below</w:t>
      </w:r>
      <w:r>
        <w:t xml:space="preserve"> </w:t>
      </w:r>
      <m:oMath>
        <m:sSub>
          <m:e>
            <m:r>
              <m:t>F</m:t>
            </m:r>
          </m:e>
          <m:sub>
            <m:r>
              <m:t>S</m:t>
            </m:r>
            <m:r>
              <m:t>T</m:t>
            </m:r>
          </m:sub>
        </m:sSub>
      </m:oMath>
      <w:r>
        <w:t xml:space="preserve">) and a series of cluster-count runs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19"/>
    <w:bookmarkStart w:id="123" w:name="X4f76b75fc228d60b4011d109f79a97ece138f26"/>
    <w:p>
      <w:pPr>
        <w:pStyle w:val="Heading2"/>
      </w:pPr>
      <w:r>
        <w:t xml:space="preserve">Positive control: the basin against calibrated drift and bounded groups</w:t>
      </w:r>
    </w:p>
    <w:p>
      <w:pPr>
        <w:pStyle w:val="FirstParagraph"/>
      </w:pPr>
      <w:r>
        <w:t xml:space="preserve">To test what process the basin’s structure matches, rather than only which process it fails to show, we simulated neutral cultural drift and a bounded-groups process on the real coordinate layout of the 28 assemblages, using the model and calibration described in the next section. The calibration is the first result. Under uniform innovation, in which the ten classes are exchangeable, one of the 297 parameter combinations (120 learners, innovation 0.0002, mixing 0.4) falls within the 10 percent tolerance, on the six screening draws and again on fifty, but it sits at the corner of the grid, at the highest mixing rate swept, and its within-assemblage Gini-Simpson diversity of 0.61 and pooled diversity of 0.64, against 0.56 and 0.59 observed, are within a few points of the tolerance; we report the uniform model at that combination but do not treat it as calibrated in any robust sense. Under pooled-profile innovation, 56 combinations match on the screen and 49 on the fifty-seed re-check, spanning population sizes of 120, 2,000 and 10,000 learners and low rates of innovation and mixing (Table S2). None of the 49 reaches the observed between-cluster</w:t>
      </w:r>
      <w:r>
        <w:t xml:space="preserve"> </w:t>
      </w:r>
      <m:oMath>
        <m:sSub>
          <m:e>
            <m:r>
              <m:t>F</m:t>
            </m:r>
          </m:e>
          <m:sub>
            <m:r>
              <m:t>S</m:t>
            </m:r>
            <m:r>
              <m:t>T</m:t>
            </m:r>
          </m:sub>
        </m:sSub>
      </m:oMath>
      <w:r>
        <w:t xml:space="preserve"> </w:t>
      </w:r>
      <w:r>
        <w:t xml:space="preserve">at the median. The highest fifty-seed median among them is 0.0031 against 0.0062 observed, and 20 of the 49 cover the observation within their 95 percent intervals, a result we return to with the full grid below.</w:t>
      </w:r>
    </w:p>
    <w:p>
      <w:pPr>
        <w:pStyle w:val="BodyText"/>
      </w:pPr>
      <w:r>
        <w:t xml:space="preserve">At the diversity-matched parameter combination most favorable to drift on fifty seeds (2,000 learners, innovation 0.002, mixing 0.005, interaction length 24 river-km), the observed between-cluster</w:t>
      </w:r>
      <w:r>
        <w:t xml:space="preserve"> </w:t>
      </w:r>
      <m:oMath>
        <m:sSub>
          <m:e>
            <m:r>
              <m:t>F</m:t>
            </m:r>
          </m:e>
          <m:sub>
            <m:r>
              <m:t>S</m:t>
            </m:r>
            <m:r>
              <m:t>T</m:t>
            </m:r>
          </m:sub>
        </m:sSub>
      </m:oMath>
      <w:r>
        <w:t xml:space="preserve"> </w:t>
      </w:r>
      <w:r>
        <w:t xml:space="preserve">of 0.0062 at the two spatial clusters the silhouette selects lies inside the drift interval of 0.0003 to 0.0153 (median 0.0026). Sixteen percent of simulated datasets reach it under the seriation order, 16 percent reversed, and 22 percent contemporaneous. Calibrated drift returns one ceramic community in 325 of 500 runs; where it returns two or more, the between-community</w:t>
      </w:r>
      <w:r>
        <w:t xml:space="preserve"> </w:t>
      </w:r>
      <m:oMath>
        <m:sSub>
          <m:e>
            <m:r>
              <m:t>F</m:t>
            </m:r>
          </m:e>
          <m:sub>
            <m:r>
              <m:t>S</m:t>
            </m:r>
            <m:r>
              <m:t>T</m:t>
            </m:r>
          </m:sub>
        </m:sSub>
      </m:oMath>
      <w:r>
        <w:t xml:space="preserve"> </w:t>
      </w:r>
      <w:r>
        <w:t xml:space="preserve">has a median of 0.017 (0.008 to 0.031) against an observed 0.039, which 1 percent of runs reach, and modularity a median of 0.000 against an observed 0.045. The distance decay of similarity is steeper in the data than drift’s median but inside its interval (observed Mantel r = -0.21; drift median -0.06, interval -0.29 to +0.08). The distance-controlled boundary excess of the spatial clusters is positive in the data (+14.0, within-cluster pairs more similar than between-cluster pairs at matched distance), outside both the drift interval (-9.7 to +8.7) and the bounded-groups interval at multiplier 0.03 (-4.8 to +7.6). Reducing copying across the spatial clusters by factors of 0.5, 0.1, and 0.03 leaves the median</w:t>
      </w:r>
      <w:r>
        <w:t xml:space="preserve"> </w:t>
      </w:r>
      <m:oMath>
        <m:sSub>
          <m:e>
            <m:r>
              <m:t>F</m:t>
            </m:r>
          </m:e>
          <m:sub>
            <m:r>
              <m:t>S</m:t>
            </m:r>
            <m:r>
              <m:t>T</m:t>
            </m:r>
          </m:sub>
        </m:sSub>
      </m:oMath>
      <w:r>
        <w:t xml:space="preserve"> </w:t>
      </w:r>
      <w:r>
        <w:t xml:space="preserve">between 0.0020 and 0.0044 at both interaction lengths. The observation is reached only through the upper tails, in 20 to 33 percent of 30 realizations per cell (Table S3). Innovation drawn from the regional pooled profile is a region-wide source of new variants that no boundary interrupts, which mutes the boundary model in this family. A boundary model whose innovation respected the partition would build the tested boundary into its innovation target, and we did not run one. The comparison therefore shows that the calibrated drift model underpredicts the basin’s differentiation and that the bounded-groups model as built here accounts for little of the difference (Figure S2).</w:t>
      </w:r>
    </w:p>
    <w:p>
      <w:pPr>
        <w:pStyle w:val="CaptionedFigure"/>
      </w:pPr>
      <w:r>
        <w:drawing>
          <wp:inline>
            <wp:extent cx="5334000" cy="3742777"/>
            <wp:effectExtent b="0" l="0" r="0" t="0"/>
            <wp:docPr descr="Figure S2. Calibrated spatial drift versus bounded groups on the basin geography. (A to D) The observed distance-decay correlation, modularity, distance-controlled boundary excess of the spatial clusters, and between-cluster cultural F_{ST} (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 F_{ST}. The bounded-groups model raises the F_{ST} median only slightly. (E to G) Multidimensional scaling of decorated dissimilarity for the observed assemblages (Parkin starred) and one realization of each model at the calibrated rates." title="" id="121" name="Picture"/>
            <a:graphic>
              <a:graphicData uri="http://schemas.openxmlformats.org/drawingml/2006/picture">
                <pic:pic>
                  <pic:nvPicPr>
                    <pic:cNvPr descr="../../figures/figS2_drift_vs_groups.png" id="122" name="Picture"/>
                    <pic:cNvPicPr>
                      <a:picLocks noChangeArrowheads="1" noChangeAspect="1"/>
                    </pic:cNvPicPr>
                  </pic:nvPicPr>
                  <pic:blipFill>
                    <a:blip r:embed="rId120"/>
                    <a:stretch>
                      <a:fillRect/>
                    </a:stretch>
                  </pic:blipFill>
                  <pic:spPr bwMode="auto">
                    <a:xfrm>
                      <a:off x="0" y="0"/>
                      <a:ext cx="5334000" cy="3742777"/>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Calibrated spatial drift versus bounded groups on the basin geography. (A to D) The observed distance-decay correlation, modularity, distance-controlled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w:t>
      </w:r>
      <w:r>
        <w:t xml:space="preserve"> </w:t>
      </w:r>
      <m:oMath>
        <m:sSub>
          <m:e>
            <m:r>
              <m:t>F</m:t>
            </m:r>
          </m:e>
          <m:sub>
            <m:r>
              <m:t>S</m:t>
            </m:r>
            <m:r>
              <m:t>T</m:t>
            </m:r>
          </m:sub>
        </m:sSub>
      </m:oMath>
      <w:r>
        <w:t xml:space="preserve">. The bounded-groups model raises the</w:t>
      </w:r>
      <w:r>
        <w:t xml:space="preserve"> </w:t>
      </w:r>
      <m:oMath>
        <m:sSub>
          <m:e>
            <m:r>
              <m:t>F</m:t>
            </m:r>
          </m:e>
          <m:sub>
            <m:r>
              <m:t>S</m:t>
            </m:r>
            <m:r>
              <m:t>T</m:t>
            </m:r>
          </m:sub>
        </m:sSub>
      </m:oMath>
      <w:r>
        <w:t xml:space="preserve"> </w:t>
      </w:r>
      <w:r>
        <w:t xml:space="preserve">median only slightly. (E to G) Multidimensional scaling of decorated dissimilarity for the observed assemblages (Parkin starred) and one realization of each model at the calibrated rates.</w:t>
      </w:r>
    </w:p>
    <w:p>
      <w:pPr>
        <w:pStyle w:val="BodyText"/>
      </w:pPr>
      <w:r>
        <w:rPr>
          <w:b/>
          <w:bCs/>
        </w:rPr>
        <w:t xml:space="preserve">Table S2.</w:t>
      </w:r>
      <w:r>
        <w:t xml:space="preserve"> </w:t>
      </w:r>
      <w:r>
        <w:t xml:space="preserve">Calibration of the two innovation models to the within-assemblage summaries of the St. Francis basin assemblages. The corresponding southeast-Missouri calibration is given in the final section, where the failed extension is described. The selected combination is the diversity-matched parameter combination with the highest fifty-seed median partition</w:t>
      </w:r>
      <w:r>
        <w:t xml:space="preserve"> </w:t>
      </w:r>
      <m:oMath>
        <m:sSub>
          <m:e>
            <m:r>
              <m:t>F</m:t>
            </m:r>
          </m:e>
          <m:sub>
            <m:r>
              <m:t>S</m:t>
            </m:r>
            <m:r>
              <m:t>T</m:t>
            </m:r>
          </m:sub>
        </m:sSub>
      </m:oMath>
      <w:r>
        <w:t xml:space="preserve"> </w:t>
      </w:r>
      <w:r>
        <w:t xml:space="preserve">among those still matched on the fifty-seed re-check. Where no combination matches, the fallback is listed and identified as such. Achieved values are medians over the 500 baseline realizations.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 six-seed screen / fifty-seed re-check)</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56 / 49</w:t>
            </w:r>
          </w:p>
        </w:tc>
        <w:tc>
          <w:tcPr/>
          <w:p>
            <w:pPr>
              <w:pStyle w:val="Compact"/>
            </w:pPr>
            <w:r>
              <w:t xml:space="preserve">2,000, 0.002, 0.005</w:t>
            </w:r>
          </w:p>
        </w:tc>
        <w:tc>
          <w:tcPr/>
          <w:p>
            <w:pPr>
              <w:pStyle w:val="Compact"/>
            </w:pPr>
            <w:r>
              <w:t xml:space="preserve">0.563 / 6.25 / 0.592</w:t>
            </w:r>
          </w:p>
        </w:tc>
        <w:tc>
          <w:tcPr/>
          <w:p>
            <w:pPr>
              <w:pStyle w:val="Compact"/>
            </w:pPr>
            <w:r>
              <w:t xml:space="preserve">0.570 / 5.79 / 0.589</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 1</w:t>
            </w:r>
          </w:p>
        </w:tc>
        <w:tc>
          <w:tcPr/>
          <w:p>
            <w:pPr>
              <w:pStyle w:val="Compact"/>
            </w:pPr>
            <w:r>
              <w:t xml:space="preserve">120, 0.0002, 0.4</w:t>
            </w:r>
          </w:p>
        </w:tc>
        <w:tc>
          <w:tcPr/>
          <w:p>
            <w:pPr>
              <w:pStyle w:val="Compact"/>
            </w:pPr>
            <w:r>
              <w:t xml:space="preserve">0.563 / 6.25 / 0.592</w:t>
            </w:r>
          </w:p>
        </w:tc>
        <w:tc>
          <w:tcPr/>
          <w:p>
            <w:pPr>
              <w:pStyle w:val="Compact"/>
            </w:pPr>
            <w:r>
              <w:t xml:space="preserve">0.611 / 5.89 / 0.643</w:t>
            </w:r>
          </w:p>
        </w:tc>
      </w:tr>
    </w:tbl>
    <w:bookmarkEnd w:id="123"/>
    <w:bookmarkStart w:id="127" w:name="X78d041e106f3481159ed93cad752edab572ffcd"/>
    <w:p>
      <w:pPr>
        <w:pStyle w:val="Heading2"/>
      </w:pPr>
      <w:r>
        <w:t xml:space="preserve">The spatial drift model and its calibration</w:t>
      </w:r>
    </w:p>
    <w:p>
      <w:pPr>
        <w:pStyle w:val="FirstParagraph"/>
      </w:pPr>
      <w:r>
        <w:t xml:space="preserve">The drift-versus-groups comparison (Figures S2 and S4) uses one finite-population network model of decorated-class transmission, run on the real geography of the 28 St. Francis basin assemblages. Each assemblage location is a node holding a population of learners. Each generation, a learner copies the decorated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decays exponentially with along-waterway distance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The next-generation frequencies at each node are a multinomial draw of</w:t>
      </w:r>
      <w:r>
        <w:t xml:space="preserve"> </w:t>
      </w:r>
      <m:oMath>
        <m:r>
          <m:t>N</m:t>
        </m:r>
      </m:oMath>
      <w:r>
        <w:t xml:space="preserve"> </w:t>
      </w:r>
      <w:r>
        <w:t xml:space="preserve">learners from the copying-plus-innovation probabilities, which is distributionally equivalent to independent learner-by-learner copying. The repertoire is fixed at the ten measured decorated classes. Bounded groups are imposed by multiplying every copying weight that crosses a specified partition by a factor</w:t>
      </w:r>
      <w:r>
        <w:t xml:space="preserve"> </w:t>
      </w:r>
      <m:oMath>
        <m:r>
          <m:t>ℓ</m:t>
        </m:r>
      </m:oMath>
      <w:r>
        <w:t xml:space="preserve"> </w:t>
      </w:r>
      <w:r>
        <w:t xml:space="preserve">before normalization. A value of</w:t>
      </w:r>
      <w:r>
        <w:t xml:space="preserve"> </w:t>
      </w:r>
      <m:oMath>
        <m:r>
          <m:t>ℓ</m:t>
        </m:r>
        <m:r>
          <m:rPr>
            <m:sty m:val="p"/>
          </m:rPr>
          <m:t>=</m:t>
        </m:r>
        <m:r>
          <m:t>1</m:t>
        </m:r>
      </m:oMath>
      <w:r>
        <w:t xml:space="preserve"> </w:t>
      </w:r>
      <w:r>
        <w:t xml:space="preserve">is distance-only drift, and</w:t>
      </w:r>
      <w:r>
        <w:t xml:space="preserve"> </w:t>
      </w:r>
      <m:oMath>
        <m:r>
          <m:t>ℓ</m:t>
        </m:r>
        <m:r>
          <m:rPr>
            <m:sty m:val="p"/>
          </m:rPr>
          <m:t>=</m:t>
        </m:r>
        <m:r>
          <m:t>0.5</m:t>
        </m:r>
      </m:oMath>
      <w:r>
        <w:t xml:space="preserve">, 0.1, and 0.03 impose progressively stronger boundaries on the basin’s spatial clusters. Each run discards 1,200 burn-in generations and then records 90 evenly spaced slices over 1,800 further generations.</w:t>
      </w:r>
    </w:p>
    <w:p>
      <w:pPr>
        <w:pStyle w:val="BodyText"/>
      </w:pPr>
      <w:r>
        <w:t xml:space="preserve">Innovation requires a choice about what an archaeological class is, and we run the model under two versions of that choice. Under uniform innovation, the standard K-allele model, an innovating learner adopts any of the measured classes with equal probability, so the classes are treated as exchangeable variants. Under pooled-profile innovation, an innovating learner adopts each class in proportion to that class’s share of the region’s pooled counts, which represents the fact that the culture-history types aggregate unequal numbers of underlying decorative variants, so that innovation lands in a broad type more often than in a narrow one. The pooled profile carries no information about any partition, so it does not build the tested boundary into the null. Neither version introduces frequency-dependent bias.</w:t>
      </w:r>
    </w:p>
    <w:p>
      <w:pPr>
        <w:pStyle w:val="BodyText"/>
      </w:pPr>
      <w:r>
        <w:t xml:space="preserve">Because the between-group statistics depend on population size, mixing, and innovation jointly, the model must be calibrated to the record before its between-group predictions mean anything. We calibrate each model on three within-assemblage summaries that do not involve the tested partition. These are mean within-assemblage Gini-Simpson diversity, mean number of classes present at the observed sherd totals, and Gini-Simpson diversity of the pooled counts. A grid of node population size (120, 2,000, and 10,000 learners), innovation rate (0.0002 to 0.2), and mixing rate (0.001 to 0.4) is screened at six seeds per combination with the same time-transgressive sampling applied to the data, and a combination is diversity-matched when all three simulated summaries fall within 10 percent of the observed values. Every matched combination is then re-simulated at fifty fresh seeds, the match is re-checked on those, and the baseline combination for the drift comparison is the one, among those still matched, with the highest fifty-seed median partition</w:t>
      </w:r>
      <w:r>
        <w:t xml:space="preserve"> </w:t>
      </w:r>
      <m:oMath>
        <m:sSub>
          <m:e>
            <m:r>
              <m:t>F</m:t>
            </m:r>
          </m:e>
          <m:sub>
            <m:r>
              <m:t>S</m:t>
            </m:r>
            <m:r>
              <m:t>T</m:t>
            </m:r>
          </m:sub>
        </m:sSub>
      </m:oMath>
      <w:r>
        <w:t xml:space="preserve">, so the comparison is the one most favorable to drift. The second stage exists because the highest of some fifty six-seed medians is the extreme of sampling noise rather than a property of the grid: a 209 m shift in 13 coordinates that changed no partition moved the six-seed winner, and its six-seed median proved a threefold overestimate. When no combination survives the second stage, we use the matched combination with the highest fifty-seed median and identify it as such. The partition</w:t>
      </w:r>
      <w:r>
        <w:t xml:space="preserve"> </w:t>
      </w:r>
      <m:oMath>
        <m:sSub>
          <m:e>
            <m:r>
              <m:t>F</m:t>
            </m:r>
          </m:e>
          <m:sub>
            <m:r>
              <m:t>S</m:t>
            </m:r>
            <m:r>
              <m:t>T</m:t>
            </m:r>
          </m:sub>
        </m:sSub>
      </m:oMath>
      <w:r>
        <w:t xml:space="preserve"> </w:t>
      </w:r>
      <w:r>
        <w:t xml:space="preserve">is recorded for every combination but never enters the matching criterion. The baseline is then run for 500 realizations, the boundary factors for 30 realizations each at two interaction lengths (12 and 24 km), and seven sensitivity cases (burn-in doubled, monomorphic initialization with and without burn-in, and the calibrated innovation and mixing rates halved and doubled) for 50 realizations each. The fraction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realizations at or above the observed statistic and</w:t>
      </w:r>
      <w:r>
        <w:t xml:space="preserve"> </w:t>
      </w:r>
      <m:oMath>
        <m:r>
          <m:t>R</m:t>
        </m:r>
      </m:oMath>
      <w:r>
        <w:t xml:space="preserve"> </w:t>
      </w:r>
      <w:r>
        <w:t xml:space="preserve">the number of realizations. A cache of every replicate is keyed to a fingerprint of the configuration, the arrays supplied to it, the numerical source, and package versions, and is rebuilt when any of them changes.</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joining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28 assemblages connect on the resulting network and the mean access distance from an assemblage to a mapped channel is 2.74 km. Detour is summarized two ways, because the summaries differ: the mean of the per-pair ratios of along-water to straight-line distance is 3.7 and the median is 2.9. The per-pair ratio is right-skewed because a pair that is close in a straight line but must route around a meander carries a very large ratio.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as the null most favorable to drift, not because the pottery follows it: decorated-class distance between assemblages tracks straight-line separation (rank correlation 0.36) better than along-water distance (0.24), and between assemblages in different phases the along-water metric carries nothing once straight-line distance is held fixed (-0.03). The network is modern hydrography, and the St. Francis, Tyronza and Mississippi have all moved since these sites were occupied; a phase on the St. Francis reaches a phase on the Mississippi only through their confluence far to the south, so along-water distances between phases describe the routing of today’s channels. Both metrics are carried through the relaxation sweep below, and on this set they give the same answer: at the calibrated cell and every interaction length from 6 to 96 km, the drift median under straight-line distance lies within 0.0004 of the median under river distance, with the diversity match held under both, so a calibration on the straight-line metric would select a cell of the same diversity and return the same shortfall. Which tally an assemblage’s counts came from does not enter either: within each spatial cluster that holds rows of both kinds, the cultural</w:t>
      </w:r>
      <w:r>
        <w:t xml:space="preserve"> </w:t>
      </w:r>
      <m:oMath>
        <m:sSub>
          <m:e>
            <m:r>
              <m:t>F</m:t>
            </m:r>
          </m:e>
          <m:sub>
            <m:r>
              <m:t>S</m:t>
            </m:r>
            <m:r>
              <m:t>T</m:t>
            </m:r>
          </m:sub>
        </m:sSub>
      </m:oMath>
      <w:r>
        <w:t xml:space="preserve"> </w:t>
      </w:r>
      <w:r>
        <w:t xml:space="preserve">between rows carrying the survey’s counts alone and rows carrying Lipo’s compilation sits at or below the 18th percentile of random splits of that cluster into groups of the same sizes (</w:t>
      </w:r>
      <w:r>
        <w:rPr>
          <w:rStyle w:val="VerbatimChar"/>
        </w:rPr>
        <w:t xml:space="preserve">analyses/78_source_effect.py</w:t>
      </w:r>
      <w:r>
        <w:t xml:space="preserve">).</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Each synthetic assemblage is drawn from the recorded slice that matches its observed seriation position, its rank on the first correspondence-analysis axis of the real data, and is accumulated over a trailing window of eight slices so that, like a real death assemblage, it mixes production across its span. The earliest rank is mapped to the end of the first complete window, so every assemblage receives the same window length. We then sample each synthetic assemblage to the observed sherd count of its real counterpart. The synthetic assemblages are treated exactly as the empirical ones, with spatial clusters by the same</w:t>
      </w:r>
      <w:r>
        <w:t xml:space="preserve"> </w:t>
      </w:r>
      <m:oMath>
        <m:r>
          <m:t>k</m:t>
        </m:r>
      </m:oMath>
      <w:r>
        <w:t xml:space="preserve">-means partition, interaction communities by the same modularity partition, and between-group cultural</w:t>
      </w:r>
      <w:r>
        <w:t xml:space="preserve"> </w:t>
      </w:r>
      <m:oMath>
        <m:sSub>
          <m:e>
            <m:r>
              <m:t>F</m:t>
            </m:r>
          </m:e>
          <m:sub>
            <m:r>
              <m:t>S</m:t>
            </m:r>
            <m:r>
              <m:t>T</m:t>
            </m:r>
          </m:sub>
        </m:sSub>
      </m:oMath>
      <w:r>
        <w:t xml:space="preserve"> </w:t>
      </w:r>
      <w:r>
        <w:t xml:space="preserve">on each. Because the orientation of the seriation axis is only partly anchored, every field is also observed under the reversed order and under a contemporaneous scheme in which every assemblage is drawn from the terminal window.</w:t>
      </w:r>
    </w:p>
    <w:p>
      <w:pPr>
        <w:pStyle w:val="BodyText"/>
      </w:pPr>
      <w:r>
        <w:t xml:space="preserve">For the basin (Figure S3) we summarize 500 realizations at the calibrated parameter combination. Because group labels are arbitrary and switch between runs, groupness is summarized by co-membership rather than by a single partition. For each assemblage we record the fraction of runs in which it falls in the same drift-detected group as Parkin. Under calibrated drift, that fraction is 0.80 to 1.00 for every basin assemblage, because the model returns a single community in two thirds of its runs. The graded, distance-dependent co-membership field that the uncalibrated model produced (co-membership falling from 0.66 near Parkin to 0.17 far away) was a product of that model’s excess diversity. Figure S3B places the observed between-community</w:t>
      </w:r>
      <w:r>
        <w:t xml:space="preserve"> </w:t>
      </w:r>
      <m:oMath>
        <m:sSub>
          <m:e>
            <m:r>
              <m:t>F</m:t>
            </m:r>
          </m:e>
          <m:sub>
            <m:r>
              <m:t>S</m:t>
            </m:r>
            <m:r>
              <m:t>T</m:t>
            </m:r>
          </m:sub>
        </m:sSub>
      </m:oMath>
      <w:r>
        <w:t xml:space="preserve"> </w:t>
      </w:r>
      <w:r>
        <w:t xml:space="preserve">of 0.039 against the calibrated drift distributions under contemporaneous and time-transgressive sampling for both innovation models. Under pooled-profile innovation, the model returns a single community in 325 of 500 time-transgressive runs, where a between-community</w:t>
      </w:r>
      <w:r>
        <w:t xml:space="preserve"> </w:t>
      </w:r>
      <m:oMath>
        <m:sSub>
          <m:e>
            <m:r>
              <m:t>F</m:t>
            </m:r>
          </m:e>
          <m:sub>
            <m:r>
              <m:t>S</m:t>
            </m:r>
            <m:r>
              <m:t>T</m:t>
            </m:r>
          </m:sub>
        </m:sSub>
      </m:oMath>
      <w:r>
        <w:t xml:space="preserve"> </w:t>
      </w:r>
      <w:r>
        <w:t xml:space="preserve">is undefined. In the 175 runs that return two or more it runs from 0.008 to 0.043 (median 0.017), and 1 percent of runs reach the observed 0.039. Under uniform innovation, which does not fit the assemblages’ diversity, the observed value falls within a wide interval.</w:t>
      </w:r>
    </w:p>
    <w:p>
      <w:pPr>
        <w:pStyle w:val="CaptionedFigure"/>
      </w:pPr>
      <w:r>
        <w:drawing>
          <wp:inline>
            <wp:extent cx="5334000" cy="3222814"/>
            <wp:effectExtent b="0" l="0" r="0" t="0"/>
            <wp:docPr descr="Figure S3. Basin co-membership and community differentiation under calibrated drift, over 500 realizations. (A) Each assemblage is shaded by the probability that it shares Parkin’s drift-detected group (star) under time-transgressive sampling. The probability is 0.80 to 1.00 throughout because calibrated drift returns one community in two thirds of its runs. (B) Between-community cultural F_{ST} for the observed data (dashed, 0.039) against the calibrated drift medians and 95 percent intervals under contemporaneous and time-transgressive sampling for the pooled-profile (filled) and uniform (open) innovation models. The pooled-profile points summarize only the runs that return two or more communities (148 contemporaneous and 175 time-transgressive of 500; the rest return one community and leave the statistic undefined), and the observed value lies above them. The uniform model’s wide interval reflects a parameterization that does not fit the assemblages’ diversity." title="" id="125" name="Picture"/>
            <a:graphic>
              <a:graphicData uri="http://schemas.openxmlformats.org/drawingml/2006/picture">
                <pic:pic>
                  <pic:nvPicPr>
                    <pic:cNvPr descr="../../figures/figS3_emergent_phases.png" id="126" name="Picture"/>
                    <pic:cNvPicPr>
                      <a:picLocks noChangeArrowheads="1" noChangeAspect="1"/>
                    </pic:cNvPicPr>
                  </pic:nvPicPr>
                  <pic:blipFill>
                    <a:blip r:embed="rId124"/>
                    <a:stretch>
                      <a:fillRect/>
                    </a:stretch>
                  </pic:blipFill>
                  <pic:spPr bwMode="auto">
                    <a:xfrm>
                      <a:off x="0" y="0"/>
                      <a:ext cx="5334000" cy="322281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Basin co-membership and community differentiation under calibrated drift, over 500 realizations. (A) Each assemblage is shaded by the probability that it shares Parkin’s drift-detected group (star) under time-transgressive sampling. The probability is 0.80 to 1.00 throughout because calibrated drift returns one community in two thirds of its runs. (B) Between-community cultural</w:t>
      </w:r>
      <w:r>
        <w:t xml:space="preserve"> </w:t>
      </w:r>
      <m:oMath>
        <m:sSub>
          <m:e>
            <m:r>
              <m:t>F</m:t>
            </m:r>
          </m:e>
          <m:sub>
            <m:r>
              <m:t>S</m:t>
            </m:r>
            <m:r>
              <m:t>T</m:t>
            </m:r>
          </m:sub>
        </m:sSub>
      </m:oMath>
      <w:r>
        <w:t xml:space="preserve"> </w:t>
      </w:r>
      <w:r>
        <w:t xml:space="preserve">for the observed data (dashed, 0.039) against the calibrated drift medians and 95 percent intervals under contemporaneous and time-transgressive sampling for the pooled-profile (filled) and uniform (open) innovation models. The pooled-profile points summarize only the runs that return two or more communities (148 contemporaneous and 175 time-transgressive of 500; the rest return one community and leave the statistic undefined), and the observed value lies above them. The uniform model’s wide interval reflects a parameterization that does not fit the assemblages’ diversity.</w:t>
      </w:r>
    </w:p>
    <w:bookmarkEnd w:id="127"/>
    <w:bookmarkStart w:id="131" w:name="X7572d9e5478b44765a66b286b4f0f4dcad2f464"/>
    <w:p>
      <w:pPr>
        <w:pStyle w:val="Heading2"/>
      </w:pPr>
      <w:r>
        <w:t xml:space="preserve">The calibration series and sensitivity of the calibrated comparison</w:t>
      </w:r>
    </w:p>
    <w:p>
      <w:pPr>
        <w:pStyle w:val="FirstParagraph"/>
      </w:pPr>
      <w:r>
        <w:t xml:space="preserve">Figure S4 shows every combination in the calibration series, 297 combinations of population size, innovation rate, and mixing rate for each innovation model, each plotted by its diversity misfit (the root of the summed squared relative error over the three within-assemblage summaries) against its median partition</w:t>
      </w:r>
      <w:r>
        <w:t xml:space="preserve"> </w:t>
      </w:r>
      <m:oMath>
        <m:sSub>
          <m:e>
            <m:r>
              <m:t>F</m:t>
            </m:r>
          </m:e>
          <m:sub>
            <m:r>
              <m:t>S</m:t>
            </m:r>
            <m:r>
              <m:t>T</m:t>
            </m:r>
          </m:sub>
        </m:sSub>
      </m:oMath>
      <w:r>
        <w:t xml:space="preserve">: the median of six screening draws for unmatched combinations, and of fifty further draws for matched ones, the value the selection is made on. Combinations to the left of the tolerance line match the assemblages’ diversity. In the basin, the matched combinations lie below the observed</w:t>
      </w:r>
      <w:r>
        <w:t xml:space="preserve"> </w:t>
      </w:r>
      <m:oMath>
        <m:sSub>
          <m:e>
            <m:r>
              <m:t>F</m:t>
            </m:r>
          </m:e>
          <m:sub>
            <m:r>
              <m:t>S</m:t>
            </m:r>
            <m:r>
              <m:t>T</m:t>
            </m:r>
          </m:sub>
        </m:sSub>
      </m:oMath>
      <w:r>
        <w:t xml:space="preserve"> </w:t>
      </w:r>
      <w:r>
        <w:t xml:space="preserve">at the median, and the combinations that reach the observed</w:t>
      </w:r>
      <w:r>
        <w:t xml:space="preserve"> </w:t>
      </w:r>
      <m:oMath>
        <m:sSub>
          <m:e>
            <m:r>
              <m:t>F</m:t>
            </m:r>
          </m:e>
          <m:sub>
            <m:r>
              <m:t>S</m:t>
            </m:r>
            <m:r>
              <m:t>T</m:t>
            </m:r>
          </m:sub>
        </m:sSub>
      </m:oMath>
      <w:r>
        <w:t xml:space="preserve"> </w:t>
      </w:r>
      <w:r>
        <w:t xml:space="preserve">at the median are those that misfit the diversity by a factor of two or more. Under uniform innovation, one combination matches, at the corner of the grid. The exchangeable-class model reaches the record’s skewed class profile only as a transient state of strong drift, which removes the rare classes that most assemblages contain. The earlier finding that drift brackets the observed differentiation across a parameter grid (432 runs over interaction length, mixing, and innovation) was drawn from that misfitting region of the grid.</w:t>
      </w:r>
    </w:p>
    <w:p>
      <w:pPr>
        <w:pStyle w:val="CaptionedFigure"/>
      </w:pPr>
      <w:r>
        <w:drawing>
          <wp:inline>
            <wp:extent cx="5334000" cy="2934743"/>
            <wp:effectExtent b="0" l="0" r="0" t="0"/>
            <wp:docPr descr="Figure S4. The calibration series. Each point is one combination of parameters (population size 120, 2,000, or 10,000 learners; innovation 0.0002 to 0.2; mixing 0.001 to 0.4) for the pooled-profile (circles) and uniform (squares) innovation models, placed by its diversity misfit against its median partition F_{ST} (six screening draws for unmatched combinations, fifty for matched one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 F_{ST}. No diversity-matched parameter combination reaches the observed differentiation at the median in either panel." title="" id="129" name="Picture"/>
            <a:graphic>
              <a:graphicData uri="http://schemas.openxmlformats.org/drawingml/2006/picture">
                <pic:pic>
                  <pic:nvPicPr>
                    <pic:cNvPr descr="../../figures/figS4_emergence_robustness.png" id="130" name="Picture"/>
                    <pic:cNvPicPr>
                      <a:picLocks noChangeArrowheads="1" noChangeAspect="1"/>
                    </pic:cNvPicPr>
                  </pic:nvPicPr>
                  <pic:blipFill>
                    <a:blip r:embed="rId128"/>
                    <a:stretch>
                      <a:fillRect/>
                    </a:stretch>
                  </pic:blipFill>
                  <pic:spPr bwMode="auto">
                    <a:xfrm>
                      <a:off x="0" y="0"/>
                      <a:ext cx="5334000" cy="2934743"/>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calibration series. Each point is one combination of parameters (population size 120, 2,000, or 10,000 learners; innovation 0.0002 to 0.2; mixing 0.001 to 0.4) for the pooled-profile (circles) and uniform (squares) innovation models, placed by its diversity misfit against its median partition</w:t>
      </w:r>
      <w:r>
        <w:t xml:space="preserve"> </w:t>
      </w:r>
      <m:oMath>
        <m:sSub>
          <m:e>
            <m:r>
              <m:t>F</m:t>
            </m:r>
          </m:e>
          <m:sub>
            <m:r>
              <m:t>S</m:t>
            </m:r>
            <m:r>
              <m:t>T</m:t>
            </m:r>
          </m:sub>
        </m:sSub>
      </m:oMath>
      <w:r>
        <w:t xml:space="preserve"> </w:t>
      </w:r>
      <w:r>
        <w:t xml:space="preserve">(six screening draws for unmatched combinations, fifty for matched ones),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diversity-matched parameter combination reaches the observed differentiation at the median in either panel.</w:t>
      </w:r>
    </w:p>
    <w:p>
      <w:pPr>
        <w:pStyle w:val="BodyText"/>
      </w:pPr>
      <w:r>
        <w:rPr>
          <w:b/>
          <w:bCs/>
        </w:rPr>
        <w:t xml:space="preserve">Table S3.</w:t>
      </w:r>
      <w:r>
        <w:t xml:space="preserve"> </w:t>
      </w:r>
      <w:r>
        <w:t xml:space="preserve">Sensitivity of the calibrated comparison for the pooled-profile model (50 realizations per case, baseline 500). Entries are the median and 95 percent interval of the partition</w:t>
      </w:r>
      <w:r>
        <w:t xml:space="preserve"> </w:t>
      </w:r>
      <m:oMath>
        <m:sSub>
          <m:e>
            <m:r>
              <m:t>F</m:t>
            </m:r>
          </m:e>
          <m:sub>
            <m:r>
              <m:t>S</m:t>
            </m:r>
            <m:r>
              <m:t>T</m:t>
            </m:r>
          </m:sub>
        </m:sSub>
      </m:oMath>
      <w:r>
        <w:t xml:space="preserve">, the fraction of realizations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0.0062; H_S 0.56, richness 6.2)</w:t>
            </w:r>
          </w:p>
        </w:tc>
        <w:tc>
          <w:tcPr/>
          <w:p>
            <w:pPr>
              <w:pStyle w:val="Compact"/>
            </w:pPr>
            <w:r>
              <w:t xml:space="preserve">baseline</w:t>
            </w:r>
          </w:p>
        </w:tc>
        <w:tc>
          <w:tcPr/>
          <w:p>
            <w:pPr>
              <w:pStyle w:val="Compact"/>
            </w:pPr>
            <w:r>
              <w:t xml:space="preserve">0.0026 [0.0003, 0.0153]</w:t>
            </w:r>
          </w:p>
        </w:tc>
        <w:tc>
          <w:tcPr/>
          <w:p>
            <w:pPr>
              <w:pStyle w:val="Compact"/>
              <w:jc w:val="right"/>
            </w:pPr>
            <w:r>
              <w:t xml:space="preserve">0.160</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burn-in 2,400</w:t>
            </w:r>
          </w:p>
        </w:tc>
        <w:tc>
          <w:tcPr/>
          <w:p>
            <w:pPr>
              <w:pStyle w:val="Compact"/>
            </w:pPr>
            <w:r>
              <w:t xml:space="preserve">0.0027 [0.0003, 0.0131]</w:t>
            </w:r>
          </w:p>
        </w:tc>
        <w:tc>
          <w:tcPr/>
          <w:p>
            <w:pPr>
              <w:pStyle w:val="Compact"/>
              <w:jc w:val="right"/>
            </w:pPr>
            <w:r>
              <w:t xml:space="preserve">0.294</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burn-in</w:t>
            </w:r>
          </w:p>
        </w:tc>
        <w:tc>
          <w:tcPr/>
          <w:p>
            <w:pPr>
              <w:pStyle w:val="Compact"/>
            </w:pPr>
            <w:r>
              <w:t xml:space="preserve">0.0024 [0.0003, 0.0139]</w:t>
            </w:r>
          </w:p>
        </w:tc>
        <w:tc>
          <w:tcPr/>
          <w:p>
            <w:pPr>
              <w:pStyle w:val="Compact"/>
              <w:jc w:val="right"/>
            </w:pPr>
            <w:r>
              <w:t xml:space="preserve">0.216</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no burn-in</w:t>
            </w:r>
          </w:p>
        </w:tc>
        <w:tc>
          <w:tcPr/>
          <w:p>
            <w:pPr>
              <w:pStyle w:val="Compact"/>
            </w:pPr>
            <w:r>
              <w:t xml:space="preserve">0.0047 [0.0006, 0.0230]</w:t>
            </w:r>
          </w:p>
        </w:tc>
        <w:tc>
          <w:tcPr/>
          <w:p>
            <w:pPr>
              <w:pStyle w:val="Compact"/>
              <w:jc w:val="right"/>
            </w:pPr>
            <w:r>
              <w:t xml:space="preserve">0.471</w:t>
            </w:r>
          </w:p>
        </w:tc>
        <w:tc>
          <w:tcPr/>
          <w:p>
            <w:pPr>
              <w:pStyle w:val="Compact"/>
              <w:jc w:val="right"/>
            </w:pPr>
            <w:r>
              <w:t xml:space="preserve">0.46</w:t>
            </w:r>
          </w:p>
        </w:tc>
        <w:tc>
          <w:tcPr/>
          <w:p>
            <w:pPr>
              <w:pStyle w:val="Compact"/>
              <w:jc w:val="right"/>
            </w:pPr>
            <w:r>
              <w:t xml:space="preserve">5.4</w:t>
            </w:r>
          </w:p>
        </w:tc>
      </w:tr>
      <w:tr>
        <w:tc>
          <w:tcPr/>
          <w:p>
            <w:pPr>
              <w:pStyle w:val="Compact"/>
            </w:pPr>
          </w:p>
        </w:tc>
        <w:tc>
          <w:tcPr/>
          <w:p>
            <w:pPr>
              <w:pStyle w:val="Compact"/>
            </w:pPr>
            <w:r>
              <w:t xml:space="preserve">innovation halved</w:t>
            </w:r>
          </w:p>
        </w:tc>
        <w:tc>
          <w:tcPr/>
          <w:p>
            <w:pPr>
              <w:pStyle w:val="Compact"/>
            </w:pPr>
            <w:r>
              <w:t xml:space="preserve">0.0036 [0.0006, 0.0202]</w:t>
            </w:r>
          </w:p>
        </w:tc>
        <w:tc>
          <w:tcPr/>
          <w:p>
            <w:pPr>
              <w:pStyle w:val="Compact"/>
              <w:jc w:val="right"/>
            </w:pPr>
            <w:r>
              <w:t xml:space="preserve">0.373</w:t>
            </w:r>
          </w:p>
        </w:tc>
        <w:tc>
          <w:tcPr/>
          <w:p>
            <w:pPr>
              <w:pStyle w:val="Compact"/>
              <w:jc w:val="right"/>
            </w:pPr>
            <w:r>
              <w:t xml:space="preserve">0.56</w:t>
            </w:r>
          </w:p>
        </w:tc>
        <w:tc>
          <w:tcPr/>
          <w:p>
            <w:pPr>
              <w:pStyle w:val="Compact"/>
              <w:jc w:val="right"/>
            </w:pPr>
            <w:r>
              <w:t xml:space="preserve">5.3</w:t>
            </w:r>
          </w:p>
        </w:tc>
      </w:tr>
      <w:tr>
        <w:tc>
          <w:tcPr/>
          <w:p>
            <w:pPr>
              <w:pStyle w:val="Compact"/>
            </w:pPr>
          </w:p>
        </w:tc>
        <w:tc>
          <w:tcPr/>
          <w:p>
            <w:pPr>
              <w:pStyle w:val="Compact"/>
            </w:pPr>
            <w:r>
              <w:t xml:space="preserve">innovation doubled</w:t>
            </w:r>
          </w:p>
        </w:tc>
        <w:tc>
          <w:tcPr/>
          <w:p>
            <w:pPr>
              <w:pStyle w:val="Compact"/>
            </w:pPr>
            <w:r>
              <w:t xml:space="preserve">0.0010 [0.0002, 0.0067]</w:t>
            </w:r>
          </w:p>
        </w:tc>
        <w:tc>
          <w:tcPr/>
          <w:p>
            <w:pPr>
              <w:pStyle w:val="Compact"/>
              <w:jc w:val="right"/>
            </w:pPr>
            <w:r>
              <w:t xml:space="preserve">0.078</w:t>
            </w:r>
          </w:p>
        </w:tc>
        <w:tc>
          <w:tcPr/>
          <w:p>
            <w:pPr>
              <w:pStyle w:val="Compact"/>
              <w:jc w:val="right"/>
            </w:pPr>
            <w:r>
              <w:t xml:space="preserve">0.58</w:t>
            </w:r>
          </w:p>
        </w:tc>
        <w:tc>
          <w:tcPr/>
          <w:p>
            <w:pPr>
              <w:pStyle w:val="Compact"/>
              <w:jc w:val="right"/>
            </w:pPr>
            <w:r>
              <w:t xml:space="preserve">6.3</w:t>
            </w:r>
          </w:p>
        </w:tc>
      </w:tr>
      <w:tr>
        <w:tc>
          <w:tcPr/>
          <w:p>
            <w:pPr>
              <w:pStyle w:val="Compact"/>
            </w:pPr>
          </w:p>
        </w:tc>
        <w:tc>
          <w:tcPr/>
          <w:p>
            <w:pPr>
              <w:pStyle w:val="Compact"/>
            </w:pPr>
            <w:r>
              <w:t xml:space="preserve">mixing halved</w:t>
            </w:r>
          </w:p>
        </w:tc>
        <w:tc>
          <w:tcPr/>
          <w:p>
            <w:pPr>
              <w:pStyle w:val="Compact"/>
            </w:pPr>
            <w:r>
              <w:t xml:space="preserve">0.0039 [0.0004, 0.0188]</w:t>
            </w:r>
          </w:p>
        </w:tc>
        <w:tc>
          <w:tcPr/>
          <w:p>
            <w:pPr>
              <w:pStyle w:val="Compact"/>
              <w:jc w:val="right"/>
            </w:pPr>
            <w:r>
              <w:t xml:space="preserve">0.275</w:t>
            </w:r>
          </w:p>
        </w:tc>
        <w:tc>
          <w:tcPr/>
          <w:p>
            <w:pPr>
              <w:pStyle w:val="Compact"/>
              <w:jc w:val="right"/>
            </w:pPr>
            <w:r>
              <w:t xml:space="preserve">0.56</w:t>
            </w:r>
          </w:p>
        </w:tc>
        <w:tc>
          <w:tcPr/>
          <w:p>
            <w:pPr>
              <w:pStyle w:val="Compact"/>
              <w:jc w:val="right"/>
            </w:pPr>
            <w:r>
              <w:t xml:space="preserve">5.4</w:t>
            </w:r>
          </w:p>
        </w:tc>
      </w:tr>
      <w:tr>
        <w:tc>
          <w:tcPr/>
          <w:p>
            <w:pPr>
              <w:pStyle w:val="Compact"/>
            </w:pPr>
          </w:p>
        </w:tc>
        <w:tc>
          <w:tcPr/>
          <w:p>
            <w:pPr>
              <w:pStyle w:val="Compact"/>
            </w:pPr>
            <w:r>
              <w:t xml:space="preserve">mixing doubled</w:t>
            </w:r>
          </w:p>
        </w:tc>
        <w:tc>
          <w:tcPr/>
          <w:p>
            <w:pPr>
              <w:pStyle w:val="Compact"/>
            </w:pPr>
            <w:r>
              <w:t xml:space="preserve">0.0024 [0.0004, 0.0106]</w:t>
            </w:r>
          </w:p>
        </w:tc>
        <w:tc>
          <w:tcPr/>
          <w:p>
            <w:pPr>
              <w:pStyle w:val="Compact"/>
              <w:jc w:val="right"/>
            </w:pPr>
            <w:r>
              <w:t xml:space="preserve">0.176</w:t>
            </w:r>
          </w:p>
        </w:tc>
        <w:tc>
          <w:tcPr/>
          <w:p>
            <w:pPr>
              <w:pStyle w:val="Compact"/>
              <w:jc w:val="right"/>
            </w:pPr>
            <w:r>
              <w:t xml:space="preserve">0.58</w:t>
            </w:r>
          </w:p>
        </w:tc>
        <w:tc>
          <w:tcPr/>
          <w:p>
            <w:pPr>
              <w:pStyle w:val="Compact"/>
              <w:jc w:val="right"/>
            </w:pPr>
            <w:r>
              <w:t xml:space="preserve">6.2</w:t>
            </w:r>
          </w:p>
        </w:tc>
      </w:tr>
      <w:tr>
        <w:tc>
          <w:tcPr/>
          <w:p>
            <w:pPr>
              <w:pStyle w:val="Compact"/>
            </w:pPr>
          </w:p>
        </w:tc>
        <w:tc>
          <w:tcPr/>
          <w:p>
            <w:pPr>
              <w:pStyle w:val="Compact"/>
            </w:pPr>
            <w:r>
              <w:t xml:space="preserve">boundary, multiplier 0.5 (24 km)</w:t>
            </w:r>
          </w:p>
        </w:tc>
        <w:tc>
          <w:tcPr/>
          <w:p>
            <w:pPr>
              <w:pStyle w:val="Compact"/>
            </w:pPr>
            <w:r>
              <w:t xml:space="preserve">0.0034 [0.0006, 0.0106]</w:t>
            </w:r>
          </w:p>
        </w:tc>
        <w:tc>
          <w:tcPr/>
          <w:p>
            <w:pPr>
              <w:pStyle w:val="Compact"/>
              <w:jc w:val="right"/>
            </w:pPr>
            <w:r>
              <w:t xml:space="preserve">0.290</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0.0020 [0.0006, 0.0164]</w:t>
            </w:r>
          </w:p>
        </w:tc>
        <w:tc>
          <w:tcPr/>
          <w:p>
            <w:pPr>
              <w:pStyle w:val="Compact"/>
              <w:jc w:val="right"/>
            </w:pPr>
            <w:r>
              <w:t xml:space="preserve">0.258</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0.0037 [0.0006, 0.0114]</w:t>
            </w:r>
          </w:p>
        </w:tc>
        <w:tc>
          <w:tcPr/>
          <w:p>
            <w:pPr>
              <w:pStyle w:val="Compact"/>
              <w:jc w:val="right"/>
            </w:pPr>
            <w:r>
              <w:t xml:space="preserve">0.290</w:t>
            </w:r>
          </w:p>
        </w:tc>
        <w:tc>
          <w:tcPr/>
          <w:p>
            <w:pPr>
              <w:pStyle w:val="Compact"/>
            </w:pPr>
          </w:p>
        </w:tc>
        <w:tc>
          <w:tcPr/>
          <w:p>
            <w:pPr>
              <w:pStyle w:val="Compact"/>
            </w:pPr>
          </w:p>
        </w:tc>
      </w:tr>
    </w:tbl>
    <w:p>
      <w:pPr>
        <w:pStyle w:val="BodyText"/>
      </w:pPr>
      <w:r>
        <w:t xml:space="preserve">The sensitivity cases with monomorphic initialization and no burn-in depart from the calibrated diversity, and their tail probabilities are reported for completeness rather than as alternatives that fit the record. The remaining cases leave the basin tail probability between 0.08 and 0.37, so the observation sits inside what drift produces under every startup and rate choice. The 30-realization boundary cases resolve tail probabilities only to about 0.03.</w:t>
      </w:r>
    </w:p>
    <w:bookmarkEnd w:id="131"/>
    <w:bookmarkStart w:id="132" w:name="X38a0c6a9c650c3c6e71b804c682fc2a3dc35e63"/>
    <w:p>
      <w:pPr>
        <w:pStyle w:val="Heading2"/>
      </w:pPr>
      <w:r>
        <w:t xml:space="preserve">Relaxing four assumptions of the drift model</w:t>
      </w:r>
    </w:p>
    <w:p>
      <w:pPr>
        <w:pStyle w:val="FirstParagraph"/>
      </w:pPr>
      <w:r>
        <w:t xml:space="preserve">The calibrated drift model reproduces the assemblages’ diversity but not their differentiation. The model makes four simplifying assumptions, and relaxing any of them could account for the difference. Relaxing one does not abandon drift. Each variant is the same finite-population drift model with one of its simplifications removed. Each is relaxed here on the basin set at its calibrated combination. The full series is in</w:t>
      </w:r>
      <w:r>
        <w:t xml:space="preserve"> </w:t>
      </w:r>
      <w:r>
        <w:rPr>
          <w:rStyle w:val="VerbatimChar"/>
        </w:rPr>
        <w:t xml:space="preserve">output/findings/other_departures.md</w:t>
      </w:r>
      <w:r>
        <w:t xml:space="preserve">. The standard is the same throughout. Relaxing an assumption accounts for the difference only if it reaches the observed</w:t>
      </w:r>
      <w:r>
        <w:t xml:space="preserve"> </w:t>
      </w:r>
      <m:oMath>
        <m:sSub>
          <m:e>
            <m:r>
              <m:t>F</m:t>
            </m:r>
          </m:e>
          <m:sub>
            <m:r>
              <m:t>S</m:t>
            </m:r>
            <m:r>
              <m:t>T</m:t>
            </m:r>
          </m:sub>
        </m:sSub>
      </m:oMath>
      <w:r>
        <w:t xml:space="preserve"> </w:t>
      </w:r>
      <w:r>
        <w:t xml:space="preserve">of 0.0062 AND keeps all three diversity summaries inside the calibration’s 10 percent tolerance. A model that reaches the differentiation by losing the diversity fit has improved one fit at the expense of the other rather than improving both.</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arithmetic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2000</w:t>
            </w:r>
          </w:p>
        </w:tc>
        <w:tc>
          <w:tcPr/>
          <w:p>
            <w:pPr>
              <w:pStyle w:val="Compact"/>
              <w:jc w:val="right"/>
            </w:pPr>
            <w:r>
              <w:t xml:space="preserve">0.0026</w:t>
            </w:r>
          </w:p>
        </w:tc>
        <w:tc>
          <w:tcPr/>
          <w:p>
            <w:pPr>
              <w:pStyle w:val="Compact"/>
            </w:pPr>
            <w:r>
              <w:t xml:space="preserve">[0.0003, 0.0147]</w:t>
            </w:r>
          </w:p>
        </w:tc>
        <w:tc>
          <w:tcPr/>
          <w:p>
            <w:pPr>
              <w:pStyle w:val="Compact"/>
              <w:jc w:val="right"/>
            </w:pPr>
            <w:r>
              <w:t xml:space="preserve">2.4x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1565</w:t>
            </w:r>
          </w:p>
        </w:tc>
        <w:tc>
          <w:tcPr/>
          <w:p>
            <w:pPr>
              <w:pStyle w:val="Compact"/>
              <w:jc w:val="right"/>
            </w:pPr>
            <w:r>
              <w:t xml:space="preserve">0.0027</w:t>
            </w:r>
          </w:p>
        </w:tc>
        <w:tc>
          <w:tcPr/>
          <w:p>
            <w:pPr>
              <w:pStyle w:val="Compact"/>
            </w:pPr>
            <w:r>
              <w:t xml:space="preserve">[0.0004, 0.0175]</w:t>
            </w:r>
          </w:p>
        </w:tc>
        <w:tc>
          <w:tcPr/>
          <w:p>
            <w:pPr>
              <w:pStyle w:val="Compact"/>
              <w:jc w:val="right"/>
            </w:pPr>
            <w:r>
              <w:t xml:space="preserve">2.3x</w:t>
            </w:r>
          </w:p>
        </w:tc>
        <w:tc>
          <w:tcPr/>
          <w:p>
            <w:pPr>
              <w:pStyle w:val="Compact"/>
              <w:jc w:val="center"/>
            </w:pPr>
            <w:r>
              <w:t xml:space="preserve">matched</w:t>
            </w:r>
          </w:p>
        </w:tc>
      </w:tr>
      <w:tr>
        <w:tc>
          <w:tcPr/>
          <w:p>
            <w:pPr>
              <w:pStyle w:val="Compact"/>
              <w:jc w:val="right"/>
            </w:pPr>
            <w:r>
              <w:t xml:space="preserve">1.0</w:t>
            </w:r>
          </w:p>
        </w:tc>
        <w:tc>
          <w:tcPr/>
          <w:p>
            <w:pPr>
              <w:pStyle w:val="Compact"/>
              <w:jc w:val="right"/>
            </w:pPr>
            <w:r>
              <w:t xml:space="preserve">1019</w:t>
            </w:r>
          </w:p>
        </w:tc>
        <w:tc>
          <w:tcPr/>
          <w:p>
            <w:pPr>
              <w:pStyle w:val="Compact"/>
              <w:jc w:val="right"/>
            </w:pPr>
            <w:r>
              <w:t xml:space="preserve">0.0042</w:t>
            </w:r>
          </w:p>
        </w:tc>
        <w:tc>
          <w:tcPr/>
          <w:p>
            <w:pPr>
              <w:pStyle w:val="Compact"/>
            </w:pPr>
            <w:r>
              <w:t xml:space="preserve">[0.0004, 0.0264]</w:t>
            </w:r>
          </w:p>
        </w:tc>
        <w:tc>
          <w:tcPr/>
          <w:p>
            <w:pPr>
              <w:pStyle w:val="Compact"/>
              <w:jc w:val="right"/>
            </w:pPr>
            <w:r>
              <w:t xml:space="preserve">1.5x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669</w:t>
            </w:r>
          </w:p>
        </w:tc>
        <w:tc>
          <w:tcPr/>
          <w:p>
            <w:pPr>
              <w:pStyle w:val="Compact"/>
              <w:jc w:val="right"/>
            </w:pPr>
            <w:r>
              <w:t xml:space="preserve">0.0055</w:t>
            </w:r>
          </w:p>
        </w:tc>
        <w:tc>
          <w:tcPr/>
          <w:p>
            <w:pPr>
              <w:pStyle w:val="Compact"/>
            </w:pPr>
            <w:r>
              <w:t xml:space="preserve">[0.0006, 0.0386]</w:t>
            </w:r>
          </w:p>
        </w:tc>
        <w:tc>
          <w:tcPr/>
          <w:p>
            <w:pPr>
              <w:pStyle w:val="Compact"/>
              <w:jc w:val="right"/>
            </w:pPr>
            <w:r>
              <w:t xml:space="preserve">1.1x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467</w:t>
            </w:r>
          </w:p>
        </w:tc>
        <w:tc>
          <w:tcPr/>
          <w:p>
            <w:pPr>
              <w:pStyle w:val="Compact"/>
              <w:jc w:val="right"/>
            </w:pPr>
            <w:r>
              <w:t xml:space="preserve">0.0075</w:t>
            </w:r>
          </w:p>
        </w:tc>
        <w:tc>
          <w:tcPr/>
          <w:p>
            <w:pPr>
              <w:pStyle w:val="Compact"/>
            </w:pPr>
            <w:r>
              <w:t xml:space="preserve">[0.0006, 0.0400]</w:t>
            </w:r>
          </w:p>
        </w:tc>
        <w:tc>
          <w:tcPr/>
          <w:p>
            <w:pPr>
              <w:pStyle w:val="Compact"/>
              <w:jc w:val="right"/>
            </w:pPr>
            <w:r>
              <w:t xml:space="preserve">0.8x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266</w:t>
            </w:r>
          </w:p>
        </w:tc>
        <w:tc>
          <w:tcPr/>
          <w:p>
            <w:pPr>
              <w:pStyle w:val="Compact"/>
              <w:jc w:val="right"/>
            </w:pPr>
            <w:r>
              <w:t xml:space="preserve">0.0122</w:t>
            </w:r>
          </w:p>
        </w:tc>
        <w:tc>
          <w:tcPr/>
          <w:p>
            <w:pPr>
              <w:pStyle w:val="Compact"/>
            </w:pPr>
            <w:r>
              <w:t xml:space="preserve">[0.0005, 0.0695]</w:t>
            </w:r>
          </w:p>
        </w:tc>
        <w:tc>
          <w:tcPr/>
          <w:p>
            <w:pPr>
              <w:pStyle w:val="Compact"/>
              <w:jc w:val="right"/>
            </w:pPr>
            <w:r>
              <w:t xml:space="preserve">0.5x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basin assemblages and is the only size field there with usable coverage. Taking population to scale with height, with height squared, or with height cubed implies a coefficient of variation of 0.92, 1.37 and 1.78 respectively, with Morse’s corrected height for Parkin substituted as elsewhere. Across that bracket the shortfall runs from about 1.5-fold at a coefficient of variation of 1.0 to the observation passed by 2.0, and the diversity match is broken from 1.0. Inequality raises differentiation but lowers the harmonic mean population, which raises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0.0032</w:t>
            </w:r>
          </w:p>
        </w:tc>
        <w:tc>
          <w:tcPr/>
          <w:p>
            <w:pPr>
              <w:pStyle w:val="Compact"/>
            </w:pPr>
            <w:r>
              <w:t xml:space="preserve">[0.0004,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0.0034</w:t>
            </w:r>
          </w:p>
        </w:tc>
        <w:tc>
          <w:tcPr/>
          <w:p>
            <w:pPr>
              <w:pStyle w:val="Compact"/>
            </w:pPr>
            <w:r>
              <w:t xml:space="preserve">[0.0005, 0.0170]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0.0019</w:t>
            </w:r>
          </w:p>
        </w:tc>
        <w:tc>
          <w:tcPr/>
          <w:p>
            <w:pPr>
              <w:pStyle w:val="Compact"/>
            </w:pPr>
            <w:r>
              <w:t xml:space="preserve">[0.0002, 0.0093]</w:t>
            </w:r>
          </w:p>
        </w:tc>
        <w:tc>
          <w:tcPr/>
          <w:p>
            <w:pPr>
              <w:pStyle w:val="Compact"/>
              <w:jc w:val="right"/>
            </w:pPr>
            <w:r>
              <w:t xml:space="preserve">3.3x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0.0015</w:t>
            </w:r>
          </w:p>
        </w:tc>
        <w:tc>
          <w:tcPr/>
          <w:p>
            <w:pPr>
              <w:pStyle w:val="Compact"/>
            </w:pPr>
            <w:r>
              <w:t xml:space="preserve">[0.0002, 0.0086]</w:t>
            </w:r>
          </w:p>
        </w:tc>
        <w:tc>
          <w:tcPr/>
          <w:p>
            <w:pPr>
              <w:pStyle w:val="Compact"/>
              <w:jc w:val="right"/>
            </w:pPr>
            <w:r>
              <w:t xml:space="preserve">4.2x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0.0030</w:t>
            </w:r>
          </w:p>
        </w:tc>
        <w:tc>
          <w:tcPr/>
          <w:p>
            <w:pPr>
              <w:pStyle w:val="Compact"/>
            </w:pPr>
            <w:r>
              <w:t xml:space="preserve">[0.0003, 0.0174]</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0.0020</w:t>
            </w:r>
          </w:p>
        </w:tc>
        <w:tc>
          <w:tcPr/>
          <w:p>
            <w:pPr>
              <w:pStyle w:val="Compact"/>
            </w:pPr>
            <w:r>
              <w:t xml:space="preserve">[0.0002, 0.0118]</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0.0015</w:t>
            </w:r>
          </w:p>
        </w:tc>
        <w:tc>
          <w:tcPr/>
          <w:p>
            <w:pPr>
              <w:pStyle w:val="Compact"/>
            </w:pPr>
            <w:r>
              <w:t xml:space="preserve">[0.0002, 0.0088]</w:t>
            </w:r>
          </w:p>
        </w:tc>
        <w:tc>
          <w:tcPr/>
          <w:p>
            <w:pPr>
              <w:pStyle w:val="Compact"/>
              <w:jc w:val="right"/>
            </w:pPr>
            <w:r>
              <w:t xml:space="preserve">4.1x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0.0013</w:t>
            </w:r>
          </w:p>
        </w:tc>
        <w:tc>
          <w:tcPr/>
          <w:p>
            <w:pPr>
              <w:pStyle w:val="Compact"/>
            </w:pPr>
            <w:r>
              <w:t xml:space="preserve">[0.0002, 0.0083]</w:t>
            </w:r>
          </w:p>
        </w:tc>
        <w:tc>
          <w:tcPr/>
          <w:p>
            <w:pPr>
              <w:pStyle w:val="Compact"/>
              <w:jc w:val="right"/>
            </w:pPr>
            <w:r>
              <w:t xml:space="preserve">4.8x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0.0012</w:t>
            </w:r>
          </w:p>
        </w:tc>
        <w:tc>
          <w:tcPr/>
          <w:p>
            <w:pPr>
              <w:pStyle w:val="Compact"/>
            </w:pPr>
            <w:r>
              <w:t xml:space="preserve">[0.0001, 0.0076]</w:t>
            </w:r>
          </w:p>
        </w:tc>
        <w:tc>
          <w:tcPr/>
          <w:p>
            <w:pPr>
              <w:pStyle w:val="Compact"/>
              <w:jc w:val="right"/>
            </w:pPr>
            <w:r>
              <w:t xml:space="preserve">5.1x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0.0041</w:t>
            </w:r>
          </w:p>
        </w:tc>
        <w:tc>
          <w:tcPr/>
          <w:p>
            <w:pPr>
              <w:pStyle w:val="Compact"/>
            </w:pPr>
            <w:r>
              <w:t xml:space="preserve">[0.0003, 0.0200]</w:t>
            </w:r>
          </w:p>
        </w:tc>
        <w:tc>
          <w:tcPr/>
          <w:p>
            <w:pPr>
              <w:pStyle w:val="Compact"/>
              <w:jc w:val="right"/>
            </w:pPr>
            <w:r>
              <w:t xml:space="preserve">1.5x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0.0034</w:t>
            </w:r>
          </w:p>
        </w:tc>
        <w:tc>
          <w:tcPr/>
          <w:p>
            <w:pPr>
              <w:pStyle w:val="Compact"/>
            </w:pPr>
            <w:r>
              <w:t xml:space="preserve">[0.0004, 0.0193]</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0.0033</w:t>
            </w:r>
          </w:p>
        </w:tc>
        <w:tc>
          <w:tcPr/>
          <w:p>
            <w:pPr>
              <w:pStyle w:val="Compact"/>
            </w:pPr>
            <w:r>
              <w:t xml:space="preserve">[0.0003,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0.0030</w:t>
            </w:r>
          </w:p>
        </w:tc>
        <w:tc>
          <w:tcPr/>
          <w:p>
            <w:pPr>
              <w:pStyle w:val="Compact"/>
            </w:pPr>
            <w:r>
              <w:t xml:space="preserve">[0.0003, 0.0115]</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0.0017</w:t>
            </w:r>
          </w:p>
        </w:tc>
        <w:tc>
          <w:tcPr/>
          <w:p>
            <w:pPr>
              <w:pStyle w:val="Compact"/>
            </w:pPr>
            <w:r>
              <w:t xml:space="preserve">[0.0001, 0.0115]</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0.0027</w:t>
            </w:r>
          </w:p>
        </w:tc>
        <w:tc>
          <w:tcPr/>
          <w:p>
            <w:pPr>
              <w:pStyle w:val="Compact"/>
            </w:pPr>
            <w:r>
              <w:t xml:space="preserve">[0.0003, 0.0154]</w:t>
            </w:r>
          </w:p>
        </w:tc>
        <w:tc>
          <w:tcPr/>
          <w:p>
            <w:pPr>
              <w:pStyle w:val="Compact"/>
              <w:jc w:val="right"/>
            </w:pPr>
            <w:r>
              <w:t xml:space="preserve">2.3x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0.0021</w:t>
            </w:r>
          </w:p>
        </w:tc>
        <w:tc>
          <w:tcPr/>
          <w:p>
            <w:pPr>
              <w:pStyle w:val="Compact"/>
            </w:pPr>
            <w:r>
              <w:t xml:space="preserve">[0.0002, 0.0133]</w:t>
            </w:r>
          </w:p>
        </w:tc>
        <w:tc>
          <w:tcPr/>
          <w:p>
            <w:pPr>
              <w:pStyle w:val="Compact"/>
              <w:jc w:val="right"/>
            </w:pPr>
            <w:r>
              <w:t xml:space="preserve">2.9x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0.0020</w:t>
            </w:r>
          </w:p>
        </w:tc>
        <w:tc>
          <w:tcPr/>
          <w:p>
            <w:pPr>
              <w:pStyle w:val="Compact"/>
            </w:pPr>
            <w:r>
              <w:t xml:space="preserve">[0.0003, 0.0089]</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0.0017</w:t>
            </w:r>
          </w:p>
        </w:tc>
        <w:tc>
          <w:tcPr/>
          <w:p>
            <w:pPr>
              <w:pStyle w:val="Compact"/>
            </w:pPr>
            <w:r>
              <w:t xml:space="preserve">[0.0002, 0.0084]</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0.0014</w:t>
            </w:r>
          </w:p>
        </w:tc>
        <w:tc>
          <w:tcPr/>
          <w:p>
            <w:pPr>
              <w:pStyle w:val="Compact"/>
            </w:pPr>
            <w:r>
              <w:t xml:space="preserve">[0.0001, 0.0070]</w:t>
            </w:r>
          </w:p>
        </w:tc>
        <w:tc>
          <w:tcPr/>
          <w:p>
            <w:pPr>
              <w:pStyle w:val="Compact"/>
              <w:jc w:val="right"/>
            </w:pPr>
            <w:r>
              <w:t xml:space="preserve">4.3x</w:t>
            </w:r>
          </w:p>
        </w:tc>
        <w:tc>
          <w:tcPr/>
          <w:p>
            <w:pPr>
              <w:pStyle w:val="Compact"/>
              <w:jc w:val="center"/>
            </w:pPr>
            <w:r>
              <w:t xml:space="preserve">matched</w:t>
            </w:r>
          </w:p>
        </w:tc>
      </w:tr>
    </w:tbl>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0.0023</w:t>
            </w:r>
          </w:p>
        </w:tc>
        <w:tc>
          <w:tcPr/>
          <w:p>
            <w:pPr>
              <w:pStyle w:val="Compact"/>
            </w:pPr>
            <w:r>
              <w:t xml:space="preserve">[0.0003, 0.0139]</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0.0026</w:t>
            </w:r>
          </w:p>
        </w:tc>
        <w:tc>
          <w:tcPr/>
          <w:p>
            <w:pPr>
              <w:pStyle w:val="Compact"/>
            </w:pPr>
            <w:r>
              <w:t xml:space="preserve">[0.0002, 0.0135]</w:t>
            </w:r>
          </w:p>
        </w:tc>
        <w:tc>
          <w:tcPr/>
          <w:p>
            <w:pPr>
              <w:pStyle w:val="Compact"/>
              <w:jc w:val="right"/>
            </w:pPr>
            <w:r>
              <w:t xml:space="preserve">2.4x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0.0024</w:t>
            </w:r>
          </w:p>
        </w:tc>
        <w:tc>
          <w:tcPr/>
          <w:p>
            <w:pPr>
              <w:pStyle w:val="Compact"/>
            </w:pPr>
            <w:r>
              <w:t xml:space="preserve">[0.0002, 0.0139]</w:t>
            </w:r>
          </w:p>
        </w:tc>
        <w:tc>
          <w:tcPr/>
          <w:p>
            <w:pPr>
              <w:pStyle w:val="Compact"/>
              <w:jc w:val="right"/>
            </w:pPr>
            <w:r>
              <w:t xml:space="preserve">2.6x</w:t>
            </w:r>
          </w:p>
        </w:tc>
        <w:tc>
          <w:tcPr/>
          <w:p>
            <w:pPr>
              <w:pStyle w:val="Compact"/>
              <w:jc w:val="center"/>
            </w:pPr>
            <w:r>
              <w:t xml:space="preserve">matched</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0.0023</w:t>
            </w:r>
          </w:p>
        </w:tc>
        <w:tc>
          <w:tcPr/>
          <w:p>
            <w:pPr>
              <w:pStyle w:val="Compact"/>
            </w:pPr>
            <w:r>
              <w:t xml:space="preserve">[0.0003, 0.0136]</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0.0032</w:t>
            </w:r>
          </w:p>
        </w:tc>
        <w:tc>
          <w:tcPr/>
          <w:p>
            <w:pPr>
              <w:pStyle w:val="Compact"/>
            </w:pPr>
            <w:r>
              <w:t xml:space="preserve">[0.0003, 0.1331]</w:t>
            </w:r>
          </w:p>
        </w:tc>
        <w:tc>
          <w:tcPr/>
          <w:p>
            <w:pPr>
              <w:pStyle w:val="Compact"/>
              <w:jc w:val="right"/>
            </w:pPr>
            <w:r>
              <w:t xml:space="preserve">2.0x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0.0040</w:t>
            </w:r>
          </w:p>
        </w:tc>
        <w:tc>
          <w:tcPr/>
          <w:p>
            <w:pPr>
              <w:pStyle w:val="Compact"/>
            </w:pPr>
            <w:r>
              <w:t xml:space="preserve">[0.0004, 0.1414]</w:t>
            </w:r>
          </w:p>
        </w:tc>
        <w:tc>
          <w:tcPr/>
          <w:p>
            <w:pPr>
              <w:pStyle w:val="Compact"/>
              <w:jc w:val="right"/>
            </w:pPr>
            <w:r>
              <w:t xml:space="preserve">1.6x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0.0059</w:t>
            </w:r>
          </w:p>
        </w:tc>
        <w:tc>
          <w:tcPr/>
          <w:p>
            <w:pPr>
              <w:pStyle w:val="Compact"/>
            </w:pPr>
            <w:r>
              <w:t xml:space="preserve">[0.0004, 0.1558]</w:t>
            </w:r>
          </w:p>
        </w:tc>
        <w:tc>
          <w:tcPr/>
          <w:p>
            <w:pPr>
              <w:pStyle w:val="Compact"/>
              <w:jc w:val="right"/>
            </w:pPr>
            <w:r>
              <w:t xml:space="preserve">1.1x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0.0125</w:t>
            </w:r>
          </w:p>
        </w:tc>
        <w:tc>
          <w:tcPr/>
          <w:p>
            <w:pPr>
              <w:pStyle w:val="Compact"/>
            </w:pPr>
            <w:r>
              <w:t xml:space="preserve">[0.0004, 0.1618]</w:t>
            </w:r>
          </w:p>
        </w:tc>
        <w:tc>
          <w:tcPr/>
          <w:p>
            <w:pPr>
              <w:pStyle w:val="Compact"/>
              <w:jc w:val="right"/>
            </w:pPr>
            <w:r>
              <w:t xml:space="preserve">0.5x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0.0447</w:t>
            </w:r>
          </w:p>
        </w:tc>
        <w:tc>
          <w:tcPr/>
          <w:p>
            <w:pPr>
              <w:pStyle w:val="Compact"/>
            </w:pPr>
            <w:r>
              <w:t xml:space="preserve">[0.0006, 0.1672]</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0.0614</w:t>
            </w:r>
          </w:p>
        </w:tc>
        <w:tc>
          <w:tcPr/>
          <w:p>
            <w:pPr>
              <w:pStyle w:val="Compact"/>
            </w:pPr>
            <w:r>
              <w:t xml:space="preserve">[0.0009, 0.1777]</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0.1194</w:t>
            </w:r>
          </w:p>
        </w:tc>
        <w:tc>
          <w:tcPr/>
          <w:p>
            <w:pPr>
              <w:pStyle w:val="Compact"/>
            </w:pPr>
            <w:r>
              <w:t xml:space="preserve">[0.0033, 0.1806]</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0.1386</w:t>
            </w:r>
          </w:p>
        </w:tc>
        <w:tc>
          <w:tcPr/>
          <w:p>
            <w:pPr>
              <w:pStyle w:val="Compact"/>
            </w:pPr>
            <w:r>
              <w:t xml:space="preserve">[0.0361, 0.1896]</w:t>
            </w:r>
          </w:p>
        </w:tc>
        <w:tc>
          <w:tcPr/>
          <w:p>
            <w:pPr>
              <w:pStyle w:val="Compact"/>
              <w:jc w:val="right"/>
            </w:pPr>
            <w:r>
              <w:t xml:space="preserve">0.0x</w:t>
            </w:r>
          </w:p>
        </w:tc>
        <w:tc>
          <w:tcPr/>
          <w:p>
            <w:pPr>
              <w:pStyle w:val="Compact"/>
              <w:jc w:val="center"/>
            </w:pPr>
            <w:r>
              <w:t xml:space="preserve">broken</w:t>
            </w:r>
          </w:p>
        </w:tc>
      </w:tr>
    </w:tbl>
    <w:p>
      <w:pPr>
        <w:pStyle w:val="BodyText"/>
      </w:pPr>
      <w:r>
        <w:t xml:space="preserve">The geography runs vary the distance metric, the interaction length and the</w:t>
      </w:r>
      <w:r>
        <w:t xml:space="preserve"> </w:t>
      </w:r>
      <w:r>
        <w:rPr>
          <w:i/>
          <w:iCs/>
        </w:rPr>
        <w:t xml:space="preserve">form</w:t>
      </w:r>
      <w:r>
        <w:t xml:space="preserve"> </w:t>
      </w:r>
      <w:r>
        <w:t xml:space="preserve">of the decay, since an exponential fall-off is an assumption rather than a measurement. A Gaussian decay isolates distant sites about eleven times more than an exponential at the same length and narrows the shortfall to 1.5 but breaks the diversity match; the best diversity-matched setting, a straight-line exponential decay at 6 km, reaches 2.1. No metric, length or decay shape moves the median by more than a few thousandths on this set. A power-law decay, with its heavier tail, is no better anywhere.</w:t>
      </w:r>
    </w:p>
    <w:p>
      <w:pPr>
        <w:pStyle w:val="BodyText"/>
      </w:pPr>
      <w:r>
        <w:t xml:space="preserve">Group innovation profiles are random partial permutations of the regional profile, with the strength setting the fraction of classes permuted. A permutation holds the multiset of frequencies exactly, so every group keeps the same richness and the same within-profile diversity and differs only in which classes it favors. Using each group’s observed profile instead would guarantee the result by construction, and two earlier constructions were discarded for confounding the boundary with something else. A Dirichlet perturbation made profiles sparser as well as different, dropping mean richness from 5.31 to 3.48, and a mixture of the regional profile with a permuted copy flattened it, raising diversity well above the observed value.</w:t>
      </w:r>
    </w:p>
    <w:p>
      <w:pPr>
        <w:pStyle w:val="BodyText"/>
      </w:pPr>
      <w:r>
        <w:t xml:space="preserve">The individual realizations are widely spread, so the agreement at strengths of 0.2 to 0.25 is between the model’s central tendency and the observation rather than between tight distributions. It identifies a mechanism the record is consistent with, not one it demonstrates. The mechanism is neutral drift in which new styles arise locally rather than region-wide, not a process of a different kind.</w:t>
      </w:r>
    </w:p>
    <w:p>
      <w:pPr>
        <w:pStyle w:val="BodyText"/>
      </w:pPr>
      <w:r>
        <w:t xml:space="preserve">The transport-geography, accumulation-span and innovation-boundary sweeps were also run on the southeast-Missouri assemblages. That set is not adequate for the test, for reasons of class composition set out in the final section of this text, and the way its behavior under these three exposes the problem is reported there rather than here.</w:t>
      </w:r>
    </w:p>
    <w:bookmarkEnd w:id="132"/>
    <w:bookmarkStart w:id="137"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test, which this record cannot resolve, is reported in the code for completeness. The two we rely on are dynamically and empirically sufficient, because each models change between states while respecting the record’s time-averaged resolution.</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is concentrated near neutral, with mean</w:t>
      </w:r>
      <w:r>
        <w:t xml:space="preserve"> </w:t>
      </w:r>
      <m:oMath>
        <m:r>
          <m:t>b</m:t>
        </m:r>
        <m:r>
          <m:rPr>
            <m:sty m:val="p"/>
          </m:rPr>
          <m:t>=</m:t>
        </m:r>
        <m:r>
          <m:rPr>
            <m:sty m:val="p"/>
          </m:rPr>
          <m:t>+</m:t>
        </m:r>
        <m:r>
          <m:t>0.003</m:t>
        </m:r>
      </m:oMath>
      <w:r>
        <w:t xml:space="preserve"> </w:t>
      </w:r>
      <w:r>
        <w:t xml:space="preserve">and a 95 percent interval of</w:t>
      </w:r>
      <w:r>
        <w:t xml:space="preserve"> </w:t>
      </w:r>
      <m:oMath>
        <m:r>
          <m:rPr>
            <m:sty m:val="p"/>
          </m:rPr>
          <m:t>−</m:t>
        </m:r>
        <m:r>
          <m:t>0.035</m:t>
        </m:r>
      </m:oMath>
      <w:r>
        <w:t xml:space="preserve"> </w:t>
      </w:r>
      <w:r>
        <w:t xml:space="preserve">to</w:t>
      </w:r>
      <w:r>
        <w:t xml:space="preserve"> </w:t>
      </w:r>
      <m:oMath>
        <m:r>
          <m:rPr>
            <m:sty m:val="p"/>
          </m:rPr>
          <m:t>+</m:t>
        </m:r>
        <m:r>
          <m:t>0.039</m:t>
        </m:r>
      </m:oMath>
      <w:r>
        <w:t xml:space="preserve"> </w:t>
      </w:r>
      <w:r>
        <w:t xml:space="preserve">that includes zero in the primary run, and means of</w:t>
      </w:r>
      <w:r>
        <w:t xml:space="preserve"> </w:t>
      </w:r>
      <m:oMath>
        <m:r>
          <m:rPr>
            <m:sty m:val="p"/>
          </m:rPr>
          <m:t>+</m:t>
        </m:r>
        <m:r>
          <m:t>0.001</m:t>
        </m:r>
      </m:oMath>
      <w:r>
        <w:t xml:space="preserve"> </w:t>
      </w:r>
      <w:r>
        <w:t xml:space="preserve">to</w:t>
      </w:r>
      <w:r>
        <w:t xml:space="preserve"> </w:t>
      </w:r>
      <m:oMath>
        <m:r>
          <m:rPr>
            <m:sty m:val="p"/>
          </m:rPr>
          <m:t>+</m:t>
        </m:r>
        <m:r>
          <m:t>0.004</m:t>
        </m:r>
      </m:oMath>
      <w:r>
        <w:t xml:space="preserve"> </w:t>
      </w:r>
      <w:r>
        <w:t xml:space="preserve">across five independent runs of the sampler (Figure S5A). The posterior standard deviation is 0.017 against a prior of 0.289, so the data strongly constrain the bias rather than leaving it at the prior. Any conformist lean is weak and unresolved.</w:t>
      </w:r>
      <w:r>
        <w:t xml:space="preserve"> </w:t>
      </w:r>
      <m:oMath>
        <m:r>
          <m:t>P</m:t>
        </m:r>
        <m:r>
          <m:rPr>
            <m:sty m:val="p"/>
          </m:rPr>
          <m:t>(</m:t>
        </m:r>
        <m:r>
          <m:t>b</m:t>
        </m:r>
        <m:r>
          <m:rPr>
            <m:sty m:val="p"/>
          </m:rPr>
          <m:t>&gt;</m:t>
        </m:r>
        <m:r>
          <m:t>0</m:t>
        </m:r>
        <m:r>
          <m:rPr>
            <m:sty m:val="p"/>
          </m:rPr>
          <m:t>)</m:t>
        </m:r>
        <m:r>
          <m:rPr>
            <m:sty m:val="p"/>
          </m:rPr>
          <m:t>=</m:t>
        </m:r>
        <m:r>
          <m:t>0.62</m:t>
        </m:r>
      </m:oMath>
      <w:r>
        <w:t xml:space="preserve"> </w:t>
      </w:r>
      <w:r>
        <w:t xml:space="preserve">in the primary run, and across the five runs it ranges from 0.53 to 0.63, so its direction is not stable to the precision a single run suggests. Refitting the bias separately to the early and late halves of the sequence recovers no shift between them. Taken at face value, the interval excludes a strong basin-wide conformist bias by modeling copying dynamics rather than a single static moment. Two caveats limit that interpretation. We develop both after the calibration results below. Because it fits the sequence as a single pooled population, it reflects aggregate conformity across the basin rather than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(Kolmogorov-Smirnov D = 0.088, p = 0.086, Figure S5B)</w:t>
      </w:r>
      <w:r>
        <w:t xml:space="preserve"> </w:t>
      </w:r>
      <w:r>
        <w:t xml:space="preserve">(Talts et al. 2018)</w:t>
      </w:r>
      <w:r>
        <w:t xml:space="preserve">. The posterior is concordant with an independent rejection-sampling fit of the same model (mean</w:t>
      </w:r>
      <w:r>
        <w:t xml:space="preserve"> </w:t>
      </w:r>
      <m:oMath>
        <m:r>
          <m:t>b</m:t>
        </m:r>
        <m:r>
          <m:rPr>
            <m:sty m:val="p"/>
          </m:rPr>
          <m:t>=</m:t>
        </m:r>
        <m:r>
          <m:rPr>
            <m:sty m:val="p"/>
          </m:rPr>
          <m:t>+</m:t>
        </m:r>
        <m:r>
          <m:t>0.019</m:t>
        </m:r>
      </m:oMath>
      <w:r>
        <w:t xml:space="preserve">, 95 percent interval</w:t>
      </w:r>
      <w:r>
        <w:t xml:space="preserve"> </w:t>
      </w:r>
      <m:oMath>
        <m:r>
          <m:rPr>
            <m:sty m:val="p"/>
          </m:rPr>
          <m:t>−</m:t>
        </m:r>
        <m:r>
          <m:t>0.062</m:t>
        </m:r>
      </m:oMath>
      <w:r>
        <w:t xml:space="preserve"> </w:t>
      </w:r>
      <w:r>
        <w:t xml:space="preserve">to</w:t>
      </w:r>
      <w:r>
        <w:t xml:space="preserve"> </w:t>
      </w:r>
      <m:oMath>
        <m:r>
          <m:rPr>
            <m:sty m:val="p"/>
          </m:rPr>
          <m:t>+</m:t>
        </m:r>
        <m:r>
          <m:t>0.054</m:t>
        </m:r>
      </m:oMath>
      <w:r>
        <w:t xml:space="preserve">, wider and also including zero). The supplementary code includes the full configuration, diagnostics, and software versions.</w:t>
      </w:r>
    </w:p>
    <w:p>
      <w:pPr>
        <w:pStyle w:val="BodyText"/>
      </w:pPr>
      <w:r>
        <w:t xml:space="preserve">The calibration battery also reports conditional coverage of the nominal 95 percent interval at nine fixed values of</w:t>
      </w:r>
      <w:r>
        <w:t xml:space="preserve"> </w:t>
      </w:r>
      <m:oMath>
        <m:r>
          <m:t>b</m:t>
        </m:r>
      </m:oMath>
      <w:r>
        <w:t xml:space="preserve">, with 20 simulated datasets each (Table S4). Coverage is adequate at most values but falls to 0.70 at</w:t>
      </w:r>
      <w:r>
        <w:t xml:space="preserve"> </w:t>
      </w:r>
      <m:oMath>
        <m:r>
          <m:t>b</m:t>
        </m:r>
        <m:r>
          <m:rPr>
            <m:sty m:val="p"/>
          </m:rPr>
          <m:t>=</m:t>
        </m:r>
        <m:r>
          <m:rPr>
            <m:sty m:val="p"/>
          </m:rPr>
          <m:t>+</m:t>
        </m:r>
        <m:r>
          <m:t>0.10</m:t>
        </m:r>
      </m:oMath>
      <w:r>
        <w:t xml:space="preserve"> </w:t>
      </w:r>
      <w:r>
        <w:t xml:space="preserve">and 0.80 at</w:t>
      </w:r>
      <w:r>
        <w:t xml:space="preserve"> </w:t>
      </w:r>
      <m:oMath>
        <m:r>
          <m:t>b</m:t>
        </m:r>
        <m:r>
          <m:rPr>
            <m:sty m:val="p"/>
          </m:rPr>
          <m:t>=</m:t>
        </m:r>
        <m:r>
          <m:rPr>
            <m:sty m:val="p"/>
          </m:rPr>
          <m:t>−</m:t>
        </m:r>
        <m:r>
          <m:t>0.10</m:t>
        </m:r>
      </m:oMath>
      <w:r>
        <w:t xml:space="preserve">, values that a prior-averaged rank check cannot diagnose. Two further limitations apply. The battery ran with 300 particles and five rounds, whereas the empirical fit used 800 particles and six rounds, so the calibration does not exactly test the empirical sampler configuration. And the synthetic observations in the battery are drawn from the same pooled-population simulator that is fitted, whereas the archaeological observations are spatially distributed assemblages pooled into six ordination bins. The battery therefore checks numerical inference under the assumed simulator, not whether that simulator represents the archaeological observation process. We accordingly treat the empirical interval as consistent with weak or absent basin-wide conformity, conditional on the pooled model, rather than as a demonstrated exclusion of strong conformity.</w:t>
      </w:r>
    </w:p>
    <w:p>
      <w:pPr>
        <w:pStyle w:val="BodyText"/>
      </w:pPr>
      <w:r>
        <w:rPr>
          <w:b/>
          <w:bCs/>
        </w:rPr>
        <w:t xml:space="preserve">Table S4.</w:t>
      </w:r>
      <w:r>
        <w:t xml:space="preserve"> </w:t>
      </w:r>
      <w:r>
        <w:t xml:space="preserve">Conditional coverage of the nominal 95 percent posterior interval for the transmission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0.95</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0.85</w:t>
            </w:r>
          </w:p>
        </w:tc>
        <w:tc>
          <w:tcPr/>
          <w:p>
            <w:pPr>
              <w:pStyle w:val="Compact"/>
              <w:jc w:val="right"/>
            </w:pPr>
            <w:r>
              <w:t xml:space="preserve">0.32</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0.37</w:t>
            </w:r>
          </w:p>
        </w:tc>
      </w:tr>
      <w:tr>
        <w:tc>
          <w:tcPr/>
          <w:p>
            <w:pPr>
              <w:pStyle w:val="Compact"/>
              <w:jc w:val="right"/>
            </w:pPr>
            <w:r>
              <w:t xml:space="preserve">0.00</w:t>
            </w:r>
          </w:p>
        </w:tc>
        <w:tc>
          <w:tcPr/>
          <w:p>
            <w:pPr>
              <w:pStyle w:val="Compact"/>
              <w:jc w:val="right"/>
            </w:pPr>
            <w:r>
              <w:t xml:space="preserve">0.95</w:t>
            </w:r>
          </w:p>
        </w:tc>
        <w:tc>
          <w:tcPr/>
          <w:p>
            <w:pPr>
              <w:pStyle w:val="Compact"/>
              <w:jc w:val="right"/>
            </w:pPr>
            <w:r>
              <w:t xml:space="preserve">0.25</w:t>
            </w:r>
          </w:p>
        </w:tc>
      </w:tr>
      <w:tr>
        <w:tc>
          <w:tcPr/>
          <w:p>
            <w:pPr>
              <w:pStyle w:val="Compact"/>
              <w:jc w:val="right"/>
            </w:pPr>
            <w:r>
              <w:t xml:space="preserve">+0.10</w:t>
            </w:r>
          </w:p>
        </w:tc>
        <w:tc>
          <w:tcPr/>
          <w:p>
            <w:pPr>
              <w:pStyle w:val="Compact"/>
              <w:jc w:val="right"/>
            </w:pPr>
            <w:r>
              <w:t xml:space="preserve">0.70</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0.95</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0.85</w:t>
            </w:r>
          </w:p>
        </w:tc>
        <w:tc>
          <w:tcPr/>
          <w:p>
            <w:pPr>
              <w:pStyle w:val="Compact"/>
              <w:jc w:val="right"/>
            </w:pPr>
            <w:r>
              <w:t xml:space="preserve">0.36</w:t>
            </w:r>
          </w:p>
        </w:tc>
      </w:tr>
    </w:tbl>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Rather than select among the four, we fit the model that nests them and report the two parameters that distinguish them, since unbiased motion, stasis and mean reversion are regions of one parameter space (unbiased motion as the mean-reversion rate approaches zero, stasis as it grows large). Binned along the radiocarbon-oriented axis, decorated-class diversity runs from 0.666 in the earliest bin through 0.734 to 0.460 in the latest, falling over the later half of the sequence. The mean-reversion rate has a posterior median of 0.77 with a 95 percent credible interval of 0.05 to 10.7, spanning the unbiased and stasis limits and so unresolved. The directional drift leans negative but is not resolved, with a median of -0.061 and an interval of -0.154 to +0.035, with P(drift &gt; 0) = 0.071. On the matrix used in an earlier draft, which counted one class twice, the drift was resolved and negative; on the corrected counts the interval reaches zero, and the decline is a tendency of the sequence rather than an established feature of it. Either way it is not a departure from neutrality. Drift in a finite population loses variants, and the posterior predictive check above, which draws its effective population size and innovation rate from the transmission posterior rather than fixing them, reproduces the observed trajectory in all six bins. What the two results say jointly is that diversity tends to decline, and that a neutral process of the estimated size and innovation rate is sufficient to produce that tendency. Because the sequence has only six points, the reversion rate and the drift remain partly confounded, since relaxation toward a lower optimum can imitate sustained directional loss. Reporting a single winning time-series model would have concealed both the confound and the resolved direction. This result is a concordance rather than a decisive selection (Figure S5C).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578297"/>
            <wp:effectExtent b="0" l="0" r="0" t="0"/>
            <wp:docPr descr="Figure S5.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7, interval 0.05 to 10.7, spanning the unbiased-walk and stasis limits). The directional drift leans negative but its interval reaches zero (median -0.062, interval -0.164 to +0.029)." title="" id="134" name="Picture"/>
            <a:graphic>
              <a:graphicData uri="http://schemas.openxmlformats.org/drawingml/2006/picture">
                <pic:pic>
                  <pic:nvPicPr>
                    <pic:cNvPr descr="../../figures/figS5_dynamic.png" id="135" name="Picture"/>
                    <pic:cNvPicPr>
                      <a:picLocks noChangeArrowheads="1" noChangeAspect="1"/>
                    </pic:cNvPicPr>
                  </pic:nvPicPr>
                  <pic:blipFill>
                    <a:blip r:embed="rId133"/>
                    <a:stretch>
                      <a:fillRect/>
                    </a:stretch>
                  </pic:blipFill>
                  <pic:spPr bwMode="auto">
                    <a:xfrm>
                      <a:off x="0" y="0"/>
                      <a:ext cx="5334000" cy="2578297"/>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0.77, interval 0.05 to 10.7, spanning the unbiased-walk and stasis limits). The directional drift leans negative but its interval reaches zero (median -0.062, interval -0.164 to +0.029).</w:t>
      </w:r>
    </w:p>
    <w:p>
      <w:pPr>
        <w:pStyle w:val="BodyText"/>
      </w:pPr>
      <w:r>
        <w:t xml:space="preserve">A third test, for the early-warning signature of a critical transition, is not resolvable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Start w:id="136" w:name="Xb43870ec0cd318bbce0bdff51a8c34784c31c80"/>
    <w:p>
      <w:pPr>
        <w:pStyle w:val="Heading3"/>
      </w:pPr>
      <w:r>
        <w:t xml:space="preserve">Further checks of neutrality along the sequence</w:t>
      </w:r>
    </w:p>
    <w:p>
      <w:pPr>
        <w:pStyle w:val="FirstParagraph"/>
      </w:pPr>
      <w:r>
        <w:t xml:space="preserve">The main text summarizes three further checks. Their full statement follows.</w:t>
      </w:r>
    </w:p>
    <w:p>
      <w:pPr>
        <w:pStyle w:val="BodyText"/>
      </w:pPr>
      <w:r>
        <w:t xml:space="preserve">Three further checks add detail. The first follows each decorated class as it rises and falls through the sequence and asks whether those changes look like the undirected fluctuation of unbiased copying, which is what neutral drift produces, or like the directed change a deliberate marker would show. Rather than testing each class separately, we fit the rescaled increments of all nine testable classes in one hierarchical model with partial pooling, following the frequency increment construction</w:t>
      </w:r>
      <w:r>
        <w:t xml:space="preserve"> </w:t>
      </w:r>
      <w:r>
        <w:t xml:space="preserve">(Feder et al. 2014)</w:t>
      </w:r>
      <w:r>
        <w:t xml:space="preserve">. The population-level departure from drift has a posterior median of +0.008 with a 95 percent credible interval of -0.035 to +0.059, where unbiased drift implies zero. Individual classes are not resolved. A class simulated with a substantial true departure is recovered at about a third of its size with an interval spanning zero, so forty increments across nine classes can support the aggregate statement but not a per-class one.</w:t>
      </w:r>
    </w:p>
    <w:p>
      <w:pPr>
        <w:pStyle w:val="BodyText"/>
      </w:pPr>
      <w:r>
        <w:t xml:space="preserve">The second check asks whether a neutral model reproduces the observed diversity trajectory, in the spirit of the non-equilibrium neutrality test</w:t>
      </w:r>
      <w:r>
        <w:t xml:space="preserve"> </w:t>
      </w:r>
      <w:r>
        <w:t xml:space="preserve">(Kandler and Shennan 2013)</w:t>
      </w:r>
      <w:r>
        <w:t xml:space="preserve">. Rather than sweeping the effective population size over fixed values, we draw it and the innovation rate from the transmission posterior and compare the observed trajectory with the resulting posterior predictive distribution, the range of trajectories the fitted model expects to see. The observed diversity falls inside the 95 percent predictive interval in all six bins, and it does so under each of the five sampler seeds taken separately. The pooled Bayesian predictive p is 0.71 and ranges from 0.54 to 0.87 across those seeds, so the check establishes that the observed trajectory is unremarkable under a neutral model rather than any particular value of p. A neutral model is adequate for this trajectory. That is concordance, not a demonstration that transmission was neutral. The predictive interval is wide because the effective population size is itself uncertain.</w:t>
      </w:r>
    </w:p>
    <w:p>
      <w:pPr>
        <w:pStyle w:val="BodyText"/>
      </w:pPr>
      <w:r>
        <w:t xml:space="preserve">The third check asks whether the assemblages grow more different from one another toward contact, as fragmenting groups would. Neiman’s interassemblage distance shows no resolved divergence trend along the sequence. The posterior for the rank correlation between mean within-bin pairwise distance and seriation position has a median of +0.26 with a 95 percent credible interval of -0.41 to +0.71 across the six bins, so the direction of any trend is unresolved rather than shown to be absent. Typical differences between spatial clusters are barely larger than differences within them, a ratio of 1.13. The most diverse assemblages are also the most central, which is the pattern a single shared community produces (Figure S1)</w:t>
      </w:r>
      <w:r>
        <w:t xml:space="preserve"> </w:t>
      </w:r>
      <w:r>
        <w:t xml:space="preserve">(Neiman 1995)</w:t>
      </w:r>
      <w:r>
        <w:t xml:space="preserve">.</w:t>
      </w:r>
    </w:p>
    <w:bookmarkEnd w:id="136"/>
    <w:bookmarkEnd w:id="137"/>
    <w:bookmarkStart w:id="138" w:name="Xd18f3ef1ef0d58d515d11f4a79faaaefa43ab3e"/>
    <w:p>
      <w:pPr>
        <w:pStyle w:val="Heading2"/>
      </w:pPr>
      <w:r>
        <w:t xml:space="preserve">What recovers the phase scheme, and the zero problem behind it</w:t>
      </w:r>
    </w:p>
    <w:p>
      <w:pPr>
        <w:pStyle w:val="FirstParagraph"/>
      </w:pPr>
      <w:r>
        <w:t xml:space="preserve">Assemblages are clustered in a joint feature space: site coordinates in kilometers, centered and scaled so the mean squared pairwise distance is one, concatenated with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the pottery alone. Each clustering is compared with Mainfort’s published phase assignments by the adjusted Rand index. Three composition transforms, three clustering algorithms (k-means over 40 initializations, Ward linkage, average linkage), and nine weights are run; the full grid is in</w:t>
      </w:r>
      <w:r>
        <w:t xml:space="preserve"> </w:t>
      </w:r>
      <w:r>
        <w:rPr>
          <w:rStyle w:val="VerbatimChar"/>
        </w:rPr>
        <w:t xml:space="preserve">output/findings/phase_recovery.csv</w:t>
      </w:r>
      <w:r>
        <w:t xml:space="preserve">.</w:t>
      </w:r>
    </w:p>
    <w:p>
      <w:pPr>
        <w:pStyle w:val="BodyText"/>
      </w:pPr>
      <w:r>
        <w:t xml:space="preserve">Three of the 28 assemblages carry a phase this study derived by territory, which is a geographic rule. Scoring geography against those labels would be scoring geography against itself, so every value quoted in the main text is computed on the 25 assemblages Mainfort assigned.</w:t>
      </w:r>
    </w:p>
    <w:p>
      <w:pPr>
        <w:pStyle w:val="BodyText"/>
      </w:pPr>
      <w:r>
        <w:t xml:space="preserve">Class proportions are compositional data, and a Euclidean distance on raw proportions is not the appropriate metric for them. The centered log-ratio transform is the principled alternative, and it cannot be applied here without a decision that turns out to carry the result. Of the 280 cells in the basin matrix, 105 are zero, and the log-ratio of a zero is undefined. Replacing zeros with a fraction of the smallest positive proportion lets that fraction set how strongly absence is amplified, and the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are the same data, the same geography and the same weight (</w:t>
      </w:r>
      <m:oMath>
        <m:r>
          <m:t>w</m:t>
        </m:r>
        <m:r>
          <m:rPr>
            <m:sty m:val="p"/>
          </m:rPr>
          <m:t>=</m:t>
        </m:r>
        <m:r>
          <m:t>0.5</m:t>
        </m:r>
      </m:oMath>
      <w:r>
        <w:t xml:space="preserve">); only the convention differs, and it moves the answer by a quarter of the index’s range. A log-ratio figure quoted without its convention is therefore not a measurement of the record. We report the chi-square transform in the main text because it requires no such choice, and we use a pseudocount rather than a floor wherever the log-ratio transform appears, since a pseudocount has no comparable free limit. This is also a caution about the phases themselves: a classification sensitive to which types are absent, applied to assemblages that differ ninety-sixfold in sherd count, will read sampling failure as cultural difference.</w:t>
      </w:r>
    </w:p>
    <w:bookmarkEnd w:id="138"/>
    <w:bookmarkStart w:id="139" w:name="the-replication-on-mainforts-2003-table"/>
    <w:p>
      <w:pPr>
        <w:pStyle w:val="Heading2"/>
      </w:pPr>
      <w:r>
        <w:t xml:space="preserve">The replication on Mainfort’s (2003) table</w:t>
      </w:r>
    </w:p>
    <w:p>
      <w:pPr>
        <w:pStyle w:val="FirstParagraph"/>
      </w:pPr>
      <w:r>
        <w:t xml:space="preserve">Mainfort’s Table 1 gives counts of ten decorated types for 39 sites of 800 or more sherds in all. His ten types map onto the analysis classes as follows: Barton Incised and Kent Incised pool into the class that also holds Mound Place Incised, and Old Town Red and Nodena Red and White into the painted class; he does not tally Wallace Incised or Hull Engraved, which are carried as zeros so the class vocabulary matches the primary analysis. Coordinates come from his own site list where it has them (34 sites), from this project’s assemblage file for four, and from the settlement compilation for Sweat; each row of</w:t>
      </w:r>
      <w:r>
        <w:t xml:space="preserve"> </w:t>
      </w:r>
      <w:r>
        <w:rPr>
          <w:rStyle w:val="VerbatimChar"/>
        </w:rPr>
        <w:t xml:space="preserve">data/processed/mainfort2003_sites.csv</w:t>
      </w:r>
      <w:r>
        <w:t xml:space="preserve"> </w:t>
      </w:r>
      <w:r>
        <w:t xml:space="preserve">names its source. The analysis uses decorated types only and sites with at least 100 decorated sherds, stricter than the primary analysis’s 75 because a replication should not be the looser test; nine of his 39 sites fall under it, and Tipton’s one survivor,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with his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weight on composition</w:t>
            </w:r>
          </w:p>
        </w:tc>
        <w:tc>
          <w:tcPr/>
          <w:p>
            <w:pPr>
              <w:pStyle w:val="Compact"/>
            </w:pPr>
            <w:r>
              <w:t xml:space="preserve">agreement with his phases (ARI, median over 40 initializations)</w:t>
            </w:r>
          </w:p>
        </w:tc>
        <w:tc>
          <w:tcPr/>
          <w:p>
            <w:pPr>
              <w:pStyle w:val="Compact"/>
            </w:pPr>
            <w:r>
              <w:t xml:space="preserve">range</w:t>
            </w:r>
          </w:p>
        </w:tc>
      </w:tr>
      <w:tr>
        <w:tc>
          <w:tcPr/>
          <w:p>
            <w:pPr>
              <w:pStyle w:val="Compact"/>
            </w:pPr>
            <w:r>
              <w:t xml:space="preserve">map alone</w:t>
            </w:r>
          </w:p>
        </w:tc>
        <w:tc>
          <w:tcPr/>
          <w:p>
            <w:pPr>
              <w:pStyle w:val="Compact"/>
            </w:pPr>
            <w:r>
              <w:t xml:space="preserve">0.514</w:t>
            </w:r>
          </w:p>
        </w:tc>
        <w:tc>
          <w:tcPr/>
          <w:p>
            <w:pPr>
              <w:pStyle w:val="Compact"/>
            </w:pPr>
            <w:r>
              <w:t xml:space="preserve">0.514 to 0.574</w:t>
            </w:r>
          </w:p>
        </w:tc>
      </w:tr>
      <w:tr>
        <w:tc>
          <w:tcPr/>
          <w:p>
            <w:pPr>
              <w:pStyle w:val="Compact"/>
            </w:pPr>
            <w:r>
              <w:t xml:space="preserve">0.1</w:t>
            </w:r>
          </w:p>
        </w:tc>
        <w:tc>
          <w:tcPr/>
          <w:p>
            <w:pPr>
              <w:pStyle w:val="Compact"/>
            </w:pPr>
            <w:r>
              <w:t xml:space="preserve">0.514</w:t>
            </w:r>
          </w:p>
        </w:tc>
        <w:tc>
          <w:tcPr/>
          <w:p>
            <w:pPr>
              <w:pStyle w:val="Compact"/>
            </w:pPr>
            <w:r>
              <w:t xml:space="preserve">0.503 to 0.597</w:t>
            </w:r>
          </w:p>
        </w:tc>
      </w:tr>
      <w:tr>
        <w:tc>
          <w:tcPr/>
          <w:p>
            <w:pPr>
              <w:pStyle w:val="Compact"/>
            </w:pPr>
            <w:r>
              <w:t xml:space="preserve">0.25</w:t>
            </w:r>
          </w:p>
        </w:tc>
        <w:tc>
          <w:tcPr/>
          <w:p>
            <w:pPr>
              <w:pStyle w:val="Compact"/>
            </w:pPr>
            <w:r>
              <w:t xml:space="preserve">0.514</w:t>
            </w:r>
          </w:p>
        </w:tc>
        <w:tc>
          <w:tcPr/>
          <w:p>
            <w:pPr>
              <w:pStyle w:val="Compact"/>
            </w:pPr>
            <w:r>
              <w:t xml:space="preserve">0.503 to 0.597</w:t>
            </w:r>
          </w:p>
        </w:tc>
      </w:tr>
      <w:tr>
        <w:tc>
          <w:tcPr/>
          <w:p>
            <w:pPr>
              <w:pStyle w:val="Compact"/>
            </w:pPr>
            <w:r>
              <w:t xml:space="preserve">0.5</w:t>
            </w:r>
          </w:p>
        </w:tc>
        <w:tc>
          <w:tcPr/>
          <w:p>
            <w:pPr>
              <w:pStyle w:val="Compact"/>
            </w:pPr>
            <w:r>
              <w:t xml:space="preserve">0.605</w:t>
            </w:r>
          </w:p>
        </w:tc>
        <w:tc>
          <w:tcPr/>
          <w:p>
            <w:pPr>
              <w:pStyle w:val="Compact"/>
            </w:pPr>
            <w:r>
              <w:t xml:space="preserve">0.509 to 0.664</w:t>
            </w:r>
          </w:p>
        </w:tc>
      </w:tr>
      <w:tr>
        <w:tc>
          <w:tcPr/>
          <w:p>
            <w:pPr>
              <w:pStyle w:val="Compact"/>
            </w:pPr>
            <w:r>
              <w:t xml:space="preserve">1</w:t>
            </w:r>
          </w:p>
        </w:tc>
        <w:tc>
          <w:tcPr/>
          <w:p>
            <w:pPr>
              <w:pStyle w:val="Compact"/>
            </w:pPr>
            <w:r>
              <w:t xml:space="preserve">0.493</w:t>
            </w:r>
          </w:p>
        </w:tc>
        <w:tc>
          <w:tcPr/>
          <w:p>
            <w:pPr>
              <w:pStyle w:val="Compact"/>
            </w:pPr>
            <w:r>
              <w:t xml:space="preserve">0.421 to 0.664</w:t>
            </w:r>
          </w:p>
        </w:tc>
      </w:tr>
      <w:tr>
        <w:tc>
          <w:tcPr/>
          <w:p>
            <w:pPr>
              <w:pStyle w:val="Compact"/>
            </w:pPr>
            <w:r>
              <w:t xml:space="preserve">2</w:t>
            </w:r>
          </w:p>
        </w:tc>
        <w:tc>
          <w:tcPr/>
          <w:p>
            <w:pPr>
              <w:pStyle w:val="Compact"/>
            </w:pPr>
            <w:r>
              <w:t xml:space="preserve">0.483</w:t>
            </w:r>
          </w:p>
        </w:tc>
        <w:tc>
          <w:tcPr/>
          <w:p>
            <w:pPr>
              <w:pStyle w:val="Compact"/>
            </w:pPr>
            <w:r>
              <w:t xml:space="preserve">0.328 to 0.509</w:t>
            </w:r>
          </w:p>
        </w:tc>
      </w:tr>
      <w:tr>
        <w:tc>
          <w:tcPr/>
          <w:p>
            <w:pPr>
              <w:pStyle w:val="Compact"/>
            </w:pPr>
            <w:r>
              <w:t xml:space="preserve">pottery alone</w:t>
            </w:r>
          </w:p>
        </w:tc>
        <w:tc>
          <w:tcPr/>
          <w:p>
            <w:pPr>
              <w:pStyle w:val="Compact"/>
            </w:pPr>
            <w:r>
              <w:t xml:space="preserve">0.248</w:t>
            </w:r>
          </w:p>
        </w:tc>
        <w:tc>
          <w:tcPr/>
          <w:p>
            <w:pPr>
              <w:pStyle w:val="Compact"/>
            </w:pPr>
            <w:r>
              <w:t xml:space="preserve">0.146 to 0.449</w:t>
            </w:r>
          </w:p>
        </w:tc>
      </w:tr>
      <w:tr>
        <w:tc>
          <w:tcPr/>
          <w:p>
            <w:pPr>
              <w:pStyle w:val="Compact"/>
            </w:pPr>
            <w:r>
              <w:t xml:space="preserve">same sizes, boundaries at random (400 draws)</w:t>
            </w:r>
          </w:p>
        </w:tc>
        <w:tc>
          <w:tcPr/>
          <w:p>
            <w:pPr>
              <w:pStyle w:val="Compact"/>
            </w:pPr>
            <w:r>
              <w:t xml:space="preserve">0.291</w:t>
            </w:r>
          </w:p>
        </w:tc>
        <w:tc>
          <w:tcPr/>
          <w:p>
            <w:pPr>
              <w:pStyle w:val="Compact"/>
            </w:pPr>
          </w:p>
        </w:tc>
      </w:tr>
    </w:tbl>
    <w:p>
      <w:pPr>
        <w:pStyle w:val="BodyText"/>
      </w:pPr>
      <w:r>
        <w:t xml:space="preserve">Under his phases the cultural</w:t>
      </w:r>
      <w:r>
        <w:t xml:space="preserve"> </w:t>
      </w:r>
      <m:oMath>
        <m:sSub>
          <m:e>
            <m:r>
              <m:t>F</m:t>
            </m:r>
          </m:e>
          <m:sub>
            <m:r>
              <m:t>S</m:t>
            </m:r>
            <m:r>
              <m:t>T</m:t>
            </m:r>
          </m:sub>
        </m:sSub>
      </m:oMath>
      <w:r>
        <w:t xml:space="preserve"> </w:t>
      </w:r>
      <w:r>
        <w:t xml:space="preserve">is 0.0470. Against 1,000 partitions carrying his group sizes with seeds placed at random, median 0.0274, it sits at the 100th percentile; against 1,000 drawn to be spatially compact, median 0.0285, at the 99th. The compactness search returned his partition in none of 1,000 restarts.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21</w:t>
            </w:r>
          </w:p>
        </w:tc>
        <w:tc>
          <w:tcPr/>
          <w:p>
            <w:pPr>
              <w:pStyle w:val="Compact"/>
            </w:pPr>
            <w:r>
              <w:t xml:space="preserve">0.713</w:t>
            </w:r>
          </w:p>
        </w:tc>
        <w:tc>
          <w:tcPr/>
          <w:p>
            <w:pPr>
              <w:pStyle w:val="Compact"/>
            </w:pPr>
            <w:r>
              <w:t xml:space="preserve">17</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22</w:t>
            </w:r>
          </w:p>
        </w:tc>
        <w:tc>
          <w:tcPr/>
          <w:p>
            <w:pPr>
              <w:pStyle w:val="Compact"/>
            </w:pPr>
            <w:r>
              <w:t xml:space="preserve">0.677</w:t>
            </w:r>
          </w:p>
        </w:tc>
        <w:tc>
          <w:tcPr/>
          <w:p>
            <w:pPr>
              <w:pStyle w:val="Compact"/>
            </w:pPr>
            <w:r>
              <w:t xml:space="preserve">31</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13</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19</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16</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centroid. Two caveats govern the reading. His counts equal the survey’s at 11 of the 21 shared sites and exceed them at ten, so for those sites this is a second sampling of the same collections; only the western Tennessee sites, from Tennessee Division of Archaeology collections, are material the survey never had. And the drift comparison is not repeated, because the model is calibrated to the primary matrix and recalibrating it to his would be a separate study.</w:t>
      </w:r>
    </w:p>
    <w:bookmarkEnd w:id="139"/>
    <w:bookmarkStart w:id="143"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St. Francis Basin Parkin-phase sites, nineteen of them from Parkin. The summed probability distribution of the basin dates concentrates the occupation in the fourteenth to sixteenth centuries, with a median of AD 1428 (Parkin alone, AD 1483). It declines across the contact interval. Twenty-nine percent of the basin probability mass postdates AD 1541 and 18 percent postdates AD 1600 (Figure S6).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giving Spearman’s r = +0.70 (n = 5, 27 dates pooled), with four sites in calendar order and one late-dated site, Clay Hill, departing from it. The orientation of the axis toward later time is supported but not certain, and we treat directional statements as provisional throughout. The basin chronology is stable under an alternative compilation. Augmenting the Mainfort determinations with the net-new Mississippian dates in the broader lower-valley radiocarbon database compiled by Jeffrey Alvey (personal communication, 2022), twelve determinations concentrated at Hazel and Upper Nodena, shifts the summed-probability median by only eight years, to AD 1436. The contact-truncation pattern and the CA1-calendar correlation are unchanged (Spearman +0.70). Recent AMS re-dating of the Parkin platform-mound post, interpreted as the base of the cross the De Soto expedition raised at Casqui, independently places it at cal AD 1445 to 1650</w:t>
      </w:r>
      <w:r>
        <w:t xml:space="preserve"> </w:t>
      </w:r>
      <w:r>
        <w:t xml:space="preserve">(Mitchem 2017)</w:t>
      </w:r>
      <w:r>
        <w:t xml:space="preserve">, consistent with the terminal occupation inferred here. The individual determinations used in the basin chronology, with lab numbers, ages, calibrated medians, and sources, are listed in the supplemental data file</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6.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141" name="Picture"/>
            <a:graphic>
              <a:graphicData uri="http://schemas.openxmlformats.org/drawingml/2006/picture">
                <pic:pic>
                  <pic:nvPicPr>
                    <pic:cNvPr descr="../../figures/figS6_chronology.png" id="142" name="Picture"/>
                    <pic:cNvPicPr>
                      <a:picLocks noChangeArrowheads="1" noChangeAspect="1"/>
                    </pic:cNvPicPr>
                  </pic:nvPicPr>
                  <pic:blipFill>
                    <a:blip r:embed="rId140"/>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143"/>
    <w:bookmarkStart w:id="155"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what happened when we tried to extend the test to a second one, and why that attempt does not appear there. The short answer is that the southeast-Missouri material is not adequate for the test at present, and not because its phases are sounder or weaker than the basin’s, but because its classes and its sample sizes measure something other than the stylistic transmission the criterion is built for. We report the attempt because a negative of this kind is useful to the next person who considers the same extension, and because it is the paper’s own empirical-sufficiency requirement applied to itself.</w:t>
      </w:r>
    </w:p>
    <w:bookmarkStart w:id="144"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on a survey independent of the Phillips-Ford-Griffin work, which makes it the obvious second case. We digitized his survey tables and georeferenced the sites through the Lower Mississippi Survey grid, which places his assemblages and the basin’s in one coordinate frame (Figure S7). Across the named physiographic regions the cultural</w:t>
      </w:r>
      <w:r>
        <w:t xml:space="preserve"> </w:t>
      </w:r>
      <m:oMath>
        <m:sSub>
          <m:e>
            <m:r>
              <m:t>F</m:t>
            </m:r>
          </m:e>
          <m:sub>
            <m:r>
              <m:t>S</m:t>
            </m:r>
            <m:r>
              <m:t>T</m:t>
            </m:r>
          </m:sub>
        </m:sSub>
      </m:oMath>
      <w:r>
        <w:t xml:space="preserve"> </w:t>
      </w:r>
      <w:r>
        <w:t xml:space="preserve">is 0.11, most of which is a Woodland-to-Mississippian composition gradient rather than synchronic social structure. Restricting the analysis to assemblages with at least 30 sherds in classes other than the designated Woodland classes, and to those classes, gives 39 assemblages from 24 coordinate locations over 42 classes and collapses the between-cluster</w:t>
      </w:r>
      <w:r>
        <w:t xml:space="preserve"> </w:t>
      </w:r>
      <m:oMath>
        <m:sSub>
          <m:e>
            <m:r>
              <m:t>F</m:t>
            </m:r>
          </m:e>
          <m:sub>
            <m:r>
              <m:t>S</m:t>
            </m:r>
            <m:r>
              <m:t>T</m:t>
            </m:r>
          </m:sub>
        </m:sSub>
      </m:oMath>
      <w:r>
        <w:t xml:space="preserve"> </w:t>
      </w:r>
      <w:r>
        <w:t xml:space="preserve">to 0.034 across four spatial clusters. Multiple assemblages from one location remain separate observation nodes, which already limits their independence.</w:t>
      </w:r>
    </w:p>
    <w:p>
      <w:pPr>
        <w:pStyle w:val="BodyText"/>
      </w:pPr>
      <w:r>
        <w:t xml:space="preserve">Run through the same calibrated comparison as the basin, that set behaves much as the basin does. The assemblages do not separate into bounded clusters on the ordination (Figure S8A and B). Ten combinations in the calibration series match the assemblages’ diversity under pooled-profile innovation on the screen and eight on the fifty-seed re-check, and at the matched combination most favorable to drift (120 learners, innovation 0.004, mixing 0.02, great-circle distance) the observed</w:t>
      </w:r>
      <w:r>
        <w:t xml:space="preserve"> </w:t>
      </w:r>
      <m:oMath>
        <m:sSub>
          <m:e>
            <m:r>
              <m:t>F</m:t>
            </m:r>
          </m:e>
          <m:sub>
            <m:r>
              <m:t>S</m:t>
            </m:r>
            <m:r>
              <m:t>T</m:t>
            </m:r>
          </m:sub>
        </m:sSub>
      </m:oMath>
      <w:r>
        <w:t xml:space="preserve"> </w:t>
      </w:r>
      <w:r>
        <w:t xml:space="preserve">lies inside the drift interval of 0.004 to 0.040 (median 0.012), reached by 4.6 percent of simulated datasets, 3.2 percent reversed and 5.4 percent contemporaneous. Uniform innovation fits at no combination and overpredicts the differentiation about two-and-a-half-fold at its nearest one (median 0.083). The bounded-groups process at multiplier 0.03 raises the median to 0.025 and reaches the observation in 30 percent of 30 realizations (Figure S8C). Taken at face value this looks like the basin’s result reached a second time, and it is the verdict Fox</w:t>
      </w:r>
      <w:r>
        <w:t xml:space="preserve"> </w:t>
      </w:r>
      <w:r>
        <w:t xml:space="preserve">(1998)</w:t>
      </w:r>
      <w:r>
        <w:t xml:space="preserve"> </w:t>
      </w:r>
      <w:r>
        <w:t xml:space="preserve">reached for these same phases by cluster analysis and ordination.</w:t>
      </w:r>
    </w:p>
    <w:bookmarkEnd w:id="144"/>
    <w:bookmarkStart w:id="145" w:name="why-we-do-not-report-it-as-a-result"/>
    <w:p>
      <w:pPr>
        <w:pStyle w:val="Heading3"/>
      </w:pPr>
      <w:r>
        <w:t xml:space="preserve">Why we do not report it as a result</w:t>
      </w:r>
    </w:p>
    <w:p>
      <w:pPr>
        <w:pStyle w:val="FirstParagraph"/>
      </w:pPr>
      <w:r>
        <w:t xml:space="preserve">Taking it at face value would be a mistake, for three reasons that only appear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runs on ten Phillips-Ford-Griffin decorated types and contains no plain ware at all. Plain wares are utility pottery, and the coarse-versus-fine paste distinction between Mississippi Plain and Bell Plain is a manufacturing and functional variable rather than a stylistic one. It is also where most of the differentiation lives. The plain component alone gives a between-cluster</w:t>
      </w:r>
      <w:r>
        <w:t xml:space="preserve"> </w:t>
      </w:r>
      <m:oMath>
        <m:sSub>
          <m:e>
            <m:r>
              <m:t>F</m:t>
            </m:r>
          </m:e>
          <m:sub>
            <m:r>
              <m:t>S</m:t>
            </m:r>
            <m:r>
              <m:t>T</m:t>
            </m:r>
          </m:sub>
        </m:sSub>
      </m:oMath>
      <w:r>
        <w:t xml:space="preserve"> </w:t>
      </w:r>
      <w:r>
        <w:t xml:space="preserve">of 0.065, and the Mississippi-versus-Bell ratio alone 0.076, both well above the 0.034 reported for the full set. A between-group difference in that variable is the signature Table 1 files under environmental patchiness, which the criterion explicitly cannot separate from bounded interaction on this evidence alone.</w:t>
      </w:r>
    </w:p>
    <w:p>
      <w:pPr>
        <w:pStyle w:val="BodyText"/>
      </w:pPr>
      <w:r>
        <w:rPr>
          <w:b/>
          <w:bCs/>
        </w:rPr>
        <w:t xml:space="preserve">The stylistic part is too small to test.</w:t>
      </w:r>
      <w:r>
        <w:t xml:space="preserve"> </w:t>
      </w:r>
      <w:r>
        <w:t xml:space="preserve">Only 883 sherds, 9.9 percent of the set, are non-plain, a median of 16 per assemblage spread across 38 classes. Applying the study’s own 30-sherd minimum to decorated material leaves 12 of the 39 assemblages. The basin set carries 27,924 decorated sherds, a median of 467 per assemblage across ten classes.</w:t>
      </w:r>
    </w:p>
    <w:p>
      <w:pPr>
        <w:pStyle w:val="BodyText"/>
      </w:pPr>
      <w:r>
        <w:rPr>
          <w:b/>
          <w:bCs/>
        </w:rPr>
        <w:t xml:space="preserve">What decorated material there is, is mostly surface film rather than design, and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patterning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between them, so rarity and spatial restriction are confounded and cannot be separated at this sample size.</w:t>
      </w:r>
    </w:p>
    <w:p>
      <w:pPr>
        <w:pStyle w:val="BodyText"/>
      </w:pPr>
      <w:r>
        <w:t xml:space="preserve">The non-plain subset does differentiate strongly (0.325), and that is not an artifact of small samples. Resampling every assemblage from the regional pooled profile at its own observed count gives a median of 0.003. But neither is it a clean measurement of style, for the two reasons just given. The honest statement is not that southeast Missouri is differentiated or undifferentiated. It is that the set cannot resolve the question the basin set is being asked.</w:t>
      </w:r>
    </w:p>
    <w:bookmarkEnd w:id="145"/>
    <w:bookmarkStart w:id="146"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Of the four assumptions relaxed above, the innovation boundary closes the difference in the basin with the diversity match intact. From a permuted fraction of 0 to 0.3 the median</w:t>
      </w:r>
      <w:r>
        <w:t xml:space="preserve"> </w:t>
      </w:r>
      <m:oMath>
        <m:sSub>
          <m:e>
            <m:r>
              <m:t>F</m:t>
            </m:r>
          </m:e>
          <m:sub>
            <m:r>
              <m:t>S</m:t>
            </m:r>
            <m:r>
              <m:t>T</m:t>
            </m:r>
          </m:sub>
        </m:sSub>
      </m:oMath>
      <w:r>
        <w:t xml:space="preserve"> </w:t>
      </w:r>
      <w:r>
        <w:t xml:space="preserve">rises from 0.0023 to 0.045, passing the observed 0.0062 between 0.2 and 0.25, and all three diversity summaries stay inside the tolerance until the fraction reaches 0.4 (1,200 realizations per cell,</w:t>
      </w:r>
      <w:r>
        <w:t xml:space="preserve"> </w:t>
      </w:r>
      <w:r>
        <w:rPr>
          <w:rStyle w:val="VerbatimChar"/>
        </w:rPr>
        <w:t xml:space="preserve">output/findings/other_departures_c_highrep.md</w:t>
      </w:r>
      <w:r>
        <w:t xml:space="preserve">). On the southeast-Missouri set the same change reaches the observed 0.034 at a fraction of 0.2 (median 0.033), but the diversity match is already lost at 0.15 and at every fraction above it, so no combination both reaches the observation and holds the match; the largest fraction that keeps the match, 0.1, leaves the median at 0.017, half the observed value. The cause is the plain ware. With the top two classes holding 89 percent of all sherds, a permutation of a group’s innovation profile that catches Mississippi Plain moves the entire assemblage rather than its margins. The quantity being varied was the composition of utility pottery.</w:t>
      </w:r>
    </w:p>
    <w:bookmarkEnd w:id="146"/>
    <w:bookmarkStart w:id="147"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 They are</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47"/>
    <w:bookmarkStart w:id="154" w:name="what-would-make-the-extension-possible"/>
    <w:p>
      <w:pPr>
        <w:pStyle w:val="Heading3"/>
      </w:pPr>
      <w:r>
        <w:t xml:space="preserve">What would make the extension possible</w:t>
      </w:r>
    </w:p>
    <w:p>
      <w:pPr>
        <w:pStyle w:val="FirstParagraph"/>
      </w:pPr>
      <w:r>
        <w:t xml:space="preserve">A decorated-only analysis of these assemblages, on named types with the red films treated separately from incised and punctated design, and with sample sizes brought up by returning to the collections rather than to the published tables. Until then the southeast-Missouri phases stand as independent corroboration from Fox’s ordination that the phases do not hold as groups, which is a different and weaker claim than the one the main text makes for the St. Francis basin.</w:t>
      </w:r>
    </w:p>
    <w:p>
      <w:pPr>
        <w:pStyle w:val="CaptionedFigure"/>
      </w:pPr>
      <w:r>
        <w:drawing>
          <wp:inline>
            <wp:extent cx="4572000" cy="5251704"/>
            <wp:effectExtent b="0" l="0" r="0" t="0"/>
            <wp:docPr descr="Figure S7. Regional setting of the St. Francis basin analysis and of the southeast-Missouri survey discussed in this section.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at the Mississippi main stem appears as the heaviest line. State boundaries and the North America locator inset are from Natural Earth." title="" id="149" name="Picture"/>
            <a:graphic>
              <a:graphicData uri="http://schemas.openxmlformats.org/drawingml/2006/picture">
                <pic:pic>
                  <pic:nvPicPr>
                    <pic:cNvPr descr="../../figures/figS7_regional.png" id="150" name="Picture"/>
                    <pic:cNvPicPr>
                      <a:picLocks noChangeArrowheads="1" noChangeAspect="1"/>
                    </pic:cNvPicPr>
                  </pic:nvPicPr>
                  <pic:blipFill>
                    <a:blip r:embed="rId148"/>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Regional setting of the St. Francis basin analysis and of the southeast-Missouri survey discussed in this section.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that the Mississippi main stem appears as the heaviest line. State boundaries and the North America locator inset are from Natural Earth.</w:t>
      </w:r>
    </w:p>
    <w:p>
      <w:pPr>
        <w:pStyle w:val="CaptionedFigure"/>
      </w:pPr>
      <w:r>
        <w:drawing>
          <wp:inline>
            <wp:extent cx="4754880" cy="3691584"/>
            <wp:effectExtent b="0" l="0" r="0" t="0"/>
            <wp:docPr descr="Figure S8. 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 F_{ST} 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 F_{ST} 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 title="" id="152" name="Picture"/>
            <a:graphic>
              <a:graphicData uri="http://schemas.openxmlformats.org/drawingml/2006/picture">
                <pic:pic>
                  <pic:nvPicPr>
                    <pic:cNvPr descr="../../figures/figS8_within_region.png" id="153" name="Picture"/>
                    <pic:cNvPicPr>
                      <a:picLocks noChangeArrowheads="1" noChangeAspect="1"/>
                    </pic:cNvPicPr>
                  </pic:nvPicPr>
                  <pic:blipFill>
                    <a:blip r:embed="rId151"/>
                    <a:stretch>
                      <a:fillRect/>
                    </a:stretch>
                  </pic:blipFill>
                  <pic:spPr bwMode="auto">
                    <a:xfrm>
                      <a:off x="0" y="0"/>
                      <a:ext cx="4754880" cy="369158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w:t>
      </w:r>
      <w:r>
        <w:t xml:space="preserve"> </w:t>
      </w:r>
      <m:oMath>
        <m:sSub>
          <m:e>
            <m:r>
              <m:t>F</m:t>
            </m:r>
          </m:e>
          <m:sub>
            <m:r>
              <m:t>S</m:t>
            </m:r>
            <m:r>
              <m:t>T</m:t>
            </m:r>
          </m:sub>
        </m:sSub>
      </m:oMath>
      <w:r>
        <w:t xml:space="preserve"> </w:t>
      </w:r>
      <w:r>
        <w:t xml:space="preserve">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w:t>
      </w:r>
      <w:r>
        <w:t xml:space="preserve"> </w:t>
      </w:r>
      <m:oMath>
        <m:sSub>
          <m:e>
            <m:r>
              <m:t>F</m:t>
            </m:r>
          </m:e>
          <m:sub>
            <m:r>
              <m:t>S</m:t>
            </m:r>
            <m:r>
              <m:t>T</m:t>
            </m:r>
          </m:sub>
        </m:sSub>
      </m:oMath>
      <w:r>
        <w:t xml:space="preserve"> </w:t>
      </w:r>
      <w:r>
        <w:t xml:space="preserve">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w:t>
      </w:r>
    </w:p>
    <w:bookmarkEnd w:id="154"/>
    <w:bookmarkEnd w:id="155"/>
    <w:bookmarkStart w:id="213" w:name="references"/>
    <w:p>
      <w:pPr>
        <w:pStyle w:val="Heading2"/>
      </w:pPr>
      <w:r>
        <w:t xml:space="preserve">References</w:t>
      </w:r>
    </w:p>
    <w:bookmarkStart w:id="212" w:name="refs"/>
    <w:bookmarkStart w:id="156"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56"/>
    <w:bookmarkStart w:id="158"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57">
        <w:r>
          <w:rPr>
            <w:rStyle w:val="Hyperlink"/>
          </w:rPr>
          <w:t xml:space="preserve">https://doi.org/10.1073/pnas.0903232106</w:t>
        </w:r>
      </w:hyperlink>
      <w:r>
        <w:t xml:space="preserve">.</w:t>
      </w:r>
    </w:p>
    <w:bookmarkEnd w:id="158"/>
    <w:bookmarkStart w:id="160"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59">
        <w:r>
          <w:rPr>
            <w:rStyle w:val="Hyperlink"/>
          </w:rPr>
          <w:t xml:space="preserve">https://doi.org/10.1098/rspb.2004.2746</w:t>
        </w:r>
      </w:hyperlink>
      <w:r>
        <w:t xml:space="preserve">.</w:t>
      </w:r>
    </w:p>
    <w:bookmarkEnd w:id="160"/>
    <w:bookmarkStart w:id="16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61">
        <w:r>
          <w:rPr>
            <w:rStyle w:val="Hyperlink"/>
          </w:rPr>
          <w:t xml:space="preserve">https://doi.org/10.1057/s41599-019-0295-9</w:t>
        </w:r>
      </w:hyperlink>
      <w:r>
        <w:t xml:space="preserve">.</w:t>
      </w:r>
    </w:p>
    <w:bookmarkEnd w:id="162"/>
    <w:bookmarkStart w:id="163"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63"/>
    <w:bookmarkStart w:id="165"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64">
        <w:r>
          <w:rPr>
            <w:rStyle w:val="Hyperlink"/>
          </w:rPr>
          <w:t xml:space="preserve">https://doi.org/10.1016/j.jas.2014.07.014</w:t>
        </w:r>
      </w:hyperlink>
      <w:r>
        <w:t xml:space="preserve">.</w:t>
      </w:r>
    </w:p>
    <w:bookmarkEnd w:id="165"/>
    <w:bookmarkStart w:id="167"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66">
        <w:r>
          <w:rPr>
            <w:rStyle w:val="Hyperlink"/>
          </w:rPr>
          <w:t xml:space="preserve">https://doi.org/10.1038/srep39122</w:t>
        </w:r>
      </w:hyperlink>
      <w:r>
        <w:t xml:space="preserve">.</w:t>
      </w:r>
    </w:p>
    <w:bookmarkEnd w:id="167"/>
    <w:bookmarkStart w:id="169"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68">
        <w:r>
          <w:rPr>
            <w:rStyle w:val="Hyperlink"/>
          </w:rPr>
          <w:t xml:space="preserve">https://doi.org/10.1371/journal.pone.0041010</w:t>
        </w:r>
      </w:hyperlink>
      <w:r>
        <w:t xml:space="preserve">.</w:t>
      </w:r>
    </w:p>
    <w:bookmarkEnd w:id="169"/>
    <w:bookmarkStart w:id="171"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70">
        <w:r>
          <w:rPr>
            <w:rStyle w:val="Hyperlink"/>
          </w:rPr>
          <w:t xml:space="preserve">https://doi.org/10.2307/278341</w:t>
        </w:r>
      </w:hyperlink>
      <w:r>
        <w:t xml:space="preserve">.</w:t>
      </w:r>
    </w:p>
    <w:bookmarkEnd w:id="171"/>
    <w:bookmarkStart w:id="17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72"/>
    <w:bookmarkStart w:id="17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73">
        <w:r>
          <w:rPr>
            <w:rStyle w:val="Hyperlink"/>
          </w:rPr>
          <w:t xml:space="preserve">https://doi.org/10.1534/genetics.113.158220</w:t>
        </w:r>
      </w:hyperlink>
      <w:r>
        <w:t xml:space="preserve">.</w:t>
      </w:r>
    </w:p>
    <w:bookmarkEnd w:id="174"/>
    <w:bookmarkStart w:id="175"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75"/>
    <w:bookmarkStart w:id="176"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76"/>
    <w:bookmarkStart w:id="17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77">
        <w:r>
          <w:rPr>
            <w:rStyle w:val="Hyperlink"/>
          </w:rPr>
          <w:t xml:space="preserve">https://doi.org/10.1525/aa.2001.103.4.992</w:t>
        </w:r>
      </w:hyperlink>
      <w:r>
        <w:t xml:space="preserve">.</w:t>
      </w:r>
    </w:p>
    <w:bookmarkEnd w:id="178"/>
    <w:bookmarkStart w:id="179"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79"/>
    <w:bookmarkStart w:id="181"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80">
        <w:r>
          <w:rPr>
            <w:rStyle w:val="Hyperlink"/>
          </w:rPr>
          <w:t xml:space="preserve">https://doi.org/10.1666/05070.1</w:t>
        </w:r>
      </w:hyperlink>
      <w:r>
        <w:t xml:space="preserve">.</w:t>
      </w:r>
    </w:p>
    <w:bookmarkEnd w:id="181"/>
    <w:bookmarkStart w:id="183"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82">
        <w:r>
          <w:rPr>
            <w:rStyle w:val="Hyperlink"/>
          </w:rPr>
          <w:t xml:space="preserve">https://doi.org/10.1111/j.1558-5646.2007.00310.x</w:t>
        </w:r>
      </w:hyperlink>
      <w:r>
        <w:t xml:space="preserve">.</w:t>
      </w:r>
    </w:p>
    <w:bookmarkEnd w:id="183"/>
    <w:bookmarkStart w:id="18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84">
        <w:r>
          <w:rPr>
            <w:rStyle w:val="Hyperlink"/>
          </w:rPr>
          <w:t xml:space="preserve">https://doi.org/10.1016/j.jtbi.2013.03.006</w:t>
        </w:r>
      </w:hyperlink>
      <w:r>
        <w:t xml:space="preserve">.</w:t>
      </w:r>
    </w:p>
    <w:bookmarkEnd w:id="185"/>
    <w:bookmarkStart w:id="186"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86"/>
    <w:bookmarkStart w:id="188"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87">
        <w:r>
          <w:rPr>
            <w:rStyle w:val="Hyperlink"/>
          </w:rPr>
          <w:t xml:space="preserve">https://doi.org/10.1371/journal.pone.0124942</w:t>
        </w:r>
      </w:hyperlink>
      <w:r>
        <w:t xml:space="preserve">.</w:t>
      </w:r>
    </w:p>
    <w:bookmarkEnd w:id="188"/>
    <w:bookmarkStart w:id="190"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89">
        <w:r>
          <w:rPr>
            <w:rStyle w:val="Hyperlink"/>
          </w:rPr>
          <w:t xml:space="preserve">https://doi.org/10.1006/jaar.1997.0314</w:t>
        </w:r>
      </w:hyperlink>
      <w:r>
        <w:t xml:space="preserve">.</w:t>
      </w:r>
    </w:p>
    <w:bookmarkEnd w:id="190"/>
    <w:bookmarkStart w:id="191"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91"/>
    <w:bookmarkStart w:id="19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92"/>
    <w:bookmarkStart w:id="19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93"/>
    <w:bookmarkStart w:id="194"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94"/>
    <w:bookmarkStart w:id="195" w:name="ref-mitchem_2017"/>
    <w:p>
      <w:pPr>
        <w:pStyle w:val="Bibliography"/>
      </w:pPr>
      <w:r>
        <w:t xml:space="preserve">Mitchem, Jeffrey M.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95"/>
    <w:bookmarkStart w:id="19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96"/>
    <w:bookmarkStart w:id="19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00"/>
    <w:bookmarkStart w:id="20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1">
        <w:r>
          <w:rPr>
            <w:rStyle w:val="Hyperlink"/>
          </w:rPr>
          <w:t xml:space="preserve">https://doi.org/10.1038/nature08227</w:t>
        </w:r>
      </w:hyperlink>
      <w:r>
        <w:t xml:space="preserve">.</w:t>
      </w:r>
    </w:p>
    <w:bookmarkEnd w:id="202"/>
    <w:bookmarkStart w:id="204"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03">
        <w:r>
          <w:rPr>
            <w:rStyle w:val="Hyperlink"/>
          </w:rPr>
          <w:t xml:space="preserve">https://doi.org/10.1016/j.jas.2007.01.003</w:t>
        </w:r>
      </w:hyperlink>
      <w:r>
        <w:t xml:space="preserve">.</w:t>
      </w:r>
    </w:p>
    <w:bookmarkEnd w:id="204"/>
    <w:bookmarkStart w:id="206"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205">
        <w:r>
          <w:rPr>
            <w:rStyle w:val="Hyperlink"/>
          </w:rPr>
          <w:t xml:space="preserve">https://doi.org/10.1016/j.jas.2009.03.029</w:t>
        </w:r>
      </w:hyperlink>
      <w:r>
        <w:t xml:space="preserve">.</w:t>
      </w:r>
    </w:p>
    <w:bookmarkEnd w:id="206"/>
    <w:bookmarkStart w:id="207"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207"/>
    <w:bookmarkStart w:id="208"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08"/>
    <w:bookmarkStart w:id="210"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09">
        <w:r>
          <w:rPr>
            <w:rStyle w:val="Hyperlink"/>
          </w:rPr>
          <w:t xml:space="preserve">https://doi.org/10.1098/rsif.2008.0172</w:t>
        </w:r>
      </w:hyperlink>
      <w:r>
        <w:t xml:space="preserve">.</w:t>
      </w:r>
    </w:p>
    <w:bookmarkEnd w:id="210"/>
    <w:bookmarkStart w:id="211" w:name="ref-williams_1954"/>
    <w:p>
      <w:pPr>
        <w:pStyle w:val="Bibliography"/>
      </w:pPr>
      <w:r>
        <w:t xml:space="preserve">Williams, Stephen. 1954. An Archeological Study of the Mississippian Culture in Southeast Missouri. PhD thesis, Yale University, New Haven.</w:t>
      </w:r>
    </w:p>
    <w:bookmarkEnd w:id="211"/>
    <w:bookmarkEnd w:id="212"/>
    <w:bookmarkEnd w:id="213"/>
    <w:bookmarkEnd w:id="214"/>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2026-09-22T19:40:00Z</dcterms:created>
  <dcterms:modified xsi:type="dcterms:W3CDTF">2026-09-22T19:40:00Z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