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on the premise that assemblages more similar to nearby than to distant neighbors record a social group. Neutral drift among neighbors produces the same clustering with no boundary at all. Because interaction everywhere falls off with distance, what marks a social group is local interaction beyond what distance accounts for, a continuously varying quantity rather than a condition. We ask what produced that structure in the St. Francis basin, home to several well-defined Late Mississippian phases. Of four candidate signatures only between-group variance can register closure at this resolution, and by it the basin shows none beyond what distance accounts for. A model imposing no groups attributes 96 percent of assemblage-level variation to geography. Calibrated drift still underpredicts how different the spatial clusters are, and of four simplifying assumptions relaxed, only a weak boundary in where new styles originate reproduces both the differentiation and the diversity. That model is still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La fase, una unidad fundamental de la práctica arqueológica, se basa en una premisa tácita: los conjuntos más similares a los vecinos cercanos que a los distantes registran una sociedad delimitada. Esta premisa rara vez se pone a prueba. La transmisión neutral, en la que las frecuencias de los estilos cambian solo por copia azarosa, puede producir el mismo agrupamiento sin grupos delimitados, porque la deriva entre vecinos concentra localmente estilos similares. Para el valle inferior del Misisipi de finales del período precontacto, preguntamos si la similitud de la cerámica decorada refleja grupos de interacción delimitados o una deriva espacialmente estructurada, y planteamos la pregunta en términos de lo que el registro puede resolver. Un experimento de recuperación de señal, en el que se introduce un grado conocido de cierre de grupo en datos sintéticos ajustados a las muestras pequeñas y al promediado temporal del registro, muestra que solo una de cuatro firmas candidatas, la varianza entre grupos, registra ese cierre. Según esa firma, la cuenca del St. Francis no muestra un cierre resoluble, y un modelo de campo espacial continuo, que no requiere partición alguna, atribuye el 96 por ciento de la variación entre conjuntos a la geografía, dejando apenas el residuo específico de cada sitio que producirían los grupos delimitados. Luego comparamos modelos de deriva y de grupos delimitados sobre la geografía real, tras calibrar cada uno con la diversidad interna de los conjuntos. La deriva calibrada subestima la diferenciación observada entre grupos en la cuenca, y ninguna parametrización que reproduzca la diversidad de los conjuntos reproduce su diferenciación. Los modelos de grupos delimitados, con la misma calibración, elevan solo ligeramente la diferenciación predicha, de modo que ninguno de los dos procesos, tal como se modelan, da cuenta del registro. Parkin, a menudo interpretada como una capital, actúa como un puente en la red de transmisión, y su contraste con sus vecinos no es mayor que el exceso observado en toda la cuenca. Antes de interpretar la similitud como social, debe demostrarse que un registro es capaz de distinguir los grupos de la deriva y que el modelo nulo se ajusta al registro con el que se pone a prueba.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6950142"/>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69501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record it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meaning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would make a phase a society, rejected it, and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so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by cluster analysis and ordination, two statistical methods that group assemblages by overall similarity, that the southeast-Missouri phases fail as both groups and classes. Their member assemblages fall into statistical clusters at random rather than segregating by phase. Mainfort</w:t>
      </w:r>
      <w:r>
        <w:t xml:space="preserve"> </w:t>
      </w:r>
      <w:r>
        <w:t xml:space="preserve">(2003)</w:t>
      </w:r>
      <w:r>
        <w:t xml:space="preserve"> </w:t>
      </w:r>
      <w:r>
        <w:t xml:space="preserve">reached the same verdict by a different ordination, finding that the late-period assemblages overlap rather than forming discrete clusters and so give little support to the named phases. We take Fox’s result as the nearest independent parallel to ours rather than replicating it. The southeast-Missouri assemblages cannot support the test we run here because of sample size and class composition, as we set out in the Supplemental Text. Lipo</w:t>
      </w:r>
      <w:r>
        <w:t xml:space="preserve"> </w:t>
      </w:r>
      <w:r>
        <w:t xml:space="preserve">(2001)</w:t>
      </w:r>
      <w:r>
        <w:t xml:space="preserve"> </w:t>
      </w:r>
      <w:r>
        <w:t xml:space="preserve">questioned the nature of phases through frequency seriation, the ordering of assemblages by the rise and fall of their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one that confers no advantage on its user,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looks like difference and clustering, though there are no bounded groups anywhere</w:t>
      </w:r>
      <w:r>
        <w:t xml:space="preserve"> </w:t>
      </w:r>
      <w:r>
        <w:t xml:space="preserve">(Lipo et al. 1997, 2021)</w:t>
      </w:r>
      <w:r>
        <w:t xml:space="preserve">. On this account a phase can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provide a means for that test.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 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a phase.</w:t>
      </w:r>
    </w:p>
    <w:p>
      <w:pPr>
        <w:pStyle w:val="BodyText"/>
      </w:pPr>
      <w:r>
        <w:t xml:space="preserve">The argument, however, rests on an honest recognition of what the ceramic record is. We do not treat an assemblage as a degraded snapshot of a past behavioral moment that must be restored by correcting for the processes that formed it</w:t>
      </w:r>
      <w:r>
        <w:t xml:space="preserve"> </w:t>
      </w:r>
      <w:r>
        <w:t xml:space="preserve">(Schiffer 1972)</w:t>
      </w:r>
      <w:r>
        <w:t xml:space="preserve">. We treat it as a time-averaged accumulation built up over many years of use and discard, whose decorated-class frequencies reflect the accumulated product of social learning across a population, and measure and explain directly rather than reconstruct</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halves.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The substantive contribution is the account that survives those two requirements,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the drift model makes.</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and it is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What a phase would need in order to be a social unit is not complete closure but a measurable amount of it, and the question this paper asks is how much the record carries. When we write of a bounded interaction group we mean the upper end of that scale, named as a limiting case so that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conformist copying within groups, in which learners favor whatever variant is already common, narrows the range of variants each group carries while the groups diverge from one another, and the single transmission field fragments</w:t>
      </w:r>
      <w:r>
        <w:t xml:space="preserve"> </w:t>
      </w:r>
      <w:r>
        <w:t xml:space="preserve">(Crema et al. 2016; Henrich 2001; Henrich and Boyd 1998)</w:t>
      </w:r>
      <w:r>
        <w:t xml:space="preserve">. The restricted pool that results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whose platform mound rises more than 6 m, and the De Soto chronicles place it as the seat of the paramount of Casqui</w:t>
      </w:r>
      <w:r>
        <w:t xml:space="preserve"> </w:t>
      </w:r>
      <w:r>
        <w:t xml:space="preserve">(Dye and Cox 1990; Mitchem 2001; Phyllis A. Morse 1990)</w:t>
      </w:r>
      <w:r>
        <w:t xml:space="preserve">. On this interpretation, Parkin’s location on agriculturally poor soil has been taken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They can be separated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and we treat its strength as a quantity to be tested for and measured. That strength runs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follow, each a different consequence of closure,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built on the chance that two sherds drawn at random share a decorated class, the other on the number of classes present. Biased copying pulls them apart. Conformity, in which potters preferentially copy whatever is already common, concentrates sherds onto a few classes without eliminating the rare ones, so the first measure moves and the second barely does. A taste for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and it is the most direct test of fragmentation. It rests on frequency seriation, the ordering of assemblages so that each decorated class rises to a single peak and falls away, the shape long known as a 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one ordering can satisfy them all, and the assemblages break into mutually incompatible orderings whose number measures the structure of past interaction directly</w:t>
      </w:r>
      <w:r>
        <w:t xml:space="preserve"> </w:t>
      </w:r>
      <w:r>
        <w:t xml:space="preserve">(Lipo et al. 1997, 2015)</w:t>
      </w:r>
      <w:r>
        <w:t xml:space="preserve">. An assemblage that falls into several of them is a bridge between sequences rather than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it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We must calibrate the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moves only some of these signatures (Table 1). Environmental patchiness, in which similar people occupy distinct ecological zones, produces spatial structure without any departure from neutral transmission and without any loss of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for a reason the next paragraph develops. Because of it,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moving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Convergence of this kind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of them,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against the idealized expectation, lets us treat an absence of structure as a real result rather than as a failure of resolution. The Materials and Methods section and the Supplemental Text give the procedure and its parameters.</w:t>
      </w:r>
    </w:p>
    <w:p>
      <w:pPr>
        <w:pStyle w:val="BodyText"/>
      </w:pPr>
      <w:r>
        <w:t xml:space="preserve">Below we describe our procedures, methods, and outcomes, and 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395558"/>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is the observed trend (+0.027), a rank correlation of F_{ST} with seriation position and not an F_{ST} value. The band around it is the -0.30 to +0.60 range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39555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three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is the observed trend (+0.027), a rank correlation of</w:t>
      </w:r>
      <w:r>
        <w:t xml:space="preserve"> </w:t>
      </w:r>
      <m:oMath>
        <m:sSub>
          <m:e>
            <m:r>
              <m:t>F</m:t>
            </m:r>
          </m:e>
          <m:sub>
            <m:r>
              <m:t>S</m:t>
            </m:r>
            <m:r>
              <m:t>T</m:t>
            </m:r>
          </m:sub>
        </m:sSub>
      </m:oMath>
      <w:r>
        <w:t xml:space="preserve"> </w:t>
      </w:r>
      <w:r>
        <w:t xml:space="preserve">with seriation position and not an</w:t>
      </w:r>
      <w:r>
        <w:t xml:space="preserve"> </w:t>
      </w:r>
      <m:oMath>
        <m:sSub>
          <m:e>
            <m:r>
              <m:t>F</m:t>
            </m:r>
          </m:e>
          <m:sub>
            <m:r>
              <m:t>S</m:t>
            </m:r>
            <m:r>
              <m:t>T</m:t>
            </m:r>
          </m:sub>
        </m:sSub>
      </m:oMath>
      <w:r>
        <w:t xml:space="preserve"> </w:t>
      </w:r>
      <w:r>
        <w:t xml:space="preserve">value. The band around it is the -0.30 to +0.60 range a single random subsample returns. The shaded vertical band is the 95 percent credible interval for the imposed closure strength given that observation (0.00 to 0.48, median 0.23),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29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come from the decorated-class counts that Phillips, Ford, and Griffin</w:t>
      </w:r>
      <w:r>
        <w:t xml:space="preserve"> </w:t>
      </w:r>
      <w:r>
        <w:t xml:space="preserve">(1951)</w:t>
      </w:r>
      <w:r>
        <w:t xml:space="preserve"> </w:t>
      </w:r>
      <w:r>
        <w:t xml:space="preserve">compiled for the Lower Mississippi Valley Survey, the same counts that underlie the original phase definitions. We have compiled these counts into a matrix of 266 surface assemblages by decorated class</w:t>
      </w:r>
      <w:r>
        <w:t xml:space="preserve"> </w:t>
      </w:r>
      <w:r>
        <w:t xml:space="preserve">(Lipo 2001)</w:t>
      </w:r>
      <w:r>
        <w:t xml:space="preserve">.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St. Francis basin of northeastern Arkansas, the setting of Parkin. We define the basin hydrologically as the set of assemblages within 20 km of the St. Francis, Tyronza, and L’Anguille drainage (Figure 1), which yields 29 decorated assemblages for the transmission analysis. The set excludes the lower Yazoo Basin to the south. A stricter watershed rule, which keeps only assemblages nearer the St. Francis system than the Mississippi, gives 19. The verdict reported below is the same under both definitions.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how far interaction narrowed anywhere in the basin, that is, how far potters came to copy mainly within a group and rarely across its edge. It asks this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Aggregation of this kind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pots and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defeats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along the sequence in cultural</w:t>
      </w:r>
      <w:r>
        <w:t xml:space="preserve"> </w:t>
      </w:r>
      <m:oMath>
        <m:sSub>
          <m:e>
            <m:r>
              <m:t>F</m:t>
            </m:r>
          </m:e>
          <m:sub>
            <m:r>
              <m:t>S</m:t>
            </m:r>
            <m:r>
              <m:t>T</m:t>
            </m:r>
          </m:sub>
        </m:sSub>
      </m:oMath>
      <w:r>
        <w:t xml:space="preserve"> </w:t>
      </w:r>
      <w:r>
        <w:t xml:space="preserve">after every assemblage has been subsampled to a common sherd count. That trend is a signed rank correlation, so reversing the axis reverses the sign of the trend. Because the trend is negligible after subsampling, its orientation does not change the verdict, and we run the spatial simulations below under both orientations. We return to both limits in the discussion.</w:t>
      </w:r>
    </w:p>
    <w:p>
      <w:pPr>
        <w:pStyle w:val="CaptionedFigure"/>
      </w:pPr>
      <w:r>
        <w:drawing>
          <wp:inline>
            <wp:extent cx="5334000" cy="3639186"/>
            <wp:effectExtent b="0" l="0" r="0" t="0"/>
            <wp:docPr descr="Figure 4. Correspondence-analysis seriation of the 29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29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Spatial assortativity is computed from Brainerd-Robinson similarity</w:t>
      </w:r>
      <w:r>
        <w:t xml:space="preserve"> </w:t>
      </w:r>
      <w:r>
        <w:t xml:space="preserve">(Brainerd 1951; Robinson 1951)</w:t>
      </w:r>
      <w:r>
        <w:t xml:space="preserve">, a standard index of class proportions running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which treats decorated-class composition as a continuous spatial field over the assemblage coordinates and asks how much of the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model, its priors, and its diagnostics are described in the Supplemental Text.</w:t>
      </w:r>
    </w:p>
    <w:p>
      <w:pPr>
        <w:pStyle w:val="BodyText"/>
      </w:pPr>
      <w:r>
        <w:t xml:space="preserve">Two safeguards are essential before any of these signatures are interpreted, one a correction and one a check.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using large and clean synthetic assemblages, whether the four signatures can in principle separate a bounded interaction group from the three processes that can resemble it, which are not bounded groups but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a bounded interaction group and the three processes that can resemble it, namely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Into these we built group closure of known, adjustable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the assemblages are time-averaged, which we reproduce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the simulations at each</w:t>
      </w:r>
      <w:r>
        <w:t xml:space="preserve"> </w:t>
      </w:r>
      <w:r>
        <w:rPr>
          <w:i/>
          <w:iCs/>
        </w:rPr>
        <w:t xml:space="preserve">s</w:t>
      </w:r>
      <w:r>
        <w:t xml:space="preserve"> </w:t>
      </w:r>
      <w:r>
        <w:t xml:space="preserve">give the distribution of the trajectory statistic it produces, and the observed statistic yields a posterior over</w:t>
      </w:r>
      <w:r>
        <w:t xml:space="preserve"> </w:t>
      </w:r>
      <w:r>
        <w:rPr>
          <w:i/>
          <w:iCs/>
        </w:rPr>
        <w:t xml:space="preserve">s</w:t>
      </w:r>
      <w:r>
        <w:t xml:space="preserve"> </w:t>
      </w:r>
      <w:r>
        <w:t xml:space="preserve">under a uniform prior on the imposed range. No threshold and no error rate enter. The posterior refers to closure expressed as this imposed trajectory of increasing divergence. A stable boundary present from the start of the sequence would not produce a rising trend, and the drift comparison addresses that case instead.</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the tuning of a model’s parameters so that it reproduces features of the data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the baseline we use whichever diversity-matched combination of parameters produces the highest</w:t>
      </w:r>
      <w:r>
        <w:t xml:space="preserve"> </w:t>
      </w:r>
      <m:oMath>
        <m:sSub>
          <m:e>
            <m:r>
              <m:t>F</m:t>
            </m:r>
          </m:e>
          <m:sub>
            <m:r>
              <m:t>S</m:t>
            </m:r>
            <m:r>
              <m:t>T</m:t>
            </m:r>
          </m:sub>
        </m:sSub>
      </m:oMath>
      <w:r>
        <w:t xml:space="preserve"> </w:t>
      </w:r>
      <w:r>
        <w:t xml:space="preserve">across the partition being tested, so that the comparison is the one most favorable to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48"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is the one matched to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with the three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0.23 and a 95 percent credible interval of 0.00 to 0.48, with only 3 percent of its mass at strengths of 0.5 or more.</w:t>
      </w:r>
    </w:p>
    <w:p>
      <w:pPr>
        <w:pStyle w:val="BodyText"/>
      </w:pPr>
      <w:r>
        <w:t xml:space="preserve">Time-averaging widens that posterior. Each assemblage pools sherds deposited over a span of time, and when the simulation includes that pooling the median rises to 0.31. The credible interval, the range that holds a stated share of the posterior probability, extends to 0.00 to 0.65, and the mass above 0.5 rises to 0.20. Time-averaging, rather than sample size alone, is what makes moderate closure hard to exclude. At this record size, and with its time-averaging, between-group variance is the one signature that can tell a bounded group from drift. The other three cannot separate closure from drift here at any strength, so we report them for completeness and draw no inference from them.</w:t>
      </w:r>
    </w:p>
    <w:p>
      <w:pPr>
        <w:pStyle w:val="CaptionedFigure"/>
      </w:pPr>
      <w:r>
        <w:drawing>
          <wp:inline>
            <wp:extent cx="5334000" cy="2719408"/>
            <wp:effectExtent b="0" l="0" r="0" t="0"/>
            <wp:docPr descr="Figure 5. Record-matched, size-controlled recovery of the signatures. Left: each signature’s response (Spearman trend versus ordinal position) to a known degree of group closure imposed on the real configuration of 29 assemblages and subsampled to a common count. Only cultural F_{ST} 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23 (interval 0.00 to 0.48) without time-averaging and 0.31 (0.00 to 0.65) with it, and the posterior mass above s = 0.5 is 0.03 and 0.20 respectively. The size-controlled empirical F_{ST} trend is a rank correlation of +0.027, averaged over 4,000 subsamples, against a draw-to-draw spread of -0.30 to +0.6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71940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29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three spatial clusters, and the seriation statistic (maximal co-seriable groups per assemblage) does not rise. Right: the posterior over imposed closure strength given the observed trajectory statistic, with and without the record’s time-averaging. The median is 0.23 (interval 0.00 to 0.48) without time-averaging and 0.31 (0.00 to 0.65) with it, and the posterior mass above s = 0.5 is 0.03 and 0.20 respectively. The size-controlled empirical</w:t>
      </w:r>
      <w:r>
        <w:t xml:space="preserve"> </w:t>
      </w:r>
      <m:oMath>
        <m:sSub>
          <m:e>
            <m:r>
              <m:t>F</m:t>
            </m:r>
          </m:e>
          <m:sub>
            <m:r>
              <m:t>S</m:t>
            </m:r>
            <m:r>
              <m:t>T</m:t>
            </m:r>
          </m:sub>
        </m:sSub>
      </m:oMath>
      <w:r>
        <w:t xml:space="preserve"> </w:t>
      </w:r>
      <w:r>
        <w:t xml:space="preserve">trend is a rank correlation of +0.027, averaged over 4,000 subsamples, against a draw-to-draw spread of -0.30 to +0.60.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moving apart rather than together, but two of its trends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falls from a rank correlation of +0.60 to +0.027, averaged over 4,000 subsamples. Any one subsample returns a value somewhere between -0.30 and +0.60. The averaged trend of +0.027 is therefore an order of magnitude smaller than the spread from one draw to the next, which means this record cannot resolve it as a trend at all.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run from zero to moderate (posterior median 0.23, interval 0.00 to 0.48), so the trend is uninformative rather than a resolved positive result.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 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49779"/>
            <wp:effectExtent b="0" l="0" r="0" t="0"/>
            <wp:docPr descr="Figure 6. The empirical four-signature trajectory along the CA seriation axis for the St. Francis basin (29 assemblages, six bins), size-controlled by subsampling every assemblage to a common count. The reliable signature, cultural F_{ST}, shows a negligible trend (rank correlation +0.027 averaged over 4,000 subsamples, against a draw-to-draw spread of -0.30 to +0.60, down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49779"/>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(29 assemblages, six bins), size-controlled by subsampling every assemblage to a common count. The reliable signature, cultural</w:t>
      </w:r>
      <w:r>
        <w:t xml:space="preserve"> </w:t>
      </w:r>
      <m:oMath>
        <m:sSub>
          <m:e>
            <m:r>
              <m:t>F</m:t>
            </m:r>
          </m:e>
          <m:sub>
            <m:r>
              <m:t>S</m:t>
            </m:r>
            <m:r>
              <m:t>T</m:t>
            </m:r>
          </m:sub>
        </m:sSub>
      </m:oMath>
      <w:r>
        <w:t xml:space="preserve">, shows a negligible trend (rank correlation +0.027 averaged over 4,000 subsamples, against a draw-to-draw spread of -0.30 to +0.60, down from a raw +0.60 that was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nine testable classes finds no population-level departure from unbiased copying (posterior median +0.008, 95 percent credible interval -0.035 to +0.059,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asks not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step that earlier versions of this comparison, including our own, omitted.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meaning we tuned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cannot reproduce the record’s diversity under any combination of population size, innovation rate, and mixing. The obstacle is the shape of the record.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Sixty-one of the 297 parameter combinations then match the record’s diversity, where none did before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the observed between-cluster cultural</w:t>
      </w:r>
      <w:r>
        <w:t xml:space="preserve"> </w:t>
      </w:r>
      <m:oMath>
        <m:sSub>
          <m:e>
            <m:r>
              <m:t>F</m:t>
            </m:r>
          </m:e>
          <m:sub>
            <m:r>
              <m:t>S</m:t>
            </m:r>
            <m:r>
              <m:t>T</m:t>
            </m:r>
          </m:sub>
        </m:sSub>
      </m:oMath>
      <w:r>
        <w:t xml:space="preserve"> </w:t>
      </w:r>
      <w:r>
        <w:t xml:space="preserve">of 0.018 lies above the drift 95 percent interval of 0.0005 to 0.013 (median 0.003). Only 1.2 percent of simulated datasets reach the observed value under the seriation order, 0.8 percent under the reversed order, and 1.4 percent when the assemblages are treated as contemporaneous, and no diversity-matched parameter combination in the calibration series reaches it (Figure S4). Calibrated drift also returns a single ceramic community in 488 of 500 runs, whereas the data give two communities with a between-community</w:t>
      </w:r>
      <w:r>
        <w:t xml:space="preserve"> </w:t>
      </w:r>
      <m:oMath>
        <m:sSub>
          <m:e>
            <m:r>
              <m:t>F</m:t>
            </m:r>
          </m:e>
          <m:sub>
            <m:r>
              <m:t>S</m:t>
            </m:r>
            <m:r>
              <m:t>T</m:t>
            </m:r>
          </m:sub>
        </m:sSub>
      </m:oMath>
      <w:r>
        <w:t xml:space="preserve"> </w:t>
      </w:r>
      <w:r>
        <w:t xml:space="preserve">of 0.043. In the 12 runs that do return two communities, the between-community</w:t>
      </w:r>
      <w:r>
        <w:t xml:space="preserve"> </w:t>
      </w:r>
      <m:oMath>
        <m:sSub>
          <m:e>
            <m:r>
              <m:t>F</m:t>
            </m:r>
          </m:e>
          <m:sub>
            <m:r>
              <m:t>S</m:t>
            </m:r>
            <m:r>
              <m:t>T</m:t>
            </m:r>
          </m:sub>
        </m:sSub>
      </m:oMath>
      <w:r>
        <w:t xml:space="preserve"> </w:t>
      </w:r>
      <w:r>
        <w:t xml:space="preserve">runs from 0.009 to 0.026, all below the observed value. It would be natural to interpret an excess over drift as the mark of a boundary. Whether it is depends on what a model with boundaries in it actually predicts, which is the next comparison.</w:t>
      </w:r>
    </w:p>
    <w:p>
      <w:pPr>
        <w:pStyle w:val="BodyText"/>
      </w:pPr>
      <w:r>
        <w:t xml:space="preserve">Drift does reproduce the distance decay of similarity, the tendency for assemblages farther apart to share less (observed r = -0.32 against a drift interval of -0.62 to -0.02). Similarity across the cluster boundaries, however, is</w:t>
      </w:r>
      <w:r>
        <w:t xml:space="preserve"> </w:t>
      </w:r>
      <w:r>
        <w:rPr>
          <w:i/>
          <w:iCs/>
        </w:rPr>
        <w:t xml:space="preserve">higher</w:t>
      </w:r>
      <w:r>
        <w:t xml:space="preserve"> </w:t>
      </w:r>
      <w:r>
        <w:t xml:space="preserve">in the data than distance alone predicts, not lower. The boundary excess is -11.9 and falls outside both the drift and the bounded-groups intervals.</w:t>
      </w:r>
    </w:p>
    <w:p>
      <w:pPr>
        <w:pStyle w:val="BodyText"/>
      </w:pPr>
      <w:r>
        <w:t xml:space="preserve">The bounded-groups process at the same calibration does little better. Reducing copying across the spatial clusters to a multiplier of 0.5, 0.1, or 0.03 raises the median</w:t>
      </w:r>
      <w:r>
        <w:t xml:space="preserve"> </w:t>
      </w:r>
      <m:oMath>
        <m:sSub>
          <m:e>
            <m:r>
              <m:t>F</m:t>
            </m:r>
          </m:e>
          <m:sub>
            <m:r>
              <m:t>S</m:t>
            </m:r>
            <m:r>
              <m:t>T</m:t>
            </m:r>
          </m:sub>
        </m:sSub>
      </m:oMath>
      <w:r>
        <w:t xml:space="preserve"> </w:t>
      </w:r>
      <w:r>
        <w:t xml:space="preserve">only to between 0.003 and 0.006. The observation does fall inside the bounded-groups interval, but only through the wide upper tail of an interval estimated from 30 runs, between 7 and 23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leaves their between-cluster differentiation unexplained by about a factor of six at the median, and restricted copying, as we model it, accounts for only a small part of that difference. The two comparisons together do not select between the processes. They identify something in the record that neither of our models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96 percent of assemblage-level compositional variance to the spatial field (95 percent credible interval 0.90 to 0.99). Almost nothing is left as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0.0147 at two clusters to 0.0347 at six, though not on which particular division is drawn at a given grain (Supplemental Text).</w:t>
      </w:r>
    </w:p>
    <w:bookmarkStart w:id="147"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rather than only a caveat. The drift model makes four simplifying assumptions that could produce it.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0.003 against the observed 0.018, falls short by about sixfold.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But it also lowers the average population that governs drift, so drift runs faster everywhere and within-assemblage diversity falls below what the record shows. At the inequality the settlement record itself suggests, the model still falls short by a factor of two to three. Transport geography comes closer but does not arrive. We varied the distance metric, the interaction length, and the shape of the decay itself, since an exponential fall-off is an assumption rather than a measurement. Straight-line distance is worse than river distance at every length, which supports the metric we use. The best case, a Gaussian decay, narrows the shortfall from sixfold to 1.8, but only by losing the diversity fit and only at an interaction length of about 6 kilometers on a drainage spanning 128 kilometers.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 at all.</w:t>
      </w:r>
    </w:p>
    <w:p>
      <w:pPr>
        <w:pStyle w:val="BodyText"/>
      </w:pPr>
      <w:r>
        <w:t xml:space="preserve">The fourth assumption is the one that matters. When innovation respects group boundaries, so that each spatial cluster draws new variants from its own profile rather than from a region-wide pool, a weak boundary is enough. At a permuted fraction of 0.25, meaning that a quarter of the classes are reassigned within each cluster’s innovation profile, the model returns a between-cluster</w:t>
      </w:r>
      <w:r>
        <w:t xml:space="preserve"> </w:t>
      </w:r>
      <m:oMath>
        <m:sSub>
          <m:e>
            <m:r>
              <m:t>F</m:t>
            </m:r>
          </m:e>
          <m:sub>
            <m:r>
              <m:t>S</m:t>
            </m:r>
            <m:r>
              <m:t>T</m:t>
            </m:r>
          </m:sub>
        </m:sSub>
      </m:oMath>
      <w:r>
        <w:t xml:space="preserve"> </w:t>
      </w:r>
      <w:r>
        <w:t xml:space="preserve">of 0.016 against the observed 0.018, with within-assemblage diversity, class richness and pooled diversity all inside the calibration’s tolerance. It is the only one of the four that changes what innovation does rather than how fast drift runs, which is why it raises differentiation without disturbing diversity.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0.018</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and its size-controlled trend is +0.027 against a draw-to-draw spread of -0.30 to +0.60</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underpredicts between-cluster</w:t>
            </w:r>
            <w:r>
              <w:t xml:space="preserve"> </w:t>
            </w:r>
            <m:oMath>
              <m:sSub>
                <m:e>
                  <m:r>
                    <m:t>F</m:t>
                  </m:r>
                </m:e>
                <m:sub>
                  <m:r>
                    <m:t>S</m:t>
                  </m:r>
                  <m:r>
                    <m:t>T</m:t>
                  </m:r>
                </m:sub>
              </m:sSub>
            </m:oMath>
            <w:r>
              <w:t xml:space="preserve"> </w:t>
            </w:r>
            <w:r>
              <w:t xml:space="preserve">by about sixfold (0.003 against 0.018)</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Not supported.</w:t>
            </w:r>
            <w:r>
              <w:t xml:space="preserve"> </w:t>
            </w:r>
            <w:r>
              <w:t xml:space="preserve">Median</w:t>
            </w:r>
            <w:r>
              <w:t xml:space="preserve"> </w:t>
            </w:r>
            <m:oMath>
              <m:sSub>
                <m:e>
                  <m:r>
                    <m:t>F</m:t>
                  </m:r>
                </m:e>
                <m:sub>
                  <m:r>
                    <m:t>S</m:t>
                  </m:r>
                  <m:r>
                    <m:t>T</m:t>
                  </m:r>
                </m:sub>
              </m:sSub>
            </m:oMath>
            <w:r>
              <w:t xml:space="preserve"> </w:t>
            </w:r>
            <w:r>
              <w:t xml:space="preserve">rises only to 0.003 to 0.006; the observation is reached only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1.6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about fivefold, but the average population that governs drift falls with it, so within-assemblage diversity drops below the observed value; shortfall still two- to threefold at the mound-height bracket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a Gaussian decay at 6 km, narrows the shortfall to 1.8-fold but breaks the diversity match; no diversity-matched parameter combination reaches the observation</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moves from 0.0031 to 0.0030; the statistic is essentially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w:t>
            </w:r>
          </w:p>
        </w:tc>
        <w:tc>
          <w:tcPr/>
          <w:p>
            <w:pPr>
              <w:pStyle w:val="Compact"/>
            </w:pPr>
            <w:r>
              <w:rPr>
                <w:b/>
                <w:bCs/>
              </w:rPr>
              <w:t xml:space="preserve">Meets the standard.</w:t>
            </w:r>
            <w:r>
              <w:t xml:space="preserve"> </w:t>
            </w:r>
            <w:r>
              <w:t xml:space="preserve">At permuted fractions of 0.25 and 0.3 the model gives</w:t>
            </w:r>
            <w:r>
              <w:t xml:space="preserve"> </w:t>
            </w:r>
            <m:oMath>
              <m:sSub>
                <m:e>
                  <m:r>
                    <m:t>F</m:t>
                  </m:r>
                </m:e>
                <m:sub>
                  <m:r>
                    <m:t>S</m:t>
                  </m:r>
                  <m:r>
                    <m:t>T</m:t>
                  </m:r>
                </m:sub>
              </m:sSub>
            </m:oMath>
            <w:r>
              <w:t xml:space="preserve"> </w:t>
            </w:r>
            <w:r>
              <w:t xml:space="preserve">0.016 and 0.019 against the observed 0.018, with all three diversity summaries matched and the misfit no worse than at a fraction of zero</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35 maximal co-seriable groups with a maximum size of four, and 17 of the 29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four groups and ranked eighth of 29,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664758"/>
            <wp:effectExtent b="0" l="0" r="0" t="0"/>
            <wp:docPr descr="Figure 7. Deterministic frequency-seriation (IDSS, the iterative deterministic seriation solution) structure of the basin assemblages. Left: the distribution of co-seriable group sizes, a deeply fragmented structure (35 maximal groups, maximum size four). Right: the most connected assemblages ranked by the number of groups they belong to, with Parkin highlighted as a bridge (member of 4 groups, ranked eighth of 29)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66475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(35 maximal groups, maximum size four). Right: the most connected assemblages ranked by the number of groups they belong to, with Parkin highlighted as a bridge (member of 4 groups, ranked eighth of 29)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Parkin has the basin’s tallest platform mound, at 23 feet (7 m), first among the 55 basin sites with a recorded mound height (Figure 8). It does not hold that rank alone. A second site matches it at 23 feet, so the ratio of the tallest mound to the second tallest is exactly 1.0 and there is no gap at the top of the distribution at all.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 has the tallest mound (23 ft, or 7 m), but one other site matches that height, so it is tied for first among the 55 basin sites with a recorded mound height. The height distribution is graded, with no gap separating Parkin from the next centers (tallest-to-second ratio 1.0),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 has the tallest mound (23 ft, or 7 m), but one other site matches that height, so it is tied for first among the 55 basin sites with a recorded mound height. The height distribution is graded, with no gap separating Parkin from the next centers (tallest-to-second ratio 1.0), which marks Parkin as a prominent center rather than a redistributive apex. Inset: the proportion of sites with a mound, a defensive ditch, and St. Francis-type fortification across the basin set (n = 92).</w:t>
      </w:r>
    </w:p>
    <w:bookmarkEnd w:id="147"/>
    <w:bookmarkEnd w:id="148"/>
    <w:bookmarkStart w:id="149"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the one with the most elaborate mound construction. Its decorated-ceramic record shows no closure of interaction at the resolution our recovery experiment establishes.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and restricted copying, as we have modeled it, does not explain the difference either. Of the four assumptions we were able to relax, only one accounts for it, and it is not an assumption about who copied whom.</w:t>
      </w:r>
    </w:p>
    <w:p>
      <w:pPr>
        <w:pStyle w:val="BodyText"/>
      </w:pPr>
      <w:r>
        <w:t xml:space="preserve">It is worth being clear about what that result does and does not claim about the role of geography. The innovation boundary is itself geographic. The profiles follow the same spatial clusters everything else in this comparison is measured on, and nothing in it requires a social frontier. What the four tests separate is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at once. The record is spatially organized either way. What it appears not to be is spatially organized in the channel archaeology usually assumes.</w:t>
      </w:r>
    </w:p>
    <w:p>
      <w:pPr>
        <w:pStyle w:val="BodyText"/>
      </w:pPr>
      <w:r>
        <w:t xml:space="preserve">What that identifies is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widely spread, so the agreement is between the model’s central tendency and the observation rather than between tight distributions.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and its diversity at once. That points attention away from restricted copying, which the paper has already found little sign of, and toward the possibility that innovation itself was locally patterned.</w:t>
      </w:r>
    </w:p>
    <w:p>
      <w:pPr>
        <w:pStyle w:val="BodyText"/>
      </w:pPr>
      <w:r>
        <w:t xml:space="preserve">A drift model alone does not reproduce the phase pattern, and the transmission record does not identify bounded groups as its cause either. A partition-free field model finds almost none of the site-specific residual that bounded groups would leave, so the differentiation that calibrated drift underpredicts is spatially continuous rather than clustered into groups. It leaves the drift-versus-groups question open at the level of the basin, and it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a single observation, that assemblages resemble their near neighbors more than their distant ones. Spatially structured drift produces a pattern of that shape on its own, with no bounded group anywhere, even though the drift model we calibrated does not match how strong the pattern is here.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Nor is this interpretation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is the test. Run forward on the real configuration of the basin assemblages, with copying that decays with distance along the waterways and with no boundary imposed</w:t>
      </w:r>
      <w:r>
        <w:t xml:space="preserve"> </w:t>
      </w:r>
      <w:r>
        <w:t xml:space="preserve">(Lipo et al. 2021)</w:t>
      </w:r>
      <w:r>
        <w:t xml:space="preserve">, the drift model reproduces the diversity within the assemblages and underpredicts the differentiation between the spatial clusters. Local elaboration on a shared complex is most of what the record looks like, but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excess that remains is measured on the basin’s spatial clusters,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The basin assemblages are more differentiated than either generative model produces.</w:t>
      </w:r>
      <w:r>
        <w:t xml:space="preserve"> </w:t>
      </w:r>
      <w:r>
        <w:t xml:space="preserve">Between-cluster cultural</w:t>
      </w:r>
      <w:r>
        <w:t xml:space="preserve"> </w:t>
      </w:r>
      <m:oMath>
        <m:sSub>
          <m:e>
            <m:r>
              <m:t>F</m:t>
            </m:r>
          </m:e>
          <m:sub>
            <m:r>
              <m:t>S</m:t>
            </m:r>
            <m:r>
              <m:t>T</m:t>
            </m:r>
          </m:sub>
        </m:sSub>
      </m:oMath>
      <w:r>
        <w:t xml:space="preserve"> </w:t>
      </w:r>
      <w:r>
        <w:t xml:space="preserve">is 0.018, against 0.0005 to 0.013 for the simplest drift model calibrated to the assemblages’ own diversity,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 in particular.</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there is no closure of the kind and strength this record can register.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negligible in the first place, a rank correlation of +0.027 against a draw-to-draw spread of -0.30 to +0.60, and reversing the axis only reverses the sign of a negligible trend. What the paper reports is therefore a level of differentiation, not a trajectory toward or away from one. We report the spatial comparisons under both orientations, and the settlement and exchange lines of evidence do not depend on the ceramic chronology at all.</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too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verdict is stable across both basin definitions, the watershed (19 assemblages) and the corridor (29).</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the reason the innovation boundary is reported as the best of four tested accounts rather than as the explanation, and the reason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-0.026 to +0.041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The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a methodological contribution and a substantive one. The four signatures show that a bounded interaction group can in principle be distinguished from drift, and an idealized simulation confirms that closure moves all four together while the three resembling processes move only some (Figure 2). Before any similarity structure is interpreted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is left over is small, is measured on spatial clusters rather than on the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eight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49"/>
    <w:bookmarkStart w:id="150"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and the one with the tallest mounds. No evidence from settlement, exchange, or the transmission of ceramic decoration indicates that it was the apex of a polity, and the record shows no narrowing of interaction beyond what distance produces, along its sequence and at the resolution the record affords.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but it underpredicts how different the basin’s spatial clusters actually are. No parameterization that reproduces the assemblages’ diversity reproduces their differentiation.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than calibrated drift predicts, and not resolvable into bounded polities. The open question is no longer whether the phases are societies. It is what makes the record more differentiated than a calibrated neutral model produces, and of the four assumptions we could relax, only a weak boundary in where new styles originate answers it.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50"/>
    <w:bookmarkStart w:id="15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51"/>
    <w:bookmarkStart w:id="324" w:name="references"/>
    <w:p>
      <w:pPr>
        <w:pStyle w:val="Heading2"/>
      </w:pPr>
      <w:r>
        <w:t xml:space="preserve">References</w:t>
      </w:r>
    </w:p>
    <w:bookmarkStart w:id="323" w:name="refs"/>
    <w:bookmarkStart w:id="15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52"/>
    <w:bookmarkStart w:id="154"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53">
        <w:r>
          <w:rPr>
            <w:rStyle w:val="Hyperlink"/>
          </w:rPr>
          <w:t xml:space="preserve">https://doi.org/10.1016/j.jaa.2006.08.002</w:t>
        </w:r>
      </w:hyperlink>
      <w:r>
        <w:t xml:space="preserve">.</w:t>
      </w:r>
    </w:p>
    <w:bookmarkEnd w:id="154"/>
    <w:bookmarkStart w:id="156"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55">
        <w:r>
          <w:rPr>
            <w:rStyle w:val="Hyperlink"/>
          </w:rPr>
          <w:t xml:space="preserve">https://doi.org/10.1016/j.beproc.2018.01.011</w:t>
        </w:r>
      </w:hyperlink>
      <w:r>
        <w:t xml:space="preserve">.</w:t>
      </w:r>
    </w:p>
    <w:bookmarkEnd w:id="156"/>
    <w:bookmarkStart w:id="158"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57">
        <w:r>
          <w:rPr>
            <w:rStyle w:val="Hyperlink"/>
          </w:rPr>
          <w:t xml:space="preserve">https://doi.org/10.1098/rstb.1996.0073</w:t>
        </w:r>
      </w:hyperlink>
      <w:r>
        <w:t xml:space="preserve">.</w:t>
      </w:r>
    </w:p>
    <w:bookmarkEnd w:id="158"/>
    <w:bookmarkStart w:id="159"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59"/>
    <w:bookmarkStart w:id="161"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0">
        <w:r>
          <w:rPr>
            <w:rStyle w:val="Hyperlink"/>
          </w:rPr>
          <w:t xml:space="preserve">https://doi.org/10.2307/3557066</w:t>
        </w:r>
      </w:hyperlink>
      <w:r>
        <w:t xml:space="preserve">.</w:t>
      </w:r>
    </w:p>
    <w:bookmarkEnd w:id="161"/>
    <w:bookmarkStart w:id="163"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62">
        <w:r>
          <w:rPr>
            <w:rStyle w:val="Hyperlink"/>
          </w:rPr>
          <w:t xml:space="preserve">https://doi.org/10.1017/S0094837300026907</w:t>
        </w:r>
      </w:hyperlink>
      <w:r>
        <w:t xml:space="preserve">.</w:t>
      </w:r>
    </w:p>
    <w:bookmarkEnd w:id="163"/>
    <w:bookmarkStart w:id="165"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4">
        <w:r>
          <w:rPr>
            <w:rStyle w:val="Hyperlink"/>
          </w:rPr>
          <w:t xml:space="preserve">https://doi.org/10.1073/pnas.0903232106</w:t>
        </w:r>
      </w:hyperlink>
      <w:r>
        <w:t xml:space="preserve">.</w:t>
      </w:r>
    </w:p>
    <w:bookmarkEnd w:id="165"/>
    <w:bookmarkStart w:id="167"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66">
        <w:r>
          <w:rPr>
            <w:rStyle w:val="Hyperlink"/>
          </w:rPr>
          <w:t xml:space="preserve">https://doi.org/10.1371/journal.pone.0003057</w:t>
        </w:r>
      </w:hyperlink>
      <w:r>
        <w:t xml:space="preserve">.</w:t>
      </w:r>
    </w:p>
    <w:bookmarkEnd w:id="167"/>
    <w:bookmarkStart w:id="169"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8">
        <w:r>
          <w:rPr>
            <w:rStyle w:val="Hyperlink"/>
          </w:rPr>
          <w:t xml:space="preserve">https://doi.org/10.1098/rspb.2004.2746</w:t>
        </w:r>
      </w:hyperlink>
      <w:r>
        <w:t xml:space="preserve">.</w:t>
      </w:r>
    </w:p>
    <w:bookmarkEnd w:id="169"/>
    <w:bookmarkStart w:id="170"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70"/>
    <w:bookmarkStart w:id="172"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1">
        <w:r>
          <w:rPr>
            <w:rStyle w:val="Hyperlink"/>
          </w:rPr>
          <w:t xml:space="preserve">https://doi.org/10.2307/2694206</w:t>
        </w:r>
      </w:hyperlink>
      <w:r>
        <w:t xml:space="preserve">.</w:t>
      </w:r>
    </w:p>
    <w:bookmarkEnd w:id="172"/>
    <w:bookmarkStart w:id="173"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3"/>
    <w:bookmarkStart w:id="17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74">
        <w:r>
          <w:rPr>
            <w:rStyle w:val="Hyperlink"/>
          </w:rPr>
          <w:t xml:space="preserve">https://doi.org/10.1057/s41599-019-0295-9</w:t>
        </w:r>
      </w:hyperlink>
      <w:r>
        <w:t xml:space="preserve">.</w:t>
      </w:r>
    </w:p>
    <w:bookmarkEnd w:id="175"/>
    <w:bookmarkStart w:id="176"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6"/>
    <w:bookmarkStart w:id="1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77">
        <w:r>
          <w:rPr>
            <w:rStyle w:val="Hyperlink"/>
          </w:rPr>
          <w:t xml:space="preserve">https://doi.org/10.1057/s41599-020-00635-3</w:t>
        </w:r>
      </w:hyperlink>
      <w:r>
        <w:t xml:space="preserve">.</w:t>
      </w:r>
    </w:p>
    <w:bookmarkEnd w:id="178"/>
    <w:bookmarkStart w:id="1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9">
        <w:r>
          <w:rPr>
            <w:rStyle w:val="Hyperlink"/>
          </w:rPr>
          <w:t xml:space="preserve">https://doi.org/10.1007/s10816-022-09599-x</w:t>
        </w:r>
      </w:hyperlink>
      <w:r>
        <w:t xml:space="preserve">.</w:t>
      </w:r>
    </w:p>
    <w:bookmarkEnd w:id="180"/>
    <w:bookmarkStart w:id="18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81">
        <w:r>
          <w:rPr>
            <w:rStyle w:val="Hyperlink"/>
          </w:rPr>
          <w:t xml:space="preserve">https://doi.org/10.1016/j.jas.2014.07.014</w:t>
        </w:r>
      </w:hyperlink>
      <w:r>
        <w:t xml:space="preserve">.</w:t>
      </w:r>
    </w:p>
    <w:bookmarkEnd w:id="182"/>
    <w:bookmarkStart w:id="18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83">
        <w:r>
          <w:rPr>
            <w:rStyle w:val="Hyperlink"/>
          </w:rPr>
          <w:t xml:space="preserve">https://doi.org/10.1038/srep39122</w:t>
        </w:r>
      </w:hyperlink>
      <w:r>
        <w:t xml:space="preserve">.</w:t>
      </w:r>
    </w:p>
    <w:bookmarkEnd w:id="184"/>
    <w:bookmarkStart w:id="1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85">
        <w:r>
          <w:rPr>
            <w:rStyle w:val="Hyperlink"/>
          </w:rPr>
          <w:t xml:space="preserve">https://doi.org/10.2307/278341</w:t>
        </w:r>
      </w:hyperlink>
      <w:r>
        <w:t xml:space="preserve">.</w:t>
      </w:r>
    </w:p>
    <w:bookmarkEnd w:id="186"/>
    <w:bookmarkStart w:id="187" w:name="ref-dunnell_1971"/>
    <w:p>
      <w:pPr>
        <w:pStyle w:val="Bibliography"/>
      </w:pPr>
      <w:r>
        <w:t xml:space="preserve">Dunnell, Robert C. 1971.</w:t>
      </w:r>
      <w:r>
        <w:t xml:space="preserve"> </w:t>
      </w:r>
      <w:r>
        <w:rPr>
          <w:i/>
          <w:iCs/>
        </w:rPr>
        <w:t xml:space="preserve">Systematics in Prehistory</w:t>
      </w:r>
      <w:r>
        <w:t xml:space="preserve">. Free Press, New York.</w:t>
      </w:r>
    </w:p>
    <w:bookmarkEnd w:id="187"/>
    <w:bookmarkStart w:id="18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88">
        <w:r>
          <w:rPr>
            <w:rStyle w:val="Hyperlink"/>
          </w:rPr>
          <w:t xml:space="preserve">https://doi.org/10.2307/279244</w:t>
        </w:r>
      </w:hyperlink>
      <w:r>
        <w:t xml:space="preserve">.</w:t>
      </w:r>
    </w:p>
    <w:bookmarkEnd w:id="189"/>
    <w:bookmarkStart w:id="19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90"/>
    <w:bookmarkStart w:id="19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91"/>
    <w:bookmarkStart w:id="192" w:name="ref-dunnell_1995b"/>
    <w:p>
      <w:pPr>
        <w:pStyle w:val="Bibliography"/>
      </w:pPr>
      <w:r>
        <w:t xml:space="preserve">Dunnell, Robert C. 1995b. Style: Concepts and Practice.</w:t>
      </w:r>
    </w:p>
    <w:bookmarkEnd w:id="192"/>
    <w:bookmarkStart w:id="19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93"/>
    <w:bookmarkStart w:id="19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94">
        <w:r>
          <w:rPr>
            <w:rStyle w:val="Hyperlink"/>
          </w:rPr>
          <w:t xml:space="preserve">https://doi.org/10.1016/j.jaa.2005.08.001</w:t>
        </w:r>
      </w:hyperlink>
      <w:r>
        <w:t xml:space="preserve">.</w:t>
      </w:r>
    </w:p>
    <w:bookmarkEnd w:id="195"/>
    <w:bookmarkStart w:id="19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96">
        <w:r>
          <w:rPr>
            <w:rStyle w:val="Hyperlink"/>
          </w:rPr>
          <w:t xml:space="preserve">https://doi.org/10.1007/s10814-007-9013-z</w:t>
        </w:r>
      </w:hyperlink>
      <w:r>
        <w:t xml:space="preserve">.</w:t>
      </w:r>
    </w:p>
    <w:bookmarkEnd w:id="197"/>
    <w:bookmarkStart w:id="19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98"/>
    <w:bookmarkStart w:id="20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99">
        <w:r>
          <w:rPr>
            <w:rStyle w:val="Hyperlink"/>
          </w:rPr>
          <w:t xml:space="preserve">https://doi.org/10.1534/genetics.113.158220</w:t>
        </w:r>
      </w:hyperlink>
      <w:r>
        <w:t xml:space="preserve">.</w:t>
      </w:r>
    </w:p>
    <w:bookmarkEnd w:id="200"/>
    <w:bookmarkStart w:id="20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01">
        <w:r>
          <w:rPr>
            <w:rStyle w:val="Hyperlink"/>
          </w:rPr>
          <w:t xml:space="preserve">https://doi.org/10.1073/pnas.2418106121</w:t>
        </w:r>
      </w:hyperlink>
      <w:r>
        <w:t xml:space="preserve">.</w:t>
      </w:r>
    </w:p>
    <w:bookmarkEnd w:id="202"/>
    <w:bookmarkStart w:id="20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03"/>
    <w:bookmarkStart w:id="20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04"/>
    <w:bookmarkStart w:id="20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05"/>
    <w:bookmarkStart w:id="20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06">
        <w:r>
          <w:rPr>
            <w:rStyle w:val="Hyperlink"/>
          </w:rPr>
          <w:t xml:space="preserve">https://doi.org/10.1525/aa.2001.103.4.992</w:t>
        </w:r>
      </w:hyperlink>
      <w:r>
        <w:t xml:space="preserve">.</w:t>
      </w:r>
    </w:p>
    <w:bookmarkEnd w:id="207"/>
    <w:bookmarkStart w:id="20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08">
        <w:r>
          <w:rPr>
            <w:rStyle w:val="Hyperlink"/>
          </w:rPr>
          <w:t xml:space="preserve">https://doi.org/10.2307/4128416</w:t>
        </w:r>
      </w:hyperlink>
      <w:r>
        <w:t xml:space="preserve">.</w:t>
      </w:r>
    </w:p>
    <w:bookmarkEnd w:id="209"/>
    <w:bookmarkStart w:id="21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10">
        <w:r>
          <w:rPr>
            <w:rStyle w:val="Hyperlink"/>
          </w:rPr>
          <w:t xml:space="preserve">https://doi.org/10.1016/S1090-5138(98)00018-X</w:t>
        </w:r>
      </w:hyperlink>
      <w:r>
        <w:t xml:space="preserve">.</w:t>
      </w:r>
    </w:p>
    <w:bookmarkEnd w:id="211"/>
    <w:bookmarkStart w:id="21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12"/>
    <w:bookmarkStart w:id="21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13">
        <w:r>
          <w:rPr>
            <w:rStyle w:val="Hyperlink"/>
          </w:rPr>
          <w:t xml:space="preserve">https://doi.org/10.1017/aap.2021.10</w:t>
        </w:r>
      </w:hyperlink>
      <w:r>
        <w:t xml:space="preserve">.</w:t>
      </w:r>
    </w:p>
    <w:bookmarkEnd w:id="214"/>
    <w:bookmarkStart w:id="215"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15"/>
    <w:bookmarkStart w:id="21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16"/>
    <w:bookmarkStart w:id="21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17"/>
    <w:bookmarkStart w:id="21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18">
        <w:r>
          <w:rPr>
            <w:rStyle w:val="Hyperlink"/>
          </w:rPr>
          <w:t xml:space="preserve">https://doi.org/10.1666/05070.1</w:t>
        </w:r>
      </w:hyperlink>
      <w:r>
        <w:t xml:space="preserve">.</w:t>
      </w:r>
    </w:p>
    <w:bookmarkEnd w:id="219"/>
    <w:bookmarkStart w:id="22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20">
        <w:r>
          <w:rPr>
            <w:rStyle w:val="Hyperlink"/>
          </w:rPr>
          <w:t xml:space="preserve">https://doi.org/10.1111/j.1558-5646.2007.00310.x</w:t>
        </w:r>
      </w:hyperlink>
      <w:r>
        <w:t xml:space="preserve">.</w:t>
      </w:r>
    </w:p>
    <w:bookmarkEnd w:id="221"/>
    <w:bookmarkStart w:id="222"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22"/>
    <w:bookmarkStart w:id="22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23">
        <w:r>
          <w:rPr>
            <w:rStyle w:val="Hyperlink"/>
          </w:rPr>
          <w:t xml:space="preserve">https://doi.org/10.1016/j.jtbi.2013.03.006</w:t>
        </w:r>
      </w:hyperlink>
      <w:r>
        <w:t xml:space="preserve">.</w:t>
      </w:r>
    </w:p>
    <w:bookmarkEnd w:id="224"/>
    <w:bookmarkStart w:id="226"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25">
        <w:r>
          <w:rPr>
            <w:rStyle w:val="Hyperlink"/>
          </w:rPr>
          <w:t xml:space="preserve">https://doi.org/10.1098/rsif.2015.0905</w:t>
        </w:r>
      </w:hyperlink>
      <w:r>
        <w:t xml:space="preserve">.</w:t>
      </w:r>
    </w:p>
    <w:bookmarkEnd w:id="226"/>
    <w:bookmarkStart w:id="228"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27">
        <w:r>
          <w:rPr>
            <w:rStyle w:val="Hyperlink"/>
          </w:rPr>
          <w:t xml:space="preserve">https://doi.org/10.1098/rsos.170949</w:t>
        </w:r>
      </w:hyperlink>
      <w:r>
        <w:t xml:space="preserve">.</w:t>
      </w:r>
    </w:p>
    <w:bookmarkEnd w:id="228"/>
    <w:bookmarkStart w:id="230"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29">
        <w:r>
          <w:rPr>
            <w:rStyle w:val="Hyperlink"/>
          </w:rPr>
          <w:t xml:space="preserve">https://doi.org/10.1146/annurev-ecolsys-110512-135838</w:t>
        </w:r>
      </w:hyperlink>
      <w:r>
        <w:t xml:space="preserve">.</w:t>
      </w:r>
    </w:p>
    <w:bookmarkEnd w:id="230"/>
    <w:bookmarkStart w:id="231"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31"/>
    <w:bookmarkStart w:id="233"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32">
        <w:r>
          <w:rPr>
            <w:rStyle w:val="Hyperlink"/>
          </w:rPr>
          <w:t xml:space="preserve">https://doi.org/10.2307/2694529</w:t>
        </w:r>
      </w:hyperlink>
      <w:r>
        <w:t xml:space="preserve">.</w:t>
      </w:r>
    </w:p>
    <w:bookmarkEnd w:id="233"/>
    <w:bookmarkStart w:id="234"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34"/>
    <w:bookmarkStart w:id="23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35"/>
    <w:bookmarkStart w:id="23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36"/>
    <w:bookmarkStart w:id="23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37">
        <w:r>
          <w:rPr>
            <w:rStyle w:val="Hyperlink"/>
          </w:rPr>
          <w:t xml:space="preserve">https://doi.org/10.1371/journal.pone.0250690</w:t>
        </w:r>
      </w:hyperlink>
      <w:r>
        <w:t xml:space="preserve">.</w:t>
      </w:r>
    </w:p>
    <w:bookmarkEnd w:id="238"/>
    <w:bookmarkStart w:id="23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39"/>
    <w:bookmarkStart w:id="24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40">
        <w:r>
          <w:rPr>
            <w:rStyle w:val="Hyperlink"/>
          </w:rPr>
          <w:t xml:space="preserve">https://doi.org/10.1016/j.jas.2010.05.015</w:t>
        </w:r>
      </w:hyperlink>
      <w:r>
        <w:t xml:space="preserve">.</w:t>
      </w:r>
    </w:p>
    <w:bookmarkEnd w:id="241"/>
    <w:bookmarkStart w:id="24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42"/>
    <w:bookmarkStart w:id="24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43">
        <w:r>
          <w:rPr>
            <w:rStyle w:val="Hyperlink"/>
          </w:rPr>
          <w:t xml:space="preserve">https://doi.org/10.1371/journal.pone.0124942</w:t>
        </w:r>
      </w:hyperlink>
      <w:r>
        <w:t xml:space="preserve">.</w:t>
      </w:r>
    </w:p>
    <w:bookmarkEnd w:id="244"/>
    <w:bookmarkStart w:id="24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45">
        <w:r>
          <w:rPr>
            <w:rStyle w:val="Hyperlink"/>
          </w:rPr>
          <w:t xml:space="preserve">https://doi.org/10.1006/jaar.1997.0314</w:t>
        </w:r>
      </w:hyperlink>
      <w:r>
        <w:t xml:space="preserve">.</w:t>
      </w:r>
    </w:p>
    <w:bookmarkEnd w:id="246"/>
    <w:bookmarkStart w:id="24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47">
        <w:r>
          <w:rPr>
            <w:rStyle w:val="Hyperlink"/>
          </w:rPr>
          <w:t xml:space="preserve">https://doi.org/10.1073/pnas.1818346116</w:t>
        </w:r>
      </w:hyperlink>
      <w:r>
        <w:t xml:space="preserve">.</w:t>
      </w:r>
    </w:p>
    <w:bookmarkEnd w:id="248"/>
    <w:bookmarkStart w:id="25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49">
        <w:r>
          <w:rPr>
            <w:rStyle w:val="Hyperlink"/>
          </w:rPr>
          <w:t xml:space="preserve">https://doi.org/10.1016/j.jas.2021.105412</w:t>
        </w:r>
      </w:hyperlink>
      <w:r>
        <w:t xml:space="preserve">.</w:t>
      </w:r>
    </w:p>
    <w:bookmarkEnd w:id="250"/>
    <w:bookmarkStart w:id="251" w:name="ref-madsen_2012"/>
    <w:p>
      <w:pPr>
        <w:pStyle w:val="Bibliography"/>
      </w:pPr>
      <w:r>
        <w:t xml:space="preserve">Madsen, Mark E. 2012. Neutral Cultural Transmission in Time-Averaged Archaeological Assemblages. arXiv preprint arXiv:1204.2043 [physics.soc-ph].</w:t>
      </w:r>
    </w:p>
    <w:bookmarkEnd w:id="251"/>
    <w:bookmarkStart w:id="25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52"/>
    <w:bookmarkStart w:id="25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53"/>
    <w:bookmarkStart w:id="25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54"/>
    <w:bookmarkStart w:id="25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55"/>
    <w:bookmarkStart w:id="256"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56"/>
    <w:bookmarkStart w:id="25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57"/>
    <w:bookmarkStart w:id="25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58"/>
    <w:bookmarkStart w:id="26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59">
        <w:r>
          <w:rPr>
            <w:rStyle w:val="Hyperlink"/>
          </w:rPr>
          <w:t xml:space="preserve">https://doi.org/10.1080/20548923.2018.1504490</w:t>
        </w:r>
      </w:hyperlink>
      <w:r>
        <w:t xml:space="preserve">.</w:t>
      </w:r>
    </w:p>
    <w:bookmarkEnd w:id="260"/>
    <w:bookmarkStart w:id="26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61"/>
    <w:bookmarkStart w:id="26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62"/>
    <w:bookmarkStart w:id="26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63"/>
    <w:bookmarkStart w:id="26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64"/>
    <w:bookmarkStart w:id="26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65"/>
    <w:bookmarkStart w:id="26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66"/>
    <w:bookmarkStart w:id="26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67"/>
    <w:bookmarkStart w:id="26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68"/>
    <w:bookmarkStart w:id="27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69">
        <w:r>
          <w:rPr>
            <w:rStyle w:val="Hyperlink"/>
          </w:rPr>
          <w:t xml:space="preserve">https://doi.org/10.1098/rstb.2016.0426</w:t>
        </w:r>
      </w:hyperlink>
      <w:r>
        <w:t xml:space="preserve">.</w:t>
      </w:r>
    </w:p>
    <w:bookmarkEnd w:id="270"/>
    <w:bookmarkStart w:id="27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71">
        <w:r>
          <w:rPr>
            <w:rStyle w:val="Hyperlink"/>
          </w:rPr>
          <w:t xml:space="preserve">https://doi.org/10.2307/279066</w:t>
        </w:r>
      </w:hyperlink>
      <w:r>
        <w:t xml:space="preserve">.</w:t>
      </w:r>
    </w:p>
    <w:bookmarkEnd w:id="272"/>
    <w:bookmarkStart w:id="27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73">
        <w:r>
          <w:rPr>
            <w:rStyle w:val="Hyperlink"/>
          </w:rPr>
          <w:t xml:space="preserve">https://doi.org/10.1016/j.jas.2012.04.040</w:t>
        </w:r>
      </w:hyperlink>
      <w:r>
        <w:t xml:space="preserve">.</w:t>
      </w:r>
    </w:p>
    <w:bookmarkEnd w:id="274"/>
    <w:bookmarkStart w:id="27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75">
        <w:r>
          <w:rPr>
            <w:rStyle w:val="Hyperlink"/>
          </w:rPr>
          <w:t xml:space="preserve">https://doi.org/10.1007/s10816-018-9364-4</w:t>
        </w:r>
      </w:hyperlink>
      <w:r>
        <w:t xml:space="preserve">.</w:t>
      </w:r>
    </w:p>
    <w:bookmarkEnd w:id="276"/>
    <w:bookmarkStart w:id="27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77"/>
    <w:bookmarkStart w:id="27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78"/>
    <w:bookmarkStart w:id="27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79"/>
    <w:bookmarkStart w:id="28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80">
        <w:r>
          <w:rPr>
            <w:rStyle w:val="Hyperlink"/>
          </w:rPr>
          <w:t xml:space="preserve">https://doi.org/10.1525/aa.1953.55.5.02a00030</w:t>
        </w:r>
      </w:hyperlink>
      <w:r>
        <w:t xml:space="preserve">.</w:t>
      </w:r>
    </w:p>
    <w:bookmarkEnd w:id="281"/>
    <w:bookmarkStart w:id="28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82">
        <w:r>
          <w:rPr>
            <w:rStyle w:val="Hyperlink"/>
          </w:rPr>
          <w:t xml:space="preserve">https://doi.org/10.1126/science.1170165</w:t>
        </w:r>
      </w:hyperlink>
      <w:r>
        <w:t xml:space="preserve">.</w:t>
      </w:r>
    </w:p>
    <w:bookmarkEnd w:id="283"/>
    <w:bookmarkStart w:id="28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84">
        <w:r>
          <w:rPr>
            <w:rStyle w:val="Hyperlink"/>
          </w:rPr>
          <w:t xml:space="preserve">https://doi.org/10.1086/674873</w:t>
        </w:r>
      </w:hyperlink>
      <w:r>
        <w:t xml:space="preserve">.</w:t>
      </w:r>
    </w:p>
    <w:bookmarkEnd w:id="285"/>
    <w:bookmarkStart w:id="28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86">
        <w:r>
          <w:rPr>
            <w:rStyle w:val="Hyperlink"/>
          </w:rPr>
          <w:t xml:space="preserve">https://doi.org/10.7183/0002-7316.81.4.605</w:t>
        </w:r>
      </w:hyperlink>
      <w:r>
        <w:t xml:space="preserve">.</w:t>
      </w:r>
    </w:p>
    <w:bookmarkEnd w:id="287"/>
    <w:bookmarkStart w:id="28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88">
        <w:r>
          <w:rPr>
            <w:rStyle w:val="Hyperlink"/>
          </w:rPr>
          <w:t xml:space="preserve">https://doi.org/10.7183/0002-7316.76.1.163</w:t>
        </w:r>
      </w:hyperlink>
      <w:r>
        <w:t xml:space="preserve">.</w:t>
      </w:r>
    </w:p>
    <w:bookmarkEnd w:id="289"/>
    <w:bookmarkStart w:id="29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90"/>
    <w:bookmarkStart w:id="29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91">
        <w:r>
          <w:rPr>
            <w:rStyle w:val="Hyperlink"/>
          </w:rPr>
          <w:t xml:space="preserve">https://doi.org/10.1017/RDC.2020.41</w:t>
        </w:r>
      </w:hyperlink>
      <w:r>
        <w:t xml:space="preserve">.</w:t>
      </w:r>
    </w:p>
    <w:bookmarkEnd w:id="292"/>
    <w:bookmarkStart w:id="29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93">
        <w:r>
          <w:rPr>
            <w:rStyle w:val="Hyperlink"/>
          </w:rPr>
          <w:t xml:space="preserve">https://doi.org/10.1017/S0140525X1400106X</w:t>
        </w:r>
      </w:hyperlink>
      <w:r>
        <w:t xml:space="preserve">.</w:t>
      </w:r>
    </w:p>
    <w:bookmarkEnd w:id="294"/>
    <w:bookmarkStart w:id="29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95">
        <w:r>
          <w:rPr>
            <w:rStyle w:val="Hyperlink"/>
          </w:rPr>
          <w:t xml:space="preserve">https://doi.org/10.1057/s41599-019-0260-7</w:t>
        </w:r>
      </w:hyperlink>
      <w:r>
        <w:t xml:space="preserve">.</w:t>
      </w:r>
    </w:p>
    <w:bookmarkEnd w:id="296"/>
    <w:bookmarkStart w:id="29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97"/>
    <w:bookmarkStart w:id="29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98"/>
    <w:bookmarkStart w:id="29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99"/>
    <w:bookmarkStart w:id="30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00">
        <w:r>
          <w:rPr>
            <w:rStyle w:val="Hyperlink"/>
          </w:rPr>
          <w:t xml:space="preserve">https://doi.org/10.1016/j.jtbi.2016.04.024</w:t>
        </w:r>
      </w:hyperlink>
      <w:r>
        <w:t xml:space="preserve">.</w:t>
      </w:r>
    </w:p>
    <w:bookmarkEnd w:id="301"/>
    <w:bookmarkStart w:id="30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02">
        <w:r>
          <w:rPr>
            <w:rStyle w:val="Hyperlink"/>
          </w:rPr>
          <w:t xml:space="preserve">https://doi.org/10.1016/j.evolhumbehav.2014.09.006</w:t>
        </w:r>
      </w:hyperlink>
      <w:r>
        <w:t xml:space="preserve">.</w:t>
      </w:r>
    </w:p>
    <w:bookmarkEnd w:id="303"/>
    <w:bookmarkStart w:id="30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04"/>
    <w:bookmarkStart w:id="30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05"/>
    <w:bookmarkStart w:id="30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06"/>
    <w:bookmarkStart w:id="30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07"/>
    <w:bookmarkStart w:id="30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08">
        <w:r>
          <w:rPr>
            <w:rStyle w:val="Hyperlink"/>
          </w:rPr>
          <w:t xml:space="preserve">https://doi.org/10.1006/jhev.1994.1037</w:t>
        </w:r>
      </w:hyperlink>
      <w:r>
        <w:t xml:space="preserve">.</w:t>
      </w:r>
    </w:p>
    <w:bookmarkEnd w:id="309"/>
    <w:bookmarkStart w:id="31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10">
        <w:r>
          <w:rPr>
            <w:rStyle w:val="Hyperlink"/>
          </w:rPr>
          <w:t xml:space="preserve">https://doi.org/10.1017/aaq.2024.1</w:t>
        </w:r>
      </w:hyperlink>
      <w:r>
        <w:t xml:space="preserve">.</w:t>
      </w:r>
    </w:p>
    <w:bookmarkEnd w:id="311"/>
    <w:bookmarkStart w:id="31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12"/>
    <w:bookmarkStart w:id="31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13">
        <w:r>
          <w:rPr>
            <w:rStyle w:val="Hyperlink"/>
          </w:rPr>
          <w:t xml:space="preserve">https://doi.org/10.1086/651661</w:t>
        </w:r>
      </w:hyperlink>
      <w:r>
        <w:t xml:space="preserve">.</w:t>
      </w:r>
    </w:p>
    <w:bookmarkEnd w:id="314"/>
    <w:bookmarkStart w:id="31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15"/>
    <w:bookmarkStart w:id="316" w:name="ref-williams_1954"/>
    <w:p>
      <w:pPr>
        <w:pStyle w:val="Bibliography"/>
      </w:pPr>
      <w:r>
        <w:t xml:space="preserve">Williams, Stephen. 1954. An Archeological Study of the Mississippian Culture in Southeast Missouri. PhD thesis, Yale University, New Haven.</w:t>
      </w:r>
    </w:p>
    <w:bookmarkEnd w:id="316"/>
    <w:bookmarkStart w:id="31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17">
        <w:r>
          <w:rPr>
            <w:rStyle w:val="Hyperlink"/>
          </w:rPr>
          <w:t xml:space="preserve">https://doi.org/10.1093/genetics/28.2.114</w:t>
        </w:r>
      </w:hyperlink>
      <w:r>
        <w:t xml:space="preserve">.</w:t>
      </w:r>
    </w:p>
    <w:bookmarkEnd w:id="318"/>
    <w:bookmarkStart w:id="32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19">
        <w:r>
          <w:rPr>
            <w:rStyle w:val="Hyperlink"/>
          </w:rPr>
          <w:t xml:space="preserve">https://doi.org/10.1111/j.1469-1809.1949.tb02451.x</w:t>
        </w:r>
      </w:hyperlink>
      <w:r>
        <w:t xml:space="preserve">.</w:t>
      </w:r>
    </w:p>
    <w:bookmarkEnd w:id="320"/>
    <w:bookmarkStart w:id="32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21">
        <w:r>
          <w:rPr>
            <w:rStyle w:val="Hyperlink"/>
          </w:rPr>
          <w:t xml:space="preserve">https://doi.org/10.1017/ehs.2023.5</w:t>
        </w:r>
      </w:hyperlink>
      <w:r>
        <w:t xml:space="preserve">.</w:t>
      </w:r>
    </w:p>
    <w:bookmarkEnd w:id="322"/>
    <w:bookmarkEnd w:id="323"/>
    <w:bookmarkEnd w:id="324"/>
    <w:bookmarkEnd w:id="32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45" Target="https://doi.org/10.1006/jaar.1997.0314" TargetMode="External" /><Relationship Type="http://schemas.openxmlformats.org/officeDocument/2006/relationships/hyperlink" Id="rId308" Target="https://doi.org/10.1006/jhev.1994.1037" TargetMode="External" /><Relationship Type="http://schemas.openxmlformats.org/officeDocument/2006/relationships/hyperlink" Id="rId196" Target="https://doi.org/10.1007/s10814-007-9013-z" TargetMode="External" /><Relationship Type="http://schemas.openxmlformats.org/officeDocument/2006/relationships/hyperlink" Id="rId275"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10" Target="https://doi.org/10.1016/S1090-5138(98)00018-X" TargetMode="External" /><Relationship Type="http://schemas.openxmlformats.org/officeDocument/2006/relationships/hyperlink" Id="rId155" Target="https://doi.org/10.1016/j.beproc.2018.01.011" TargetMode="External" /><Relationship Type="http://schemas.openxmlformats.org/officeDocument/2006/relationships/hyperlink" Id="rId302" Target="https://doi.org/10.1016/j.evolhumbehav.2014.09.006" TargetMode="External" /><Relationship Type="http://schemas.openxmlformats.org/officeDocument/2006/relationships/hyperlink" Id="rId194" Target="https://doi.org/10.1016/j.jaa.2005.08.001" TargetMode="External" /><Relationship Type="http://schemas.openxmlformats.org/officeDocument/2006/relationships/hyperlink" Id="rId153" Target="https://doi.org/10.1016/j.jaa.2006.08.002" TargetMode="External" /><Relationship Type="http://schemas.openxmlformats.org/officeDocument/2006/relationships/hyperlink" Id="rId240" Target="https://doi.org/10.1016/j.jas.2010.05.015" TargetMode="External" /><Relationship Type="http://schemas.openxmlformats.org/officeDocument/2006/relationships/hyperlink" Id="rId273" Target="https://doi.org/10.1016/j.jas.2012.04.040" TargetMode="External" /><Relationship Type="http://schemas.openxmlformats.org/officeDocument/2006/relationships/hyperlink" Id="rId181" Target="https://doi.org/10.1016/j.jas.2014.07.014" TargetMode="External" /><Relationship Type="http://schemas.openxmlformats.org/officeDocument/2006/relationships/hyperlink" Id="rId249" Target="https://doi.org/10.1016/j.jas.2021.105412" TargetMode="External" /><Relationship Type="http://schemas.openxmlformats.org/officeDocument/2006/relationships/hyperlink" Id="rId223" Target="https://doi.org/10.1016/j.jtbi.2013.03.006" TargetMode="External" /><Relationship Type="http://schemas.openxmlformats.org/officeDocument/2006/relationships/hyperlink" Id="rId300" Target="https://doi.org/10.1016/j.jtbi.2016.04.024" TargetMode="External" /><Relationship Type="http://schemas.openxmlformats.org/officeDocument/2006/relationships/hyperlink" Id="rId291" Target="https://doi.org/10.1017/RDC.2020.41" TargetMode="External" /><Relationship Type="http://schemas.openxmlformats.org/officeDocument/2006/relationships/hyperlink" Id="rId162" Target="https://doi.org/10.1017/S0094837300026907" TargetMode="External" /><Relationship Type="http://schemas.openxmlformats.org/officeDocument/2006/relationships/hyperlink" Id="rId293" Target="https://doi.org/10.1017/S0140525X1400106X" TargetMode="External" /><Relationship Type="http://schemas.openxmlformats.org/officeDocument/2006/relationships/hyperlink" Id="rId213" Target="https://doi.org/10.1017/aap.2021.10" TargetMode="External" /><Relationship Type="http://schemas.openxmlformats.org/officeDocument/2006/relationships/hyperlink" Id="rId310" Target="https://doi.org/10.1017/aaq.2024.1" TargetMode="External" /><Relationship Type="http://schemas.openxmlformats.org/officeDocument/2006/relationships/hyperlink" Id="rId321" Target="https://doi.org/10.1017/ehs.2023.5" TargetMode="External" /><Relationship Type="http://schemas.openxmlformats.org/officeDocument/2006/relationships/hyperlink" Id="rId183" Target="https://doi.org/10.1038/srep39122" TargetMode="External" /><Relationship Type="http://schemas.openxmlformats.org/officeDocument/2006/relationships/hyperlink" Id="rId295" Target="https://doi.org/10.1057/s41599-019-0260-7" TargetMode="External" /><Relationship Type="http://schemas.openxmlformats.org/officeDocument/2006/relationships/hyperlink" Id="rId174" Target="https://doi.org/10.1057/s41599-019-0295-9" TargetMode="External" /><Relationship Type="http://schemas.openxmlformats.org/officeDocument/2006/relationships/hyperlink" Id="rId177" Target="https://doi.org/10.1057/s41599-020-00635-3" TargetMode="External" /><Relationship Type="http://schemas.openxmlformats.org/officeDocument/2006/relationships/hyperlink" Id="rId164" Target="https://doi.org/10.1073/pnas.0903232106" TargetMode="External" /><Relationship Type="http://schemas.openxmlformats.org/officeDocument/2006/relationships/hyperlink" Id="rId247" Target="https://doi.org/10.1073/pnas.1818346116" TargetMode="External" /><Relationship Type="http://schemas.openxmlformats.org/officeDocument/2006/relationships/hyperlink" Id="rId201" Target="https://doi.org/10.1073/pnas.2418106121" TargetMode="External" /><Relationship Type="http://schemas.openxmlformats.org/officeDocument/2006/relationships/hyperlink" Id="rId259" Target="https://doi.org/10.1080/20548923.2018.1504490" TargetMode="External" /><Relationship Type="http://schemas.openxmlformats.org/officeDocument/2006/relationships/hyperlink" Id="rId313" Target="https://doi.org/10.1086/651661" TargetMode="External" /><Relationship Type="http://schemas.openxmlformats.org/officeDocument/2006/relationships/hyperlink" Id="rId284" Target="https://doi.org/10.1086/674873" TargetMode="External" /><Relationship Type="http://schemas.openxmlformats.org/officeDocument/2006/relationships/hyperlink" Id="rId317" Target="https://doi.org/10.1093/genetics/28.2.114" TargetMode="External" /><Relationship Type="http://schemas.openxmlformats.org/officeDocument/2006/relationships/hyperlink" Id="rId225" Target="https://doi.org/10.1098/rsif.2015.0905" TargetMode="External" /><Relationship Type="http://schemas.openxmlformats.org/officeDocument/2006/relationships/hyperlink" Id="rId227" Target="https://doi.org/10.1098/rsos.170949" TargetMode="External" /><Relationship Type="http://schemas.openxmlformats.org/officeDocument/2006/relationships/hyperlink" Id="rId168" Target="https://doi.org/10.1098/rspb.2004.2746" TargetMode="External" /><Relationship Type="http://schemas.openxmlformats.org/officeDocument/2006/relationships/hyperlink" Id="rId157" Target="https://doi.org/10.1098/rstb.1996.0073" TargetMode="External" /><Relationship Type="http://schemas.openxmlformats.org/officeDocument/2006/relationships/hyperlink" Id="rId269" Target="https://doi.org/10.1098/rstb.2016.0426" TargetMode="External" /><Relationship Type="http://schemas.openxmlformats.org/officeDocument/2006/relationships/hyperlink" Id="rId319" Target="https://doi.org/10.1111/j.1469-1809.1949.tb02451.x" TargetMode="External" /><Relationship Type="http://schemas.openxmlformats.org/officeDocument/2006/relationships/hyperlink" Id="rId220" Target="https://doi.org/10.1111/j.1558-5646.2007.00310.x" TargetMode="External" /><Relationship Type="http://schemas.openxmlformats.org/officeDocument/2006/relationships/hyperlink" Id="rId282" Target="https://doi.org/10.1126/science.1170165" TargetMode="External" /><Relationship Type="http://schemas.openxmlformats.org/officeDocument/2006/relationships/hyperlink" Id="rId229" Target="https://doi.org/10.1146/annurev-ecolsys-110512-135838" TargetMode="External" /><Relationship Type="http://schemas.openxmlformats.org/officeDocument/2006/relationships/hyperlink" Id="rId166" Target="https://doi.org/10.1371/journal.pone.0003057" TargetMode="External" /><Relationship Type="http://schemas.openxmlformats.org/officeDocument/2006/relationships/hyperlink" Id="rId243" Target="https://doi.org/10.1371/journal.pone.0124942" TargetMode="External" /><Relationship Type="http://schemas.openxmlformats.org/officeDocument/2006/relationships/hyperlink" Id="rId237" Target="https://doi.org/10.1371/journal.pone.0250690" TargetMode="External" /><Relationship Type="http://schemas.openxmlformats.org/officeDocument/2006/relationships/hyperlink" Id="rId280" Target="https://doi.org/10.1525/aa.1953.55.5.02a00030" TargetMode="External" /><Relationship Type="http://schemas.openxmlformats.org/officeDocument/2006/relationships/hyperlink" Id="rId206" Target="https://doi.org/10.1525/aa.2001.103.4.992" TargetMode="External" /><Relationship Type="http://schemas.openxmlformats.org/officeDocument/2006/relationships/hyperlink" Id="rId199" Target="https://doi.org/10.1534/genetics.113.158220" TargetMode="External" /><Relationship Type="http://schemas.openxmlformats.org/officeDocument/2006/relationships/hyperlink" Id="rId218" Target="https://doi.org/10.1666/05070.1" TargetMode="External" /><Relationship Type="http://schemas.openxmlformats.org/officeDocument/2006/relationships/hyperlink" Id="rId171" Target="https://doi.org/10.2307/2694206" TargetMode="External" /><Relationship Type="http://schemas.openxmlformats.org/officeDocument/2006/relationships/hyperlink" Id="rId232" Target="https://doi.org/10.2307/2694529" TargetMode="External" /><Relationship Type="http://schemas.openxmlformats.org/officeDocument/2006/relationships/hyperlink" Id="rId185" Target="https://doi.org/10.2307/278341" TargetMode="External" /><Relationship Type="http://schemas.openxmlformats.org/officeDocument/2006/relationships/hyperlink" Id="rId271" Target="https://doi.org/10.2307/279066" TargetMode="External" /><Relationship Type="http://schemas.openxmlformats.org/officeDocument/2006/relationships/hyperlink" Id="rId188" Target="https://doi.org/10.2307/279244" TargetMode="External" /><Relationship Type="http://schemas.openxmlformats.org/officeDocument/2006/relationships/hyperlink" Id="rId160" Target="https://doi.org/10.2307/3557066" TargetMode="External" /><Relationship Type="http://schemas.openxmlformats.org/officeDocument/2006/relationships/hyperlink" Id="rId208" Target="https://doi.org/10.2307/4128416" TargetMode="External" /><Relationship Type="http://schemas.openxmlformats.org/officeDocument/2006/relationships/hyperlink" Id="rId288" Target="https://doi.org/10.7183/0002-7316.76.1.163" TargetMode="External" /><Relationship Type="http://schemas.openxmlformats.org/officeDocument/2006/relationships/hyperlink" Id="rId28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45" Target="https://doi.org/10.1006/jaar.1997.0314" TargetMode="External" /><Relationship Type="http://schemas.openxmlformats.org/officeDocument/2006/relationships/hyperlink" Id="rId308" Target="https://doi.org/10.1006/jhev.1994.1037" TargetMode="External" /><Relationship Type="http://schemas.openxmlformats.org/officeDocument/2006/relationships/hyperlink" Id="rId196" Target="https://doi.org/10.1007/s10814-007-9013-z" TargetMode="External" /><Relationship Type="http://schemas.openxmlformats.org/officeDocument/2006/relationships/hyperlink" Id="rId275"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10" Target="https://doi.org/10.1016/S1090-5138(98)00018-X" TargetMode="External" /><Relationship Type="http://schemas.openxmlformats.org/officeDocument/2006/relationships/hyperlink" Id="rId155" Target="https://doi.org/10.1016/j.beproc.2018.01.011" TargetMode="External" /><Relationship Type="http://schemas.openxmlformats.org/officeDocument/2006/relationships/hyperlink" Id="rId302" Target="https://doi.org/10.1016/j.evolhumbehav.2014.09.006" TargetMode="External" /><Relationship Type="http://schemas.openxmlformats.org/officeDocument/2006/relationships/hyperlink" Id="rId194" Target="https://doi.org/10.1016/j.jaa.2005.08.001" TargetMode="External" /><Relationship Type="http://schemas.openxmlformats.org/officeDocument/2006/relationships/hyperlink" Id="rId153" Target="https://doi.org/10.1016/j.jaa.2006.08.002" TargetMode="External" /><Relationship Type="http://schemas.openxmlformats.org/officeDocument/2006/relationships/hyperlink" Id="rId240" Target="https://doi.org/10.1016/j.jas.2010.05.015" TargetMode="External" /><Relationship Type="http://schemas.openxmlformats.org/officeDocument/2006/relationships/hyperlink" Id="rId273" Target="https://doi.org/10.1016/j.jas.2012.04.040" TargetMode="External" /><Relationship Type="http://schemas.openxmlformats.org/officeDocument/2006/relationships/hyperlink" Id="rId181" Target="https://doi.org/10.1016/j.jas.2014.07.014" TargetMode="External" /><Relationship Type="http://schemas.openxmlformats.org/officeDocument/2006/relationships/hyperlink" Id="rId249" Target="https://doi.org/10.1016/j.jas.2021.105412" TargetMode="External" /><Relationship Type="http://schemas.openxmlformats.org/officeDocument/2006/relationships/hyperlink" Id="rId223" Target="https://doi.org/10.1016/j.jtbi.2013.03.006" TargetMode="External" /><Relationship Type="http://schemas.openxmlformats.org/officeDocument/2006/relationships/hyperlink" Id="rId300" Target="https://doi.org/10.1016/j.jtbi.2016.04.024" TargetMode="External" /><Relationship Type="http://schemas.openxmlformats.org/officeDocument/2006/relationships/hyperlink" Id="rId291" Target="https://doi.org/10.1017/RDC.2020.41" TargetMode="External" /><Relationship Type="http://schemas.openxmlformats.org/officeDocument/2006/relationships/hyperlink" Id="rId162" Target="https://doi.org/10.1017/S0094837300026907" TargetMode="External" /><Relationship Type="http://schemas.openxmlformats.org/officeDocument/2006/relationships/hyperlink" Id="rId293" Target="https://doi.org/10.1017/S0140525X1400106X" TargetMode="External" /><Relationship Type="http://schemas.openxmlformats.org/officeDocument/2006/relationships/hyperlink" Id="rId213" Target="https://doi.org/10.1017/aap.2021.10" TargetMode="External" /><Relationship Type="http://schemas.openxmlformats.org/officeDocument/2006/relationships/hyperlink" Id="rId310" Target="https://doi.org/10.1017/aaq.2024.1" TargetMode="External" /><Relationship Type="http://schemas.openxmlformats.org/officeDocument/2006/relationships/hyperlink" Id="rId321" Target="https://doi.org/10.1017/ehs.2023.5" TargetMode="External" /><Relationship Type="http://schemas.openxmlformats.org/officeDocument/2006/relationships/hyperlink" Id="rId183" Target="https://doi.org/10.1038/srep39122" TargetMode="External" /><Relationship Type="http://schemas.openxmlformats.org/officeDocument/2006/relationships/hyperlink" Id="rId295" Target="https://doi.org/10.1057/s41599-019-0260-7" TargetMode="External" /><Relationship Type="http://schemas.openxmlformats.org/officeDocument/2006/relationships/hyperlink" Id="rId174" Target="https://doi.org/10.1057/s41599-019-0295-9" TargetMode="External" /><Relationship Type="http://schemas.openxmlformats.org/officeDocument/2006/relationships/hyperlink" Id="rId177" Target="https://doi.org/10.1057/s41599-020-00635-3" TargetMode="External" /><Relationship Type="http://schemas.openxmlformats.org/officeDocument/2006/relationships/hyperlink" Id="rId164" Target="https://doi.org/10.1073/pnas.0903232106" TargetMode="External" /><Relationship Type="http://schemas.openxmlformats.org/officeDocument/2006/relationships/hyperlink" Id="rId247" Target="https://doi.org/10.1073/pnas.1818346116" TargetMode="External" /><Relationship Type="http://schemas.openxmlformats.org/officeDocument/2006/relationships/hyperlink" Id="rId201" Target="https://doi.org/10.1073/pnas.2418106121" TargetMode="External" /><Relationship Type="http://schemas.openxmlformats.org/officeDocument/2006/relationships/hyperlink" Id="rId259" Target="https://doi.org/10.1080/20548923.2018.1504490" TargetMode="External" /><Relationship Type="http://schemas.openxmlformats.org/officeDocument/2006/relationships/hyperlink" Id="rId313" Target="https://doi.org/10.1086/651661" TargetMode="External" /><Relationship Type="http://schemas.openxmlformats.org/officeDocument/2006/relationships/hyperlink" Id="rId284" Target="https://doi.org/10.1086/674873" TargetMode="External" /><Relationship Type="http://schemas.openxmlformats.org/officeDocument/2006/relationships/hyperlink" Id="rId317" Target="https://doi.org/10.1093/genetics/28.2.114" TargetMode="External" /><Relationship Type="http://schemas.openxmlformats.org/officeDocument/2006/relationships/hyperlink" Id="rId225" Target="https://doi.org/10.1098/rsif.2015.0905" TargetMode="External" /><Relationship Type="http://schemas.openxmlformats.org/officeDocument/2006/relationships/hyperlink" Id="rId227" Target="https://doi.org/10.1098/rsos.170949" TargetMode="External" /><Relationship Type="http://schemas.openxmlformats.org/officeDocument/2006/relationships/hyperlink" Id="rId168" Target="https://doi.org/10.1098/rspb.2004.2746" TargetMode="External" /><Relationship Type="http://schemas.openxmlformats.org/officeDocument/2006/relationships/hyperlink" Id="rId157" Target="https://doi.org/10.1098/rstb.1996.0073" TargetMode="External" /><Relationship Type="http://schemas.openxmlformats.org/officeDocument/2006/relationships/hyperlink" Id="rId269" Target="https://doi.org/10.1098/rstb.2016.0426" TargetMode="External" /><Relationship Type="http://schemas.openxmlformats.org/officeDocument/2006/relationships/hyperlink" Id="rId319" Target="https://doi.org/10.1111/j.1469-1809.1949.tb02451.x" TargetMode="External" /><Relationship Type="http://schemas.openxmlformats.org/officeDocument/2006/relationships/hyperlink" Id="rId220" Target="https://doi.org/10.1111/j.1558-5646.2007.00310.x" TargetMode="External" /><Relationship Type="http://schemas.openxmlformats.org/officeDocument/2006/relationships/hyperlink" Id="rId282" Target="https://doi.org/10.1126/science.1170165" TargetMode="External" /><Relationship Type="http://schemas.openxmlformats.org/officeDocument/2006/relationships/hyperlink" Id="rId229" Target="https://doi.org/10.1146/annurev-ecolsys-110512-135838" TargetMode="External" /><Relationship Type="http://schemas.openxmlformats.org/officeDocument/2006/relationships/hyperlink" Id="rId166" Target="https://doi.org/10.1371/journal.pone.0003057" TargetMode="External" /><Relationship Type="http://schemas.openxmlformats.org/officeDocument/2006/relationships/hyperlink" Id="rId243" Target="https://doi.org/10.1371/journal.pone.0124942" TargetMode="External" /><Relationship Type="http://schemas.openxmlformats.org/officeDocument/2006/relationships/hyperlink" Id="rId237" Target="https://doi.org/10.1371/journal.pone.0250690" TargetMode="External" /><Relationship Type="http://schemas.openxmlformats.org/officeDocument/2006/relationships/hyperlink" Id="rId280" Target="https://doi.org/10.1525/aa.1953.55.5.02a00030" TargetMode="External" /><Relationship Type="http://schemas.openxmlformats.org/officeDocument/2006/relationships/hyperlink" Id="rId206" Target="https://doi.org/10.1525/aa.2001.103.4.992" TargetMode="External" /><Relationship Type="http://schemas.openxmlformats.org/officeDocument/2006/relationships/hyperlink" Id="rId199" Target="https://doi.org/10.1534/genetics.113.158220" TargetMode="External" /><Relationship Type="http://schemas.openxmlformats.org/officeDocument/2006/relationships/hyperlink" Id="rId218" Target="https://doi.org/10.1666/05070.1" TargetMode="External" /><Relationship Type="http://schemas.openxmlformats.org/officeDocument/2006/relationships/hyperlink" Id="rId171" Target="https://doi.org/10.2307/2694206" TargetMode="External" /><Relationship Type="http://schemas.openxmlformats.org/officeDocument/2006/relationships/hyperlink" Id="rId232" Target="https://doi.org/10.2307/2694529" TargetMode="External" /><Relationship Type="http://schemas.openxmlformats.org/officeDocument/2006/relationships/hyperlink" Id="rId185" Target="https://doi.org/10.2307/278341" TargetMode="External" /><Relationship Type="http://schemas.openxmlformats.org/officeDocument/2006/relationships/hyperlink" Id="rId271" Target="https://doi.org/10.2307/279066" TargetMode="External" /><Relationship Type="http://schemas.openxmlformats.org/officeDocument/2006/relationships/hyperlink" Id="rId188" Target="https://doi.org/10.2307/279244" TargetMode="External" /><Relationship Type="http://schemas.openxmlformats.org/officeDocument/2006/relationships/hyperlink" Id="rId160" Target="https://doi.org/10.2307/3557066" TargetMode="External" /><Relationship Type="http://schemas.openxmlformats.org/officeDocument/2006/relationships/hyperlink" Id="rId208" Target="https://doi.org/10.2307/4128416" TargetMode="External" /><Relationship Type="http://schemas.openxmlformats.org/officeDocument/2006/relationships/hyperlink" Id="rId288" Target="https://doi.org/10.7183/0002-7316.76.1.163" TargetMode="External" /><Relationship Type="http://schemas.openxmlformats.org/officeDocument/2006/relationships/hyperlink" Id="rId28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2026-09-18T11:00:02Z</dcterms:created>
  <dcterms:modified xsi:type="dcterms:W3CDTF">2026-09-18T11:00:02Z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