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0.png" ContentType="image/png"/>
  <Override PartName="/word/media/rId14.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7.png" ContentType="image/png"/>
  <Override PartName="/word/media/rId57.png" ContentType="image/png"/>
  <Override PartName="/word/media/rId70.png" ContentType="image/png"/>
  <Override PartName="/word/media/rId74.png" ContentType="image/png"/>
  <Override PartName="/word/media/rId53.png" ContentType="image/png"/>
  <Override PartName="/word/media/rId6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3"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and Robert J. DiNapoli</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within-greater-than-between similarity with no bounded groups at all. Style frequencies drift, changing at random from copying alone. When potters interact more with near neighbors than with distant ones, the drift concentrates similar styles in nearby areas, generating apparent clusters from geography rather than from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able to distinguish drift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and the chronicles of the Hernando de Soto expedition place it as Casqui, the seat of a paramount chief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This chiefdom drew tribute from the smaller villages around it, an inference made explicit by the argument that its position on agriculturally poor soil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it was is an empirical question, and settlement morphology alone cannot answer it, because a primate center,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and exchange of the capacity-linked chert hoes whose control would mark an economic apex were decentralized</w:t>
      </w:r>
      <w:r>
        <w:t xml:space="preserve"> </w:t>
      </w:r>
      <w:r>
        <w:t xml:space="preserve">(Cobb 2000)</w:t>
      </w:r>
      <w:r>
        <w:t xml:space="preserve">, and, as we show below, the decorated-ceramic record carries no signature of interaction closing in on bounded groups.</w:t>
      </w:r>
    </w:p>
    <w:p>
      <w:pPr>
        <w:pStyle w:val="BodyText"/>
      </w:pPr>
      <w:r>
        <w:t xml:space="preserve">The more revealing question is why Parkin was taken for a polity in the first place, and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From its definition, the phase carried a social interpretation. In the Phillips-Ford-Griffin framework, it is the basic space-time-cultural unit. Williams, defining the southeast-Missouri phases on which the regional scheme rests, wrote that a phase probably equals a society</w:t>
      </w:r>
      <w:r>
        <w:t xml:space="preserve"> </w:t>
      </w:r>
      <w:r>
        <w:t xml:space="preserve">(Williams 1954)</w:t>
      </w:r>
      <w:r>
        <w:t xml:space="preserve">. That equation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 showed, by cluster analysis and ordination, that the southeast-Missouri phases fail as both groups and classes, with their member assemblages assigned to statistical clusters at random rather than segregating by phase</w:t>
      </w:r>
      <w:r>
        <w:t xml:space="preserve"> </w:t>
      </w:r>
      <w:r>
        <w:t xml:space="preserve">(Fox 1998)</w:t>
      </w:r>
      <w:r>
        <w:t xml:space="preserve">.</w:t>
      </w:r>
    </w:p>
    <w:p>
      <w:pPr>
        <w:pStyle w:val="BodyText"/>
      </w:pPr>
      <w:r>
        <w:t xml:space="preserve">The premise is rarely tested, and it ignores a strong alternative. Under the neutral model of cultural transmission, decorated style behaves like a selectively neutral trait whose frequencies drift in a finite population of interacting learners</w:t>
      </w:r>
      <w:r>
        <w:t xml:space="preserve"> </w:t>
      </w:r>
      <w:r>
        <w:t xml:space="preserve">(Bentley et al. 2004; Neiman 1995)</w:t>
      </w:r>
      <w:r>
        <w:t xml:space="preserve">. When those learners interact more with near neighbors than with distant ones, drift on the spatially structured population generates within-greater-than-between similarity on its own, apparent clusters produced by geography with no bounded group anywhere</w:t>
      </w:r>
      <w:r>
        <w:t xml:space="preserve"> </w:t>
      </w:r>
      <w:r>
        <w:t xml:space="preserve">(Lipo et al. 2021)</w:t>
      </w:r>
      <w:r>
        <w:t xml:space="preserve">. On this account, a phase is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conformist within groups and divergent between them, fragmenting the single drifting pool that continuous interaction maintains</w:t>
      </w:r>
      <w:r>
        <w:t xml:space="preserve"> </w:t>
      </w:r>
      <w:r>
        <w:t xml:space="preserve">(Lipo et al.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1995)</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(Holdaway and Wandsnider 2008; Perreault 2019)</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(Crema et al. 2016;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detector.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20" w:name="background"/>
    <w:p>
      <w:pPr>
        <w:pStyle w:val="Heading2"/>
      </w:pPr>
      <w:r>
        <w:t xml:space="preserve">Background</w:t>
      </w:r>
    </w:p>
    <w:bookmarkStart w:id="17" w:name="X79aed77a76c40496e6a63c7e5ba45a72c9f3f05"/>
    <w:p>
      <w:pPr>
        <w:pStyle w:val="Heading3"/>
      </w:pPr>
      <w:r>
        <w:t xml:space="preserve">The phase, the silent premise, and the drift alternative</w:t>
      </w:r>
    </w:p>
    <w:p>
      <w:pPr>
        <w:pStyle w:val="FirstParagraph"/>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within-greater-than-between similarity records who interacted with whom</w:t>
      </w:r>
      <w:r>
        <w:t xml:space="preserve"> </w:t>
      </w:r>
      <w:r>
        <w:t xml:space="preserve">(Phillips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within-greater-than-between similarity arises with no boundary at all when interaction declines with distance, because spatially structured drift concentrates similarity among near neighbors</w:t>
      </w:r>
      <w:r>
        <w:t xml:space="preserve"> </w:t>
      </w:r>
      <w:r>
        <w:t xml:space="preserve">(Lipo et al. 2021; Neiman 1995)</w:t>
      </w:r>
      <w:r>
        <w:t xml:space="preserve">. The question the ceramic record must answer is the operational one: does the similarity structure record bounded interaction, or spatially structured drift?</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5" name="Picture"/>
            <a:graphic>
              <a:graphicData uri="http://schemas.openxmlformats.org/drawingml/2006/picture">
                <pic:pic>
                  <pic:nvPicPr>
                    <pic:cNvPr descr="../../figures/fig2_concept.png" id="16" name="Picture"/>
                    <pic:cNvPicPr>
                      <a:picLocks noChangeArrowheads="1" noChangeAspect="1"/>
                    </pic:cNvPicPr>
                  </pic:nvPicPr>
                  <pic:blipFill>
                    <a:blip r:embed="rId14"/>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bookmarkEnd w:id="17"/>
    <w:bookmarkStart w:id="18"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neutral style toward a marker, transmitted conformist within groups and divergent between them, and the single transmission field fragments. The shift from neutral style to marker is the ceramic expression of interaction closing into a bounded group, and it is what such a group would produce.</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w:t>
      </w:r>
      <w:r>
        <w:t xml:space="preserve"> </w:t>
      </w:r>
      <w:r>
        <w:t xml:space="preserve">(Kandler et al. 2017; Mesoudi 2021)</w:t>
      </w:r>
      <w:r>
        <w:t xml:space="preserve">. This is the inferential wall the test is built to climb, and it is why we do not rest on any one signature.</w:t>
      </w:r>
    </w:p>
    <w:bookmarkEnd w:id="18"/>
    <w:bookmarkStart w:id="19"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(King and Freer 1995;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because a primate center, fortification, and monumental construction are each compatible with both. They can be separated by whether the transmission record shows interaction closing into bounded groups, which is the test we now construct.</w:t>
      </w:r>
    </w:p>
    <w:bookmarkEnd w:id="19"/>
    <w:bookmarkEnd w:id="20"/>
    <w:bookmarkStart w:id="21" w:name="distinguishing-groups-from-drift"/>
    <w:p>
      <w:pPr>
        <w:pStyle w:val="Heading2"/>
      </w:pPr>
      <w:r>
        <w:t xml:space="preserve">Distinguishing groups from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We track four signatures, each a different consequence of the same underlying change, the closure of interaction, meaning the narrowing of social learning until potters copy within a group and rarely across its edge. We state each first in plain terms, then name its formal measure.</w:t>
      </w:r>
    </w:p>
    <w:p>
      <w:pPr>
        <w:pStyle w:val="BodyText"/>
      </w:pPr>
      <w:r>
        <w:t xml:space="preserve">The first asks whether potters copied decorated styles at random or with a bias. Under random copying, two independent ways of gauging a collection’s diversity, one based on how concentrated the common types are and one on the sheer number of types present, give the same answer. Conformity, where everyone converges on the popular types, or a taste for novelty pulls the two apart in opposite directions. Their disagreement, the ratio of a homozygosity-based to a richness-based estimate of the transmission parameter, both detect a departure from random copying and show which way it leans</w:t>
      </w:r>
      <w:r>
        <w:t xml:space="preserve"> </w:t>
      </w:r>
      <w:r>
        <w:t xml:space="preserve">(Neiman 1995; Shennan and Wilkinson 2001)</w:t>
      </w:r>
      <w:r>
        <w:t xml:space="preserve">.</w:t>
      </w:r>
    </w:p>
    <w:p>
      <w:pPr>
        <w:pStyle w:val="BodyText"/>
      </w:pPr>
      <w:r>
        <w:t xml:space="preserve">The second asks whether the collections all belong to one interacting community or to several. Pottery from a single community can be arranged in one orderly frequency seriation, the familiar battleship curves. When learning splits into separate groups with their own repertoires, no single ordering fits, and the collections break into multiple, mutually incompatible seriations. Deterministic frequency seriation counts that fragmentation directly</w:t>
      </w:r>
      <w:r>
        <w:t xml:space="preserve"> </w:t>
      </w:r>
      <w:r>
        <w:t xml:space="preserve">(Lipo et al. 2015)</w:t>
      </w:r>
      <w:r>
        <w:t xml:space="preserve">.</w:t>
      </w:r>
    </w:p>
    <w:p>
      <w:pPr>
        <w:pStyle w:val="BodyText"/>
      </w:pPr>
      <w:r>
        <w:t xml:space="preserve">The third asks how much of the variation in decoration lies between groups rather than within them. This is the ceramic version of a standard population measure of group differentiation, Wright’s F_ST, here computed on Gini-Simpson diversity, and it climbs from near zero as groups come to hold distinct styles</w:t>
      </w:r>
      <w:r>
        <w:t xml:space="preserve"> </w:t>
      </w:r>
      <w:r>
        <w:t xml:space="preserve">(Bell et al. 2009)</w:t>
      </w:r>
      <w:r>
        <w:t xml:space="preserve">.</w:t>
      </w:r>
    </w:p>
    <w:p>
      <w:pPr>
        <w:pStyle w:val="BodyText"/>
      </w:pPr>
      <w:r>
        <w:t xml:space="preserve">The fourth asks whether socially close collections are more alike than collections that are merely close on the map. A genuine social boundary makes pottery within a cluster more similar than pottery in a neighboring cluster at the same distance, over and above the gentle fade of similarity with geographic distance, and we measure that excess, which a plain distance correlation cannot isolate.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 the gradual fade of similarity with distance that follows when people interact mostly with near neighbors, without the sharp boundaries or neutrality departures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This is why we do not rest on the signatures alone but instead compare the two processes in generative terms on the real geography of the assemblages, using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and two qualifications make it motivating rather than operative. First, the generator diagnostic (Supplemental Text) shows that the non-F_ST rows are not realizable at this record’s resolution, because the neutral and seriation signatures fail to register a signal even when one is injected through its own channel, so the detectable discrimination reduces to cultural F_ST (Figure 4). Second, under realistic stochastic spatial drift, the F_ST and spatial-assortativity rows are themselves driven in the absence of a bounded group (Results, Figure S5). The table frames the question. The generative drift-versus-groups comparison, not the table, answers it.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 by 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 showed that two independently derived, theory-grounded measures of the same ceramic data, within-assemblage diversity and between-assemblage distance, converge on the same inference about past interaction, and we generalize that two-measure agreement to four</w:t>
      </w:r>
      <w:r>
        <w:t xml:space="preserve"> </w:t>
      </w:r>
      <w:r>
        <w:t xml:space="preserve">(Neiman 1995)</w:t>
      </w:r>
      <w:r>
        <w:t xml:space="preserve">. This validates the concept. Whether all four signatures, or only some, can actually deliver it on a record like ours is a separate question that we settle by calibrating the test directly to synthetic data matched to the Parkin assemblages. Both procedures are presented with their methods and outcomes.</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and Neiman’s diversity and distance estimators are likewise derived from the model</w:t>
      </w:r>
      <w:r>
        <w:t xml:space="preserve"> </w:t>
      </w:r>
      <w:r>
        <w:t xml:space="preserve">(Lipo et al. 2015; Neiman 1995)</w:t>
      </w:r>
      <w:r>
        <w:t xml:space="preserve">. It should be dynamically sufficient in Lewontin’s sense, with its state variables and their transformation laws sufficient to carry the system from one state to the next, so that no single time-point statistic can be</w:t>
      </w:r>
      <w:r>
        <w:t xml:space="preserve"> </w:t>
      </w:r>
      <w:r>
        <w:t xml:space="preserve">(Lewontin 1974)</w:t>
      </w:r>
      <w:r>
        <w:t xml:space="preserv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decorated-type counts compiled by Phillips, Ford, and Griffin for the Lower Mississippi Survey, an assemblage-by-type matrix of 266 surface collections from the central valley</w:t>
      </w:r>
      <w:r>
        <w:t xml:space="preserve"> </w:t>
      </w:r>
      <w:r>
        <w:t xml:space="preserve">(Lipo 2001; Phillips et al. 1951)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 compilation yields 109 determinations for the central valley, 41 of them from seven St. Francis basin Parkin-phase sites and 19 from Parkin itself</w:t>
      </w:r>
      <w:r>
        <w:t xml:space="preserve"> </w:t>
      </w:r>
      <w:r>
        <w:t xml:space="preserve">(Mainfort 2001)</w:t>
      </w:r>
      <w:r>
        <w:t xml:space="preserve">. Calibrated against IntCal20,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 so we order the assemblages by seriation rather than by calendar age, using the first axis of a correspondence analysis.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ordinal, not a calendar rate, and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 application of the infinite-alleles model to ceramic assemblages</w:t>
      </w:r>
      <w:r>
        <w:t xml:space="preserve"> </w:t>
      </w:r>
      <w:r>
        <w:t xml:space="preserve">(Neiman 1995)</w:t>
      </w:r>
      <w:r>
        <w:t xml:space="preserve">. We estimated the transmission parameter in two ways: from the unbiased homozygosity of an assemblage and from its number of types, using the Ewens sampling formula 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(Lipo et al.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 a standard index ranging from 0 to 200 that indicates how alike two assemblages are in their type proportions, for every pair of assemblages. We tested its association with inter-site distance by a Mantel 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rarefy every assemblage to a common count 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across groups under three mechanisms: faithful controls, the degree of between-group divergence, and the strength of within-group conformity. A spatial rule places group profiles on the landscape, and four generators instantiate the four processes of Table 1. Run blind through the four-signature pipeline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second stage is decisive, and its idea is simple. We built synthetic pottery records in which we ourselves controlled whether group structure was emerging, dialed from none to strong, and then asked whether our four measures could see it. Crucially, the synthetic records were matched to the real ones: the same number of collections, the same range of sample sizes, the same blurring of time that surface collections impose. If chiefdom structure had really been emerging at Parkin, this experiment would tell us whether tools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rarefy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feature of the calibration is worth noting. Because rarefying the larger, later assemblages to a common count slightly inflates within-cluster diversity and so depresses F_ST toward later positions, the no-closure null itself carries a mild negative trend rather than a flat zero. The detector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(Lipo et al. 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rarefied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(Williams 1954)</w:t>
      </w:r>
      <w:r>
        <w:t xml:space="preserve">, digitized from the survey tables, and georeferenced both the Phillips-Ford-Griffin and the Williams assemblages through their Lower Mississippi Survey grid designations against the digitized survey point files, so that the two regions share one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or whether size is graded. For the political economy of exchange, we drew on Cobb’s regional analysis of the production and distribution of Mill Creek and Dover chert hoes, the capacity-linked industrial goods whose control would mark economic centralization, rather than measuring it ourselves</w:t>
      </w:r>
      <w:r>
        <w:t xml:space="preserve"> </w:t>
      </w:r>
      <w:r>
        <w:t xml:space="preserve">(Cobb 2000)</w:t>
      </w:r>
      <w:r>
        <w:t xml:space="preserve">. And we compared our seriation result to Mainfort’s independent nonmetric multidimensional scaling of overlapping late-period assemblages, a published ordination of 39 collections from the central valley and adjacent areas, which tests whether the named phases form discrete bounded clusters or a gradational continuum</w:t>
      </w:r>
      <w:r>
        <w:t xml:space="preserve"> </w:t>
      </w:r>
      <w:r>
        <w:t xml:space="preserve">(Mainfort 2003)</w:t>
      </w:r>
      <w:r>
        <w:t xml:space="preserve">.</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rarefaction,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no-closure verdict is also robust to the analyst’s choices: across twenty-seven combinations of the basin’s spatial cutoff, the number of ordinal bins, and the number of spatial clusters, it appears in none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(Lipo et al. 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leaving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 cluster analysis and ordination of the southeast-Missouri assemblages that define the regional phases found them failing as both groups and classes, with assemblages assigned to statistical clusters at random rather than segregating by phase</w:t>
      </w:r>
      <w:r>
        <w:t xml:space="preserve"> </w:t>
      </w:r>
      <w:r>
        <w:t xml:space="preserve">(Fox 1998)</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 (2015) reported, with Parkin at the intersection of multiple non-co-seriable orderings rather than at the center of a single closed interaction community</w:t>
      </w:r>
      <w:r>
        <w:t xml:space="preserve"> </w:t>
      </w:r>
      <w:r>
        <w:t xml:space="preserve">(Lipo et al. 2015)</w:t>
      </w:r>
      <w:r>
        <w:t xml:space="preserve">.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0"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and exchange of the capacity-linked chert hoes were decentralized</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 which assemblage data cannot address. What the record shows is that the within-greater-than-between similarity the phase is built on is what spatially structured drift produces, so the phase, at the scale at which it is drawn, marks continuous interaction structured by geography rather than by a bounded society. Parkin’s ceremonial and demographic prominence was real. The polity that prominence is taken to imply is not in the transmission record.</w:t>
      </w:r>
    </w:p>
    <w:p>
      <w:pPr>
        <w:pStyle w:val="BodyText"/>
      </w:pPr>
      <w:r>
        <w:t xml:space="preserve">This reading must answer the strongest case for the alternative.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2015)</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rarefying every assemblage to a common count, which collapses the raw F_ST trend from +0.60 to +0.01. We calibrated the detector on synthetic data matched to the record, in which F_ST recovers a moderate-strength closure (s of about 0.5, rising to 0.7 once the record’s time-averaging is imposed), while holding the false-positive rate at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channel or a non-spatially-organized social-fragmentation channel, neither the neutral nor the seriation signature recovers it either, so the three weak signatures fail at this resolution regardless of how closure is delivered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(Kidwell and Tomašových 2013; Tomašových and Kidwell 2009, 2010)</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The transferable claim is therefore the calibration, not a promise that similarity clusters can be read as societies wherever decorated assemblages exist, and it converts a vague question, whether the Parkin phase was a polity, into a specific and answerable one, whether interaction had closed into a bounded group at a strength the record can resolve. For the Parkin phase, the answer is that it had not, within the bounds supported by the record. The polity the De Soto encountered seems to reflect a distinction drawn in ceremonial practices, fortification, and settlement size, not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(Williams 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5" name="Picture"/>
            <a:graphic>
              <a:graphicData uri="http://schemas.openxmlformats.org/drawingml/2006/picture">
                <pic:pic>
                  <pic:nvPicPr>
                    <pic:cNvPr descr="../../figures/fig1_regional.png" id="46" name="Picture"/>
                    <pic:cNvPicPr>
                      <a:picLocks noChangeArrowheads="1" noChangeAspect="1"/>
                    </pic:cNvPicPr>
                  </pic:nvPicPr>
                  <pic:blipFill>
                    <a:blip r:embed="rId44"/>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 title="" id="48" name="Picture"/>
            <a:graphic>
              <a:graphicData uri="http://schemas.openxmlformats.org/drawingml/2006/picture">
                <pic:pic>
                  <pic:nvPicPr>
                    <pic:cNvPr descr="../../figures/fig9_within_region.png" id="49" name="Picture"/>
                    <pic:cNvPicPr>
                      <a:picLocks noChangeArrowheads="1" noChangeAspect="1"/>
                    </pic:cNvPicPr>
                  </pic:nvPicPr>
                  <pic:blipFill>
                    <a:blip r:embed="rId47"/>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0"/>
    <w:bookmarkStart w:id="51"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stands apart as the basin’s largest and tallest-mounded center. No line of evidence, settlement, exchange, or ceramic transmission marks it as the apex of a polity, and the within-greater-than-between ceramic similarity that defines the phase is reproduced by neutral drift on the basin’s geography, the ordinary residue of continuous interaction structured by where sites sit. A bounded interaction group would have a sharper structure than the data carry,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licenses a social reading, and, when applied to the central Mississippi Valley, it yields a landscape of continuous interaction with prominent nodes rather than a mosaic of bounded polities.</w:t>
      </w:r>
    </w:p>
    <w:bookmarkEnd w:id="51"/>
    <w:bookmarkStart w:id="78" w:name="supplemental-text"/>
    <w:p>
      <w:pPr>
        <w:pStyle w:val="Heading2"/>
      </w:pPr>
      <w:r>
        <w:t xml:space="preserve">Supplemental Text</w:t>
      </w:r>
    </w:p>
    <w:bookmarkStart w:id="52" w:name="X193c2f99596c44272797617e48f9bee78459a86"/>
    <w:p>
      <w:pPr>
        <w:pStyle w:val="Heading3"/>
      </w:pPr>
      <w:r>
        <w:t xml:space="preserve">Full specification of the four signatures</w:t>
      </w:r>
    </w:p>
    <w:p>
      <w:pPr>
        <w:pStyle w:val="FirstParagraph"/>
      </w:pPr>
      <w:r>
        <w:t xml:space="preserve">Departure from neutral transmission follows Neiman’s application of the infinite-alleles model</w:t>
      </w:r>
      <w:r>
        <w:t xml:space="preserve"> </w:t>
      </w:r>
      <w:r>
        <w:t xml:space="preserve">(Neiman 1995)</w:t>
      </w:r>
      <w:r>
        <w:t xml:space="preserve">.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type</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 sampling expectation for the number of types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w:t>
      </w:r>
      <w:r>
        <w:t xml:space="preserve">(Ewens 1972)</w:t>
      </w:r>
      <w:r>
        <w:t xml:space="preserve">. Under neutral drift, the two estimators agree. Conformist copying concentrates frequency on common types,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(Lipo et al. 2015)</w:t>
      </w:r>
      <w:r>
        <w:t xml:space="preserve">. A set of assemblages is co-seriable if some ordering renders every decorated type’s frequency both unimodal and continuous.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52"/>
    <w:bookmarkStart w:id="56" w:name="the-generative-validation-model"/>
    <w:p>
      <w:pPr>
        <w:pStyle w:val="Heading3"/>
      </w:pPr>
      <w:r>
        <w:t xml:space="preserve">The generative validation model</w:t>
      </w:r>
    </w:p>
    <w:p>
      <w:pPr>
        <w:pStyle w:val="FirstParagraph"/>
      </w:pPr>
      <w:r>
        <w:t xml:space="preserve">The validation rests on a generative model with three mechanism-faithful controls: the between-group divergence of type profiles, the strength of within-group conformity, and a spatial rule placing group profiles on the landscape. Four generators instantiate the four processes of Table 1.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group-by-type slices along an ordinal axis. We ran the four-signature pipeline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54" name="Picture"/>
            <a:graphic>
              <a:graphicData uri="http://schemas.openxmlformats.org/drawingml/2006/picture">
                <pic:pic>
                  <pic:nvPicPr>
                    <pic:cNvPr descr="../../figures/figS4_validation.png" id="55" name="Picture"/>
                    <pic:cNvPicPr>
                      <a:picLocks noChangeArrowheads="1" noChangeAspect="1"/>
                    </pic:cNvPicPr>
                  </pic:nvPicPr>
                  <pic:blipFill>
                    <a:blip r:embed="rId53"/>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56"/>
    <w:bookmarkStart w:id="60" w:name="robustness-checks"/>
    <w:p>
      <w:pPr>
        <w:pStyle w:val="Heading3"/>
      </w:pPr>
      <w:r>
        <w:t xml:space="preserve">Robustness checks</w:t>
      </w:r>
    </w:p>
    <w:p>
      <w:pPr>
        <w:pStyle w:val="FirstParagraph"/>
      </w:pPr>
      <w:r>
        <w:t xml:space="preserve">Neiman’s 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w:t>
      </w:r>
      <w:r>
        <w:t xml:space="preserve"> </w:t>
      </w:r>
      <w:r>
        <w:t xml:space="preserve">(Neiman 1995)</w:t>
      </w:r>
      <w:r>
        <w:t xml:space="preserve">.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type’s binned frequency trajectory. Neiman’s squared-Euclidean interassemblage-distance is computed with its diversity-distance relationship and divergence trajectory</w:t>
      </w:r>
      <w:r>
        <w:t xml:space="preserve"> </w:t>
      </w:r>
      <w:r>
        <w:t xml:space="preserve">(Neiman 1995)</w:t>
      </w:r>
      <w:r>
        <w:t xml:space="preserve">. The alternative basin definition, the stricter watershed rule, is evaluated in full. Clustering-tendency statistics (Hopkins, silhouette, and the gap statistic) 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58" name="Picture"/>
            <a:graphic>
              <a:graphicData uri="http://schemas.openxmlformats.org/drawingml/2006/picture">
                <pic:pic>
                  <pic:nvPicPr>
                    <pic:cNvPr descr="../../figures/figS1_neiman.png" id="59" name="Picture"/>
                    <pic:cNvPicPr>
                      <a:picLocks noChangeArrowheads="1" noChangeAspect="1"/>
                    </pic:cNvPicPr>
                  </pic:nvPicPr>
                  <pic:blipFill>
                    <a:blip r:embed="rId57"/>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60"/>
    <w:bookmarkStart w:id="61" w:name="X1e1c56b7070e82b7ccff3b34d2f446c77d2b944"/>
    <w:p>
      <w:pPr>
        <w:pStyle w:val="Heading3"/>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a fair objection is that the experiment merely certifies an F_ST detector recovering an F_ST-shaped signal. We tested this by injecting closure through two further channels, each matched to a different signature, and asking which signature recovers each. A within-group conformity channel raises conformity in a single undivided pool with no between-group divergence, the channel that the neutral departure is built to detect. A non-spatial social channel assembles assemblages into social groups scrambled relative to the spatial clusters, the channel seriation coherence is built to detect. The result is one-sided, and in two ways. First, the conformity channel is recovered by no signature (the neutral departure, which should detect it, inverts rather than rises), and the non-spatial social channel is not recovered by seriation either. Hence, the neutral and seriation signatures fail to register an injected signal even through the channel each is designed for. Second, F_ST is not a clean spatial-divergence detector but a near-omnibus one, responding to group structure, however it is organized. It recovers the spatial-divergence channel strongly (mean trend rising from the null to +0.76 at strong injection) and also recovers the non-spatial social channel (+0.77), because both ultimately raise between-group variance somewhere the partition can see it. The four signatures are therefore not four independent channels, even in this diagnostic. The only one that registers an injected signal at this resolution is F_ST, and it does so for divergence. However, its signal is organized. The reduction to F_ST is a property of the record’s resolution, 29 time-averaged assemblages rarefied to a common count over ten aggregated types, not an artifact of a generator whose closure axis is collinear with F_ST. A rarefaction-depth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result in divergence-channel closure. A closure carried purely by conformity or by a non-spatially organized social structure is below detection here at any strength.</w:t>
      </w:r>
    </w:p>
    <w:bookmarkEnd w:id="61"/>
    <w:bookmarkStart w:id="65" w:name="X901292badd8b907c0b9a36349da4326a6d932c8"/>
    <w:p>
      <w:pPr>
        <w:pStyle w:val="Heading3"/>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(Lipo et al. 2021)</w:t>
      </w:r>
      <w:r>
        <w:t xml:space="preserve">. Each assemblage is a node holding a finite population of learners that copies decorated-type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rarefied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63" name="Picture"/>
            <a:graphic>
              <a:graphicData uri="http://schemas.openxmlformats.org/drawingml/2006/picture">
                <pic:pic>
                  <pic:nvPicPr>
                    <pic:cNvPr descr="../../figures/figS5_drift_vs_groups.png" id="64" name="Picture"/>
                    <pic:cNvPicPr>
                      <a:picLocks noChangeArrowheads="1" noChangeAspect="1"/>
                    </pic:cNvPicPr>
                  </pic:nvPicPr>
                  <pic:blipFill>
                    <a:blip r:embed="rId62"/>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65"/>
    <w:bookmarkStart w:id="69" w:name="X4b657c0117a02bedc64d2fce6fe36b11976cd64"/>
    <w:p>
      <w:pPr>
        <w:pStyle w:val="Heading3"/>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(Williams 1954)</w:t>
      </w:r>
      <w:r>
        <w:t xml:space="preserve">, comprising 50 collections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types.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types differing in proportion. Restricting the comparison to types present in both regions, which removes the mutually exclusive distinctive types that carry the strongest temporal contrast, reduces the step but does not erase it: the boundary excess falls to +38 Brainerd-Robinson units. It remains above the neutral-drift null, so the boundary is not solely an artifact of distinctive-type turnover, although the shared types themselves retain some temporal structure. The step is real but confounded by time, because the northern distinctive types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type names may have been applied to different criteria. The shared-type restriction (boundary excess falling to +38 Brainerd-Robinson units but not vanishing) limits this artifact without removing it, leaving open the possibility that the interaction was continuous across the entire region and that the apparent boundary is a product of two separate collection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67" name="Picture"/>
            <a:graphic>
              <a:graphicData uri="http://schemas.openxmlformats.org/drawingml/2006/picture">
                <pic:pic>
                  <pic:nvPicPr>
                    <pic:cNvPr descr="../../figures/figS6_macro_transect.png" id="68" name="Picture"/>
                    <pic:cNvPicPr>
                      <a:picLocks noChangeArrowheads="1" noChangeAspect="1"/>
                    </pic:cNvPicPr>
                  </pic:nvPicPr>
                  <pic:blipFill>
                    <a:blip r:embed="rId66"/>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69"/>
    <w:bookmarkStart w:id="73" w:name="X61b4c874ea32e31666b882bda5fae1d71873809"/>
    <w:p>
      <w:pPr>
        <w:pStyle w:val="Heading3"/>
      </w:pPr>
      <w:r>
        <w:t xml:space="preserve">Dynamic-sufficiency tests in the time domain</w:t>
      </w:r>
    </w:p>
    <w:p>
      <w:pPr>
        <w:pStyle w:val="FirstParagraph"/>
      </w:pPr>
      <w:r>
        <w:t xml:space="preserve">The four convergence signatures are read as states along the seriation sequence, so on their own they are only partially dynamically sufficient.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collections, then read off the kind of copying implied by the surviving scenarios, with the record’s time-averaging built into each simulation (the approximate-Bayesian-computation approach)</w:t>
      </w:r>
      <w:r>
        <w:t xml:space="preserve"> </w:t>
      </w:r>
      <w:r>
        <w:t xml:space="preserve">(Crema et al. 2016)</w:t>
      </w:r>
      <w:r>
        <w:t xml:space="preserve">. We modeled the basin sequence as frequency-dependent copying among the ten decorated types in a finite population. Each generation, the adoption weight of a type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types.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read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collections’ diversity drifts aimlessly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types,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Individual-type trajectories more often favor the directional model. That comparison, however, is weak and partly tautological because the seriation axis is designed to maximize monotonic type-frequency turnover, and only three types are abundant enough across the sequence to fit. The robust reading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 title="" id="71" name="Picture"/>
            <a:graphic>
              <a:graphicData uri="http://schemas.openxmlformats.org/drawingml/2006/picture">
                <pic:pic>
                  <pic:nvPicPr>
                    <pic:cNvPr descr="../../figures/figS2_dynamic.png" id="72" name="Picture"/>
                    <pic:cNvPicPr>
                      <a:picLocks noChangeArrowheads="1" noChangeAspect="1"/>
                    </pic:cNvPicPr>
                  </pic:nvPicPr>
                  <pic:blipFill>
                    <a:blip r:embed="rId70"/>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73"/>
    <w:bookmarkStart w:id="77" w:name="radiocarbon-chronology"/>
    <w:p>
      <w:pPr>
        <w:pStyle w:val="Heading3"/>
      </w:pPr>
      <w:r>
        <w:t xml:space="preserve">Radiocarbon chronology</w:t>
      </w:r>
    </w:p>
    <w:p>
      <w:pPr>
        <w:pStyle w:val="FirstParagraph"/>
      </w:pPr>
      <w:r>
        <w:t xml:space="preserve">We calibrated the Mainfort compilation of central-valley determinations against IntCal20</w:t>
      </w:r>
      <w:r>
        <w:t xml:space="preserve"> </w:t>
      </w:r>
      <w:r>
        <w:t xml:space="preserve">(Mainfort 2001)</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75" name="Picture"/>
            <a:graphic>
              <a:graphicData uri="http://schemas.openxmlformats.org/drawingml/2006/picture">
                <pic:pic>
                  <pic:nvPicPr>
                    <pic:cNvPr descr="../../figures/figS3_chronology.png" id="76" name="Picture"/>
                    <pic:cNvPicPr>
                      <a:picLocks noChangeArrowheads="1" noChangeAspect="1"/>
                    </pic:cNvPicPr>
                  </pic:nvPicPr>
                  <pic:blipFill>
                    <a:blip r:embed="rId74"/>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77"/>
    <w:bookmarkEnd w:id="78"/>
    <w:bookmarkStart w:id="142" w:name="references"/>
    <w:p>
      <w:pPr>
        <w:pStyle w:val="Heading2"/>
      </w:pPr>
      <w:r>
        <w:t xml:space="preserve">References</w:t>
      </w:r>
    </w:p>
    <w:bookmarkStart w:id="141" w:name="refs"/>
    <w:bookmarkStart w:id="80"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9">
        <w:r>
          <w:rPr>
            <w:rStyle w:val="Hyperlink"/>
          </w:rPr>
          <w:t xml:space="preserve">https://doi.org/10.1073/pnas.0903232106</w:t>
        </w:r>
      </w:hyperlink>
      <w:r>
        <w:t xml:space="preserve">.</w:t>
      </w:r>
    </w:p>
    <w:bookmarkEnd w:id="80"/>
    <w:bookmarkStart w:id="82"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81">
        <w:r>
          <w:rPr>
            <w:rStyle w:val="Hyperlink"/>
          </w:rPr>
          <w:t xml:space="preserve">https://doi.org/10.1098/rspb.2004.2746</w:t>
        </w:r>
      </w:hyperlink>
      <w:r>
        <w:t xml:space="preserve">.</w:t>
      </w:r>
    </w:p>
    <w:bookmarkEnd w:id="82"/>
    <w:bookmarkStart w:id="83"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6">
        <w:r>
          <w:rPr>
            <w:rStyle w:val="Hyperlink"/>
          </w:rPr>
          <w:t xml:space="preserve">https://doi.org/10.1007/s10816-022-09599-x</w:t>
        </w:r>
      </w:hyperlink>
      <w:r>
        <w:t xml:space="preserve">.</w:t>
      </w:r>
    </w:p>
    <w:bookmarkEnd w:id="87"/>
    <w:bookmarkStart w:id="89"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88">
        <w:r>
          <w:rPr>
            <w:rStyle w:val="Hyperlink"/>
          </w:rPr>
          <w:t xml:space="preserve">https://doi.org/10.1038/srep39122</w:t>
        </w:r>
      </w:hyperlink>
      <w:r>
        <w:t xml:space="preserve">.</w:t>
      </w:r>
    </w:p>
    <w:bookmarkEnd w:id="89"/>
    <w:bookmarkStart w:id="91"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0">
        <w:r>
          <w:rPr>
            <w:rStyle w:val="Hyperlink"/>
          </w:rPr>
          <w:t xml:space="preserve">https://doi.org/10.1371/journal.pone.0041010</w:t>
        </w:r>
      </w:hyperlink>
      <w:r>
        <w:t xml:space="preserve">.</w:t>
      </w:r>
    </w:p>
    <w:bookmarkEnd w:id="91"/>
    <w:bookmarkStart w:id="92"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2"/>
    <w:bookmarkStart w:id="93"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93"/>
    <w:bookmarkStart w:id="95"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94">
        <w:r>
          <w:rPr>
            <w:rStyle w:val="Hyperlink"/>
          </w:rPr>
          <w:t xml:space="preserve">https://doi.org/10.1534/genetics.113.158220</w:t>
        </w:r>
      </w:hyperlink>
      <w:r>
        <w:t xml:space="preserve">.</w:t>
      </w:r>
    </w:p>
    <w:bookmarkEnd w:id="95"/>
    <w:bookmarkStart w:id="96"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96"/>
    <w:bookmarkStart w:id="97"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97"/>
    <w:bookmarkStart w:id="98"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98"/>
    <w:bookmarkStart w:id="100"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99">
        <w:r>
          <w:rPr>
            <w:rStyle w:val="Hyperlink"/>
          </w:rPr>
          <w:t xml:space="preserve">https://doi.org/10.1666/05070.1</w:t>
        </w:r>
      </w:hyperlink>
      <w:r>
        <w:t xml:space="preserve">.</w:t>
      </w:r>
    </w:p>
    <w:bookmarkEnd w:id="100"/>
    <w:bookmarkStart w:id="102"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01">
        <w:r>
          <w:rPr>
            <w:rStyle w:val="Hyperlink"/>
          </w:rPr>
          <w:t xml:space="preserve">https://doi.org/10.1111/j.1558-5646.2007.00310.x</w:t>
        </w:r>
      </w:hyperlink>
      <w:r>
        <w:t xml:space="preserve">.</w:t>
      </w:r>
    </w:p>
    <w:bookmarkEnd w:id="102"/>
    <w:bookmarkStart w:id="104"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03">
        <w:r>
          <w:rPr>
            <w:rStyle w:val="Hyperlink"/>
          </w:rPr>
          <w:t xml:space="preserve">https://doi.org/10.1016/j.jtbi.2013.03.006</w:t>
        </w:r>
      </w:hyperlink>
      <w:r>
        <w:t xml:space="preserve">.</w:t>
      </w:r>
    </w:p>
    <w:bookmarkEnd w:id="104"/>
    <w:bookmarkStart w:id="106"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05">
        <w:r>
          <w:rPr>
            <w:rStyle w:val="Hyperlink"/>
          </w:rPr>
          <w:t xml:space="preserve">https://doi.org/10.1098/rsos.170949</w:t>
        </w:r>
      </w:hyperlink>
      <w:r>
        <w:t xml:space="preserve">.</w:t>
      </w:r>
    </w:p>
    <w:bookmarkEnd w:id="106"/>
    <w:bookmarkStart w:id="108"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07">
        <w:r>
          <w:rPr>
            <w:rStyle w:val="Hyperlink"/>
          </w:rPr>
          <w:t xml:space="preserve">https://doi.org/10.1146/annurev-ecolsys-110512-135838</w:t>
        </w:r>
      </w:hyperlink>
      <w:r>
        <w:t xml:space="preserve">.</w:t>
      </w:r>
    </w:p>
    <w:bookmarkEnd w:id="108"/>
    <w:bookmarkStart w:id="109"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09"/>
    <w:bookmarkStart w:id="110"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10"/>
    <w:bookmarkStart w:id="111"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11"/>
    <w:bookmarkStart w:id="113"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12">
        <w:r>
          <w:rPr>
            <w:rStyle w:val="Hyperlink"/>
          </w:rPr>
          <w:t xml:space="preserve">https://doi.org/10.1371/journal.pone.0250690</w:t>
        </w:r>
      </w:hyperlink>
      <w:r>
        <w:t xml:space="preserve">.</w:t>
      </w:r>
    </w:p>
    <w:bookmarkEnd w:id="113"/>
    <w:bookmarkStart w:id="114"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Settlement Patterns and Subsistence Systems in the Lower</w:t>
      </w:r>
      <w:r>
        <w:rPr>
          <w:i/>
          <w:iCs/>
        </w:rPr>
        <w:t xml:space="preserve"> </w:t>
      </w:r>
      <w:r>
        <w:rPr>
          <w:i/>
          <w:iCs/>
        </w:rPr>
        <w:t xml:space="preserve">Mississippi</w:t>
      </w:r>
      <w:r>
        <w:rPr>
          <w:i/>
          <w:iCs/>
        </w:rPr>
        <w:t xml:space="preserve"> </w:t>
      </w:r>
      <w:r>
        <w:rPr>
          <w:i/>
          <w:iCs/>
        </w:rPr>
        <w:t xml:space="preserve">Valley</w:t>
      </w:r>
      <w:r>
        <w:t xml:space="preserve">, pp. 125–167.</w:t>
      </w:r>
    </w:p>
    <w:bookmarkEnd w:id="114"/>
    <w:bookmarkStart w:id="116"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15">
        <w:r>
          <w:rPr>
            <w:rStyle w:val="Hyperlink"/>
          </w:rPr>
          <w:t xml:space="preserve">https://doi.org/10.1371/journal.pone.0124942</w:t>
        </w:r>
      </w:hyperlink>
      <w:r>
        <w:t xml:space="preserve">.</w:t>
      </w:r>
    </w:p>
    <w:bookmarkEnd w:id="116"/>
    <w:bookmarkStart w:id="117" w:name="ref-madsen_2012"/>
    <w:p>
      <w:pPr>
        <w:pStyle w:val="Bibliography"/>
      </w:pPr>
      <w:r>
        <w:t xml:space="preserve">Madsen, Mark E. 2012. Neutral Cultural Transmission in Time Averaged Archaeological Assemblages.</w:t>
      </w:r>
    </w:p>
    <w:bookmarkEnd w:id="117"/>
    <w:bookmarkStart w:id="118"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18"/>
    <w:bookmarkStart w:id="119"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19"/>
    <w:bookmarkStart w:id="120"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20"/>
    <w:bookmarkStart w:id="12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21"/>
    <w:bookmarkStart w:id="122"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p>
    <w:bookmarkEnd w:id="122"/>
    <w:bookmarkStart w:id="123"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23"/>
    <w:bookmarkStart w:id="124"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24"/>
    <w:bookmarkStart w:id="12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25"/>
    <w:bookmarkStart w:id="12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26"/>
    <w:bookmarkStart w:id="127"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27"/>
    <w:bookmarkStart w:id="129"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28">
        <w:r>
          <w:rPr>
            <w:rStyle w:val="Hyperlink"/>
          </w:rPr>
          <w:t xml:space="preserve">https://doi.org/10.1086/674873</w:t>
        </w:r>
      </w:hyperlink>
      <w:r>
        <w:t xml:space="preserve">.</w:t>
      </w:r>
    </w:p>
    <w:bookmarkEnd w:id="129"/>
    <w:bookmarkStart w:id="13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30"/>
    <w:bookmarkStart w:id="131" w:name="ref-ross-stallings_2015"/>
    <w:p>
      <w:pPr>
        <w:pStyle w:val="Bibliography"/>
      </w:pPr>
      <w:r>
        <w:t xml:space="preserve">Ross-Stallings, Nancy A. 2015. Center and Satellite Settlement Hierarchy and Diet on the Late Prehistoric</w:t>
      </w:r>
      <w:r>
        <w:t xml:space="preserve"> </w:t>
      </w:r>
      <w:r>
        <w:t xml:space="preserve">Mississippi</w:t>
      </w:r>
      <w:r>
        <w:t xml:space="preserve"> </w:t>
      </w:r>
      <w:r>
        <w:t xml:space="preserve">Delta. In, pp. 329–362.</w:t>
      </w:r>
    </w:p>
    <w:bookmarkEnd w:id="131"/>
    <w:bookmarkStart w:id="133"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32">
        <w:r>
          <w:rPr>
            <w:rStyle w:val="Hyperlink"/>
          </w:rPr>
          <w:t xml:space="preserve">https://doi.org/10.1038/nature08227</w:t>
        </w:r>
      </w:hyperlink>
      <w:r>
        <w:t xml:space="preserve">.</w:t>
      </w:r>
    </w:p>
    <w:bookmarkEnd w:id="133"/>
    <w:bookmarkStart w:id="134"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34"/>
    <w:bookmarkStart w:id="135"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35"/>
    <w:bookmarkStart w:id="136"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36"/>
    <w:bookmarkStart w:id="138"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137">
        <w:r>
          <w:rPr>
            <w:rStyle w:val="Hyperlink"/>
          </w:rPr>
          <w:t xml:space="preserve">https://doi.org/10.1086/651661</w:t>
        </w:r>
      </w:hyperlink>
      <w:r>
        <w:t xml:space="preserve">.</w:t>
      </w:r>
    </w:p>
    <w:bookmarkEnd w:id="138"/>
    <w:bookmarkStart w:id="139" w:name="ref-williams_1954"/>
    <w:p>
      <w:pPr>
        <w:pStyle w:val="Bibliography"/>
      </w:pPr>
      <w:r>
        <w:t xml:space="preserve">Williams, Stephen. 1954. An Archeological Study of the Mississippian Culture in Southeast Missouri. PhD thesis, Yale University, New Haven.</w:t>
      </w:r>
    </w:p>
    <w:bookmarkEnd w:id="139"/>
    <w:bookmarkStart w:id="140"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140"/>
    <w:bookmarkEnd w:id="141"/>
    <w:bookmarkEnd w:id="142"/>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hyperlink" Id="rId86" Target="https://doi.org/10.1007/s10816-022-09599-x" TargetMode="External" /><Relationship Type="http://schemas.openxmlformats.org/officeDocument/2006/relationships/hyperlink" Id="rId103" Target="https://doi.org/10.1016/j.jtbi.2013.03.006" TargetMode="External" /><Relationship Type="http://schemas.openxmlformats.org/officeDocument/2006/relationships/hyperlink" Id="rId132" Target="https://doi.org/10.1038/nature08227" TargetMode="External" /><Relationship Type="http://schemas.openxmlformats.org/officeDocument/2006/relationships/hyperlink" Id="rId88" Target="https://doi.org/10.1038/srep39122" TargetMode="External" /><Relationship Type="http://schemas.openxmlformats.org/officeDocument/2006/relationships/hyperlink" Id="rId79" Target="https://doi.org/10.1073/pnas.0903232106" TargetMode="External" /><Relationship Type="http://schemas.openxmlformats.org/officeDocument/2006/relationships/hyperlink" Id="rId137" Target="https://doi.org/10.1086/651661" TargetMode="External" /><Relationship Type="http://schemas.openxmlformats.org/officeDocument/2006/relationships/hyperlink" Id="rId128" Target="https://doi.org/10.1086/674873" TargetMode="External" /><Relationship Type="http://schemas.openxmlformats.org/officeDocument/2006/relationships/hyperlink" Id="rId105" Target="https://doi.org/10.1098/rsos.170949" TargetMode="External" /><Relationship Type="http://schemas.openxmlformats.org/officeDocument/2006/relationships/hyperlink" Id="rId81" Target="https://doi.org/10.1098/rspb.2004.2746" TargetMode="External" /><Relationship Type="http://schemas.openxmlformats.org/officeDocument/2006/relationships/hyperlink" Id="rId101" Target="https://doi.org/10.1111/j.1558-5646.2007.00310.x" TargetMode="External" /><Relationship Type="http://schemas.openxmlformats.org/officeDocument/2006/relationships/hyperlink" Id="rId107" Target="https://doi.org/10.1146/annurev-ecolsys-110512-135838" TargetMode="External" /><Relationship Type="http://schemas.openxmlformats.org/officeDocument/2006/relationships/hyperlink" Id="rId90" Target="https://doi.org/10.1371/journal.pone.0041010" TargetMode="External" /><Relationship Type="http://schemas.openxmlformats.org/officeDocument/2006/relationships/hyperlink" Id="rId115" Target="https://doi.org/10.1371/journal.pone.0124942" TargetMode="External" /><Relationship Type="http://schemas.openxmlformats.org/officeDocument/2006/relationships/hyperlink" Id="rId112" Target="https://doi.org/10.1371/journal.pone.0250690" TargetMode="External" /><Relationship Type="http://schemas.openxmlformats.org/officeDocument/2006/relationships/hyperlink" Id="rId94" Target="https://doi.org/10.1534/genetics.113.158220" TargetMode="External" /><Relationship Type="http://schemas.openxmlformats.org/officeDocument/2006/relationships/hyperlink" Id="rId99" Target="https://doi.org/10.1666/05070.1"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07/s10816-022-09599-x" TargetMode="External" /><Relationship Type="http://schemas.openxmlformats.org/officeDocument/2006/relationships/hyperlink" Id="rId103" Target="https://doi.org/10.1016/j.jtbi.2013.03.006" TargetMode="External" /><Relationship Type="http://schemas.openxmlformats.org/officeDocument/2006/relationships/hyperlink" Id="rId132" Target="https://doi.org/10.1038/nature08227" TargetMode="External" /><Relationship Type="http://schemas.openxmlformats.org/officeDocument/2006/relationships/hyperlink" Id="rId88" Target="https://doi.org/10.1038/srep39122" TargetMode="External" /><Relationship Type="http://schemas.openxmlformats.org/officeDocument/2006/relationships/hyperlink" Id="rId79" Target="https://doi.org/10.1073/pnas.0903232106" TargetMode="External" /><Relationship Type="http://schemas.openxmlformats.org/officeDocument/2006/relationships/hyperlink" Id="rId137" Target="https://doi.org/10.1086/651661" TargetMode="External" /><Relationship Type="http://schemas.openxmlformats.org/officeDocument/2006/relationships/hyperlink" Id="rId128" Target="https://doi.org/10.1086/674873" TargetMode="External" /><Relationship Type="http://schemas.openxmlformats.org/officeDocument/2006/relationships/hyperlink" Id="rId105" Target="https://doi.org/10.1098/rsos.170949" TargetMode="External" /><Relationship Type="http://schemas.openxmlformats.org/officeDocument/2006/relationships/hyperlink" Id="rId81" Target="https://doi.org/10.1098/rspb.2004.2746" TargetMode="External" /><Relationship Type="http://schemas.openxmlformats.org/officeDocument/2006/relationships/hyperlink" Id="rId101" Target="https://doi.org/10.1111/j.1558-5646.2007.00310.x" TargetMode="External" /><Relationship Type="http://schemas.openxmlformats.org/officeDocument/2006/relationships/hyperlink" Id="rId107" Target="https://doi.org/10.1146/annurev-ecolsys-110512-135838" TargetMode="External" /><Relationship Type="http://schemas.openxmlformats.org/officeDocument/2006/relationships/hyperlink" Id="rId90" Target="https://doi.org/10.1371/journal.pone.0041010" TargetMode="External" /><Relationship Type="http://schemas.openxmlformats.org/officeDocument/2006/relationships/hyperlink" Id="rId115" Target="https://doi.org/10.1371/journal.pone.0124942" TargetMode="External" /><Relationship Type="http://schemas.openxmlformats.org/officeDocument/2006/relationships/hyperlink" Id="rId112" Target="https://doi.org/10.1371/journal.pone.0250690" TargetMode="External" /><Relationship Type="http://schemas.openxmlformats.org/officeDocument/2006/relationships/hyperlink" Id="rId94" Target="https://doi.org/10.1534/genetics.113.158220" TargetMode="External" /><Relationship Type="http://schemas.openxmlformats.org/officeDocument/2006/relationships/hyperlink" Id="rId99" Target="https://doi.org/10.1666/0507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2026-06-13T21:56:58Z</dcterms:created>
  <dcterms:modified xsi:type="dcterms:W3CDTF">2026-06-13T21:56:58Z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