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0.png" ContentType="image/png"/>
  <Override PartName="/word/media/rId114.png" ContentType="image/png"/>
  <Override PartName="/word/media/rId119.png" ContentType="image/png"/>
  <Override PartName="/word/media/rId123.png" ContentType="image/png"/>
  <Override PartName="/word/media/rId127.png" ContentType="image/png"/>
  <Override PartName="/word/media/rId132.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109"/>
    <w:bookmarkStart w:id="1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1" name="Picture"/>
            <a:graphic>
              <a:graphicData uri="http://schemas.openxmlformats.org/drawingml/2006/picture">
                <pic:pic>
                  <pic:nvPicPr>
                    <pic:cNvPr descr="../../figures/figS1_validation.png" id="112" name="Picture"/>
                    <pic:cNvPicPr>
                      <a:picLocks noChangeArrowheads="1" noChangeAspect="1"/>
                    </pic:cNvPicPr>
                  </pic:nvPicPr>
                  <pic:blipFill>
                    <a:blip r:embed="rId1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13"/>
    <w:bookmarkStart w:id="1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15" name="Picture"/>
            <a:graphic>
              <a:graphicData uri="http://schemas.openxmlformats.org/drawingml/2006/picture">
                <pic:pic>
                  <pic:nvPicPr>
                    <pic:cNvPr descr="../../figures/figS2_neiman.png" id="116" name="Picture"/>
                    <pic:cNvPicPr>
                      <a:picLocks noChangeArrowheads="1" noChangeAspect="1"/>
                    </pic:cNvPicPr>
                  </pic:nvPicPr>
                  <pic:blipFill>
                    <a:blip r:embed="rId1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17"/>
    <w:bookmarkStart w:id="1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injects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injected closure is collinear with</w:t>
      </w:r>
      <w:r>
        <w:t xml:space="preserve"> </w:t>
      </w:r>
      <m:oMath>
        <m:sSub>
          <m:e>
            <m:r>
              <m:t>F</m:t>
            </m:r>
          </m:e>
          <m:sub>
            <m:r>
              <m:t>S</m:t>
            </m:r>
            <m:r>
              <m:t>T</m:t>
            </m:r>
          </m:sub>
        </m:sSub>
      </m:oMath>
      <w:r>
        <w:t xml:space="preserve">. That resolution is 29 time-averaged assemblages subsampled to a common count over ten aggregated classes. A subsampling-depth sweep (the weak signatures climb modestly with more sherds but remain well below</w:t>
      </w:r>
      <w:r>
        <w:t xml:space="preserve"> </w:t>
      </w:r>
      <m:oMath>
        <m:sSub>
          <m:e>
            <m:r>
              <m:t>F</m:t>
            </m:r>
          </m:e>
          <m:sub>
            <m:r>
              <m:t>S</m:t>
            </m:r>
            <m:r>
              <m:t>T</m:t>
            </m:r>
          </m:sub>
        </m:sSub>
      </m:oMath>
      <w:r>
        <w:t xml:space="preserve">)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8"/>
    <w:bookmarkStart w:id="1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120" name="Picture"/>
            <a:graphic>
              <a:graphicData uri="http://schemas.openxmlformats.org/drawingml/2006/picture">
                <pic:pic>
                  <pic:nvPicPr>
                    <pic:cNvPr descr="../../figures/figS3_drift_vs_groups.png" id="121" name="Picture"/>
                    <pic:cNvPicPr>
                      <a:picLocks noChangeArrowheads="1" noChangeAspect="1"/>
                    </pic:cNvPicPr>
                  </pic:nvPicPr>
                  <pic:blipFill>
                    <a:blip r:embed="rId1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w:t>
      </w:r>
      <w:r>
        <w:t xml:space="preserve"> </w:t>
      </w:r>
      <m:oMath>
        <m:sSub>
          <m:e>
            <m:r>
              <m:t>F</m:t>
            </m:r>
          </m:e>
          <m:sub>
            <m:r>
              <m:t>S</m:t>
            </m:r>
            <m:r>
              <m:t>T</m:t>
            </m:r>
          </m:sub>
        </m:sSub>
      </m:oMath>
      <w:r>
        <w:t xml:space="preserve">. Bottom: multidimensional scaling of decorated dissimilarity for the observed assemblages and one realization of each model, spatial drift reproducing the weak, spatially blurred structure while bounded groups produce a sharper split than the data show.</w:t>
      </w:r>
    </w:p>
    <w:bookmarkEnd w:id="122"/>
    <w:bookmarkStart w:id="1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w:t>
      </w:r>
      <w:r>
        <w:t xml:space="preserve"> </w:t>
      </w:r>
      <m:oMath>
        <m:sSub>
          <m:e>
            <m:r>
              <m:t>F</m:t>
            </m:r>
          </m:e>
          <m:sub>
            <m:r>
              <m:t>S</m:t>
            </m:r>
            <m:r>
              <m:t>T</m:t>
            </m:r>
          </m:sub>
        </m:sSub>
      </m:oMath>
      <w:r>
        <w:t xml:space="preserve"> </w:t>
      </w:r>
      <w:r>
        <w:t xml:space="preserve">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124" name="Picture"/>
            <a:graphic>
              <a:graphicData uri="http://schemas.openxmlformats.org/drawingml/2006/picture">
                <pic:pic>
                  <pic:nvPicPr>
                    <pic:cNvPr descr="../../figures/figS4_emergent_phases.png" id="125" name="Picture"/>
                    <pic:cNvPicPr>
                      <a:picLocks noChangeArrowheads="1" noChangeAspect="1"/>
                    </pic:cNvPicPr>
                  </pic:nvPicPr>
                  <pic:blipFill>
                    <a:blip r:embed="rId1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w:t>
      </w:r>
      <w:r>
        <w:t xml:space="preserve"> </w:t>
      </w:r>
      <m:oMath>
        <m:sSub>
          <m:e>
            <m:r>
              <m:t>F</m:t>
            </m:r>
          </m:e>
          <m:sub>
            <m:r>
              <m:t>S</m:t>
            </m:r>
            <m:r>
              <m:t>T</m:t>
            </m:r>
          </m:sub>
        </m:sSub>
      </m:oMath>
      <w:r>
        <w:t xml:space="preserve"> </w:t>
      </w:r>
      <w:r>
        <w:t xml:space="preserve">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126"/>
    <w:bookmarkStart w:id="1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431 of the 432 runs. The between-group cultural</w:t>
      </w:r>
      <w:r>
        <w:t xml:space="preserve"> </w:t>
      </w:r>
      <m:oMath>
        <m:sSub>
          <m:e>
            <m:r>
              <m:t>F</m:t>
            </m:r>
          </m:e>
          <m:sub>
            <m:r>
              <m:t>S</m:t>
            </m:r>
            <m:r>
              <m:t>T</m:t>
            </m:r>
          </m:sub>
        </m:sSub>
      </m:oMath>
      <w:r>
        <w:t xml:space="preserve"> </w:t>
      </w:r>
      <w:r>
        <w:t xml:space="preserve">sits at or below the observed value in 85 percent of runs and within a factor of two of it in 53 percent, short of the bounded-groups expectation throughout.</w:t>
      </w:r>
      <w:r>
        <w:t xml:space="preserve"> </w:t>
      </w:r>
      <m:oMath>
        <m:sSub>
          <m:e>
            <m:r>
              <m:t>F</m:t>
            </m:r>
          </m:e>
          <m:sub>
            <m:r>
              <m:t>S</m:t>
            </m:r>
            <m:r>
              <m:t>T</m:t>
            </m:r>
          </m:sub>
        </m:sSub>
      </m:oMath>
      <w:r>
        <w:t xml:space="preserve"> </w:t>
      </w:r>
      <w:r>
        <w:t xml:space="preserve">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07231"/>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 title="" id="128" name="Picture"/>
            <a:graphic>
              <a:graphicData uri="http://schemas.openxmlformats.org/drawingml/2006/picture">
                <pic:pic>
                  <pic:nvPicPr>
                    <pic:cNvPr descr="../../figures/figS5_emergence_robustness.png" id="129" name="Picture"/>
                    <pic:cNvPicPr>
                      <a:picLocks noChangeArrowheads="1" noChangeAspect="1"/>
                    </pic:cNvPicPr>
                  </pic:nvPicPr>
                  <pic:blipFill>
                    <a:blip r:embed="rId127"/>
                    <a:stretch>
                      <a:fillRect/>
                    </a:stretch>
                  </pic:blipFill>
                  <pic:spPr bwMode="auto">
                    <a:xfrm>
                      <a:off x="0" y="0"/>
                      <a:ext cx="5334000" cy="4107231"/>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w:t>
      </w:r>
      <w:r>
        <w:t xml:space="preserve"> </w:t>
      </w:r>
      <m:oMath>
        <m:sSub>
          <m:e>
            <m:r>
              <m:t>F</m:t>
            </m:r>
          </m:e>
          <m:sub>
            <m:r>
              <m:t>S</m:t>
            </m:r>
            <m:r>
              <m:t>T</m:t>
            </m:r>
          </m:sub>
        </m:sSub>
      </m:oMath>
      <w:r>
        <w:t xml:space="preserve"> </w:t>
      </w:r>
      <w:r>
        <w:t xml:space="preserve">by between-node mixing and (B) by innovation rate, boxes taken over all other factors and seeds. The observed value (dashed) is bracketed, and</w:t>
      </w:r>
      <w:r>
        <w:t xml:space="preserve"> </w:t>
      </w:r>
      <m:oMath>
        <m:sSub>
          <m:e>
            <m:r>
              <m:t>F</m:t>
            </m:r>
          </m:e>
          <m:sub>
            <m:r>
              <m:t>S</m:t>
            </m:r>
            <m:r>
              <m:t>T</m:t>
            </m:r>
          </m:sub>
        </m:sSub>
      </m:oMath>
      <w:r>
        <w:t xml:space="preserve"> </w:t>
      </w:r>
      <w:r>
        <w:t xml:space="preserve">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w:t>
      </w:r>
    </w:p>
    <w:bookmarkEnd w:id="130"/>
    <w:bookmarkStart w:id="1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w:t>
      </w:r>
      <w:r>
        <w:t xml:space="preserve"> </w:t>
      </w:r>
      <m:oMath>
        <m:sSub>
          <m:e>
            <m:r>
              <m:t>F</m:t>
            </m:r>
          </m:e>
          <m:sub>
            <m:r>
              <m:t>S</m:t>
            </m:r>
            <m:r>
              <m:t>T</m:t>
            </m:r>
          </m:sub>
        </m:sSub>
      </m:oMath>
      <w:r>
        <w:t xml:space="preserve"> </w:t>
      </w:r>
      <w:r>
        <w:t xml:space="preserve">is 0.11. Most of that differentiation is a Woodland-to-Mississippian composition gradient rather than synchronic social structure. Restricting the analysis to Mississippian classes collapses the</w:t>
      </w:r>
      <w:r>
        <w:t xml:space="preserve"> </w:t>
      </w:r>
      <m:oMath>
        <m:sSub>
          <m:e>
            <m:r>
              <m:t>F</m:t>
            </m:r>
          </m:e>
          <m:sub>
            <m:r>
              <m:t>S</m:t>
            </m:r>
            <m:r>
              <m:t>T</m:t>
            </m:r>
          </m:sub>
        </m:sSub>
      </m:oMath>
      <w:r>
        <w:t xml:space="preserve"> </w:t>
      </w:r>
      <w:r>
        <w:t xml:space="preserve">to 0.03, near the drift level. Within the region the assemblages do not separate into bounded clusters. They intermix on the ordination, and the between-cluster</w:t>
      </w:r>
      <w:r>
        <w:t xml:space="preserve"> </w:t>
      </w:r>
      <m:oMath>
        <m:sSub>
          <m:e>
            <m:r>
              <m:t>F</m:t>
            </m:r>
          </m:e>
          <m:sub>
            <m:r>
              <m:t>S</m:t>
            </m:r>
            <m:r>
              <m:t>T</m:t>
            </m:r>
          </m:sub>
        </m:sSub>
      </m:oMath>
      <w:r>
        <w:t xml:space="preserve"> </w:t>
      </w:r>
      <w:r>
        <w:t xml:space="preserve">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131"/>
    <w:bookmarkStart w:id="1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tightly constrained near neutral, with mean</w:t>
      </w:r>
      <w:r>
        <w:t xml:space="preserve"> </w:t>
      </w:r>
      <m:oMath>
        <m:r>
          <m:t>b</m:t>
        </m:r>
        <m:r>
          <m:rPr>
            <m:sty m:val="p"/>
          </m:rPr>
          <m:t>=</m:t>
        </m:r>
        <m:r>
          <m:rPr>
            <m:sty m:val="p"/>
          </m:rPr>
          <m:t>+</m:t>
        </m:r>
        <m:r>
          <m:t>0.006</m:t>
        </m:r>
      </m:oMath>
      <w:r>
        <w:t xml:space="preserve"> </w:t>
      </w:r>
      <w:r>
        <w:t xml:space="preserve">and a 95 percent interval of</w:t>
      </w:r>
      <w:r>
        <w:t xml:space="preserve"> </w:t>
      </w:r>
      <m:oMath>
        <m:r>
          <m:rPr>
            <m:sty m:val="p"/>
          </m:rPr>
          <m:t>−</m:t>
        </m:r>
        <m:r>
          <m:t>0.020</m:t>
        </m:r>
      </m:oMath>
      <w:r>
        <w:t xml:space="preserve"> </w:t>
      </w:r>
      <w:r>
        <w:t xml:space="preserve">to</w:t>
      </w:r>
      <w:r>
        <w:t xml:space="preserve"> </w:t>
      </w:r>
      <m:oMath>
        <m:r>
          <m:rPr>
            <m:sty m:val="p"/>
          </m:rPr>
          <m:t>+</m:t>
        </m:r>
        <m:r>
          <m:t>0.035</m:t>
        </m:r>
      </m:oMath>
      <w:r>
        <w:t xml:space="preserve"> </w:t>
      </w:r>
      <w:r>
        <w:t xml:space="preserve">that includes zero (Figure S6A). The posterior standard deviation is 0.014 against a prior of 0.289, so the data strongly constrain the bias rather than leaving it at the prior. Any conformist lean is weak and unresolved, with</w:t>
      </w:r>
      <w:r>
        <w:t xml:space="preserve"> </w:t>
      </w:r>
      <m:oMath>
        <m:r>
          <m:t>P</m:t>
        </m:r>
        <m:r>
          <m:rPr>
            <m:sty m:val="p"/>
          </m:rPr>
          <m:t>(</m:t>
        </m:r>
        <m:r>
          <m:t>b</m:t>
        </m:r>
        <m:r>
          <m:rPr>
            <m:sty m:val="p"/>
          </m:rPr>
          <m:t>&gt;</m:t>
        </m:r>
        <m:r>
          <m:t>0</m:t>
        </m:r>
        <m:r>
          <m:rPr>
            <m:sty m:val="p"/>
          </m:rPr>
          <m:t>)</m:t>
        </m:r>
        <m:r>
          <m:rPr>
            <m:sty m:val="p"/>
          </m:rPr>
          <m:t>=</m:t>
        </m:r>
        <m:r>
          <m:t>0.70</m:t>
        </m:r>
      </m:oMath>
      <w:r>
        <w:t xml:space="preserve">, and refitting the bias separately to the early and late halves of the sequence recovers no shift between them. The inference rules out a strong basin-wide conformist bias by modeling copying dynamics rather than a single static moment. Because it fits the sequence as a single pooled population, it bears on aggregate conformity across the basin rather than on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(Figure S6B)</w:t>
      </w:r>
      <w:r>
        <w:t xml:space="preserve"> </w:t>
      </w:r>
      <w:r>
        <w:t xml:space="preserve">(Talts et al. 2018)</w:t>
      </w:r>
      <w:r>
        <w:t xml:space="preserve">. The calibrated posterior is concordant with an independent rejection-sampling fit of the same model (mean</w:t>
      </w:r>
      <w:r>
        <w:t xml:space="preserve"> </w:t>
      </w:r>
      <m:oMath>
        <m:r>
          <m:t>b</m:t>
        </m:r>
        <m:r>
          <m:rPr>
            <m:sty m:val="p"/>
          </m:rPr>
          <m:t>=</m:t>
        </m:r>
        <m:r>
          <m:rPr>
            <m:sty m:val="p"/>
          </m:rPr>
          <m:t>+</m:t>
        </m:r>
        <m:r>
          <m:t>0.028</m:t>
        </m:r>
      </m:oMath>
      <w:r>
        <w:t xml:space="preserve">, a wider 95 percent interval that also includes zero), which the calibration sharpens rather than overturns. Full configuration, diagnostics, and software versions are in the supplementary code.</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321058"/>
            <wp:effectExtent b="0" l="0" r="0" t="0"/>
            <wp:docPr descr="Figure S6.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133" name="Picture"/>
            <a:graphic>
              <a:graphicData uri="http://schemas.openxmlformats.org/drawingml/2006/picture">
                <pic:pic>
                  <pic:nvPicPr>
                    <pic:cNvPr descr="../../figures/figS6_dynamic.png" id="134" name="Picture"/>
                    <pic:cNvPicPr>
                      <a:picLocks noChangeArrowheads="1" noChangeAspect="1"/>
                    </pic:cNvPicPr>
                  </pic:nvPicPr>
                  <pic:blipFill>
                    <a:blip r:embed="rId132"/>
                    <a:stretch>
                      <a:fillRect/>
                    </a:stretch>
                  </pic:blipFill>
                  <pic:spPr bwMode="auto">
                    <a:xfrm>
                      <a:off x="0" y="0"/>
                      <a:ext cx="5334000" cy="2321058"/>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135"/>
    <w:bookmarkStart w:id="1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37" name="Picture"/>
            <a:graphic>
              <a:graphicData uri="http://schemas.openxmlformats.org/drawingml/2006/picture">
                <pic:pic>
                  <pic:nvPicPr>
                    <pic:cNvPr descr="../../figures/figS7_chronology.png" id="138" name="Picture"/>
                    <pic:cNvPicPr>
                      <a:picLocks noChangeArrowheads="1" noChangeAspect="1"/>
                    </pic:cNvPicPr>
                  </pic:nvPicPr>
                  <pic:blipFill>
                    <a:blip r:embed="rId1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39"/>
    <w:bookmarkStart w:id="195" w:name="references"/>
    <w:p>
      <w:pPr>
        <w:pStyle w:val="Heading2"/>
      </w:pPr>
      <w:r>
        <w:t xml:space="preserve">References</w:t>
      </w:r>
    </w:p>
    <w:bookmarkStart w:id="194" w:name="refs"/>
    <w:bookmarkStart w:id="140"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40"/>
    <w:bookmarkStart w:id="14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41">
        <w:r>
          <w:rPr>
            <w:rStyle w:val="Hyperlink"/>
          </w:rPr>
          <w:t xml:space="preserve">https://doi.org/10.1073/pnas.0903232106</w:t>
        </w:r>
      </w:hyperlink>
      <w:r>
        <w:t xml:space="preserve">.</w:t>
      </w:r>
    </w:p>
    <w:bookmarkEnd w:id="142"/>
    <w:bookmarkStart w:id="14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43">
        <w:r>
          <w:rPr>
            <w:rStyle w:val="Hyperlink"/>
          </w:rPr>
          <w:t xml:space="preserve">https://doi.org/10.1098/rspb.2004.2746</w:t>
        </w:r>
      </w:hyperlink>
      <w:r>
        <w:t xml:space="preserve">.</w:t>
      </w:r>
    </w:p>
    <w:bookmarkEnd w:id="144"/>
    <w:bookmarkStart w:id="146"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45">
        <w:r>
          <w:rPr>
            <w:rStyle w:val="Hyperlink"/>
          </w:rPr>
          <w:t xml:space="preserve">https://doi.org/10.1057/s41599-019-0295-9</w:t>
        </w:r>
      </w:hyperlink>
      <w:r>
        <w:t xml:space="preserve">.</w:t>
      </w:r>
    </w:p>
    <w:bookmarkEnd w:id="146"/>
    <w:bookmarkStart w:id="147"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47"/>
    <w:bookmarkStart w:id="14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48">
        <w:r>
          <w:rPr>
            <w:rStyle w:val="Hyperlink"/>
          </w:rPr>
          <w:t xml:space="preserve">https://doi.org/10.1016/j.jas.2014.07.014</w:t>
        </w:r>
      </w:hyperlink>
      <w:r>
        <w:t xml:space="preserve">.</w:t>
      </w:r>
    </w:p>
    <w:bookmarkEnd w:id="149"/>
    <w:bookmarkStart w:id="15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50">
        <w:r>
          <w:rPr>
            <w:rStyle w:val="Hyperlink"/>
          </w:rPr>
          <w:t xml:space="preserve">https://doi.org/10.1038/srep39122</w:t>
        </w:r>
      </w:hyperlink>
      <w:r>
        <w:t xml:space="preserve">.</w:t>
      </w:r>
    </w:p>
    <w:bookmarkEnd w:id="151"/>
    <w:bookmarkStart w:id="15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52">
        <w:r>
          <w:rPr>
            <w:rStyle w:val="Hyperlink"/>
          </w:rPr>
          <w:t xml:space="preserve">https://doi.org/10.1371/journal.pone.0041010</w:t>
        </w:r>
      </w:hyperlink>
      <w:r>
        <w:t xml:space="preserve">.</w:t>
      </w:r>
    </w:p>
    <w:bookmarkEnd w:id="153"/>
    <w:bookmarkStart w:id="15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54">
        <w:r>
          <w:rPr>
            <w:rStyle w:val="Hyperlink"/>
          </w:rPr>
          <w:t xml:space="preserve">https://doi.org/10.2307/278341</w:t>
        </w:r>
      </w:hyperlink>
      <w:r>
        <w:t xml:space="preserve">.</w:t>
      </w:r>
    </w:p>
    <w:bookmarkEnd w:id="155"/>
    <w:bookmarkStart w:id="15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56"/>
    <w:bookmarkStart w:id="15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57">
        <w:r>
          <w:rPr>
            <w:rStyle w:val="Hyperlink"/>
          </w:rPr>
          <w:t xml:space="preserve">https://doi.org/10.1534/genetics.113.158220</w:t>
        </w:r>
      </w:hyperlink>
      <w:r>
        <w:t xml:space="preserve">.</w:t>
      </w:r>
    </w:p>
    <w:bookmarkEnd w:id="158"/>
    <w:bookmarkStart w:id="15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59"/>
    <w:bookmarkStart w:id="16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60"/>
    <w:bookmarkStart w:id="16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61">
        <w:r>
          <w:rPr>
            <w:rStyle w:val="Hyperlink"/>
          </w:rPr>
          <w:t xml:space="preserve">https://doi.org/10.1525/aa.2001.103.4.992</w:t>
        </w:r>
      </w:hyperlink>
      <w:r>
        <w:t xml:space="preserve">.</w:t>
      </w:r>
    </w:p>
    <w:bookmarkEnd w:id="162"/>
    <w:bookmarkStart w:id="163"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63"/>
    <w:bookmarkStart w:id="16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64">
        <w:r>
          <w:rPr>
            <w:rStyle w:val="Hyperlink"/>
          </w:rPr>
          <w:t xml:space="preserve">https://doi.org/10.1666/05070.1</w:t>
        </w:r>
      </w:hyperlink>
      <w:r>
        <w:t xml:space="preserve">.</w:t>
      </w:r>
    </w:p>
    <w:bookmarkEnd w:id="165"/>
    <w:bookmarkStart w:id="16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66">
        <w:r>
          <w:rPr>
            <w:rStyle w:val="Hyperlink"/>
          </w:rPr>
          <w:t xml:space="preserve">https://doi.org/10.1111/j.1558-5646.2007.00310.x</w:t>
        </w:r>
      </w:hyperlink>
      <w:r>
        <w:t xml:space="preserve">.</w:t>
      </w:r>
    </w:p>
    <w:bookmarkEnd w:id="167"/>
    <w:bookmarkStart w:id="169"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68">
        <w:r>
          <w:rPr>
            <w:rStyle w:val="Hyperlink"/>
          </w:rPr>
          <w:t xml:space="preserve">https://doi.org/10.1371/journal.pone.0250690</w:t>
        </w:r>
      </w:hyperlink>
      <w:r>
        <w:t xml:space="preserve">.</w:t>
      </w:r>
    </w:p>
    <w:bookmarkEnd w:id="169"/>
    <w:bookmarkStart w:id="17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70">
        <w:r>
          <w:rPr>
            <w:rStyle w:val="Hyperlink"/>
          </w:rPr>
          <w:t xml:space="preserve">https://doi.org/10.1371/journal.pone.0124942</w:t>
        </w:r>
      </w:hyperlink>
      <w:r>
        <w:t xml:space="preserve">.</w:t>
      </w:r>
    </w:p>
    <w:bookmarkEnd w:id="171"/>
    <w:bookmarkStart w:id="17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72">
        <w:r>
          <w:rPr>
            <w:rStyle w:val="Hyperlink"/>
          </w:rPr>
          <w:t xml:space="preserve">https://doi.org/10.1006/jaar.1997.0314</w:t>
        </w:r>
      </w:hyperlink>
      <w:r>
        <w:t xml:space="preserve">.</w:t>
      </w:r>
    </w:p>
    <w:bookmarkEnd w:id="173"/>
    <w:bookmarkStart w:id="174"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74"/>
    <w:bookmarkStart w:id="17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75"/>
    <w:bookmarkStart w:id="176"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76"/>
    <w:bookmarkStart w:id="177"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77"/>
    <w:bookmarkStart w:id="1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8"/>
    <w:bookmarkStart w:id="1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79"/>
    <w:bookmarkStart w:id="18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80">
        <w:r>
          <w:rPr>
            <w:rStyle w:val="Hyperlink"/>
          </w:rPr>
          <w:t xml:space="preserve">https://doi.org/10.1017/RDC.2020.41</w:t>
        </w:r>
      </w:hyperlink>
      <w:r>
        <w:t xml:space="preserve">.</w:t>
      </w:r>
    </w:p>
    <w:bookmarkEnd w:id="181"/>
    <w:bookmarkStart w:id="182"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182"/>
    <w:bookmarkStart w:id="184"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3">
        <w:r>
          <w:rPr>
            <w:rStyle w:val="Hyperlink"/>
          </w:rPr>
          <w:t xml:space="preserve">https://doi.org/10.1038/nature08227</w:t>
        </w:r>
      </w:hyperlink>
      <w:r>
        <w:t xml:space="preserve">.</w:t>
      </w:r>
    </w:p>
    <w:bookmarkEnd w:id="184"/>
    <w:bookmarkStart w:id="186"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185">
        <w:r>
          <w:rPr>
            <w:rStyle w:val="Hyperlink"/>
          </w:rPr>
          <w:t xml:space="preserve">https://doi.org/10.1016/j.jas.2007.01.003</w:t>
        </w:r>
      </w:hyperlink>
      <w:r>
        <w:t xml:space="preserve">.</w:t>
      </w:r>
    </w:p>
    <w:bookmarkEnd w:id="186"/>
    <w:bookmarkStart w:id="188"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187">
        <w:r>
          <w:rPr>
            <w:rStyle w:val="Hyperlink"/>
          </w:rPr>
          <w:t xml:space="preserve">https://doi.org/10.1016/j.jas.2009.03.029</w:t>
        </w:r>
      </w:hyperlink>
      <w:r>
        <w:t xml:space="preserve">.</w:t>
      </w:r>
    </w:p>
    <w:bookmarkEnd w:id="188"/>
    <w:bookmarkStart w:id="189"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189"/>
    <w:bookmarkStart w:id="1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190"/>
    <w:bookmarkStart w:id="192"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191">
        <w:r>
          <w:rPr>
            <w:rStyle w:val="Hyperlink"/>
          </w:rPr>
          <w:t xml:space="preserve">https://doi.org/10.1098/rsif.2008.0172</w:t>
        </w:r>
      </w:hyperlink>
      <w:r>
        <w:t xml:space="preserve">.</w:t>
      </w:r>
    </w:p>
    <w:bookmarkEnd w:id="192"/>
    <w:bookmarkStart w:id="193" w:name="ref-williams_1954"/>
    <w:p>
      <w:pPr>
        <w:pStyle w:val="Bibliography"/>
      </w:pPr>
      <w:r>
        <w:t xml:space="preserve">Williams, Stephen. 1954. An Archeological Study of the Mississippian Culture in Southeast Missouri. PhD thesis, Yale University, New Haven.</w:t>
      </w:r>
    </w:p>
    <w:bookmarkEnd w:id="193"/>
    <w:bookmarkEnd w:id="194"/>
    <w:bookmarkEnd w:id="195"/>
    <w:bookmarkEnd w:id="196"/>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hyperlink" Id="rId172" Target="https://doi.org/10.1006/jaar.1997.0314" TargetMode="External" /><Relationship Type="http://schemas.openxmlformats.org/officeDocument/2006/relationships/hyperlink" Id="rId185" Target="https://doi.org/10.1016/j.jas.2007.01.003" TargetMode="External" /><Relationship Type="http://schemas.openxmlformats.org/officeDocument/2006/relationships/hyperlink" Id="rId187" Target="https://doi.org/10.1016/j.jas.2009.03.029" TargetMode="External" /><Relationship Type="http://schemas.openxmlformats.org/officeDocument/2006/relationships/hyperlink" Id="rId148" Target="https://doi.org/10.1016/j.jas.2014.07.014" TargetMode="External" /><Relationship Type="http://schemas.openxmlformats.org/officeDocument/2006/relationships/hyperlink" Id="rId180" Target="https://doi.org/10.1017/RDC.2020.41" TargetMode="External" /><Relationship Type="http://schemas.openxmlformats.org/officeDocument/2006/relationships/hyperlink" Id="rId183" Target="https://doi.org/10.1038/nature08227" TargetMode="External" /><Relationship Type="http://schemas.openxmlformats.org/officeDocument/2006/relationships/hyperlink" Id="rId150" Target="https://doi.org/10.1038/srep39122" TargetMode="External" /><Relationship Type="http://schemas.openxmlformats.org/officeDocument/2006/relationships/hyperlink" Id="rId145" Target="https://doi.org/10.1057/s41599-019-0295-9" TargetMode="External" /><Relationship Type="http://schemas.openxmlformats.org/officeDocument/2006/relationships/hyperlink" Id="rId141" Target="https://doi.org/10.1073/pnas.0903232106" TargetMode="External" /><Relationship Type="http://schemas.openxmlformats.org/officeDocument/2006/relationships/hyperlink" Id="rId191" Target="https://doi.org/10.1098/rsif.2008.0172" TargetMode="External" /><Relationship Type="http://schemas.openxmlformats.org/officeDocument/2006/relationships/hyperlink" Id="rId143" Target="https://doi.org/10.1098/rspb.2004.2746" TargetMode="External" /><Relationship Type="http://schemas.openxmlformats.org/officeDocument/2006/relationships/hyperlink" Id="rId166" Target="https://doi.org/10.1111/j.1558-5646.2007.00310.x" TargetMode="External" /><Relationship Type="http://schemas.openxmlformats.org/officeDocument/2006/relationships/hyperlink" Id="rId152" Target="https://doi.org/10.1371/journal.pone.0041010" TargetMode="External" /><Relationship Type="http://schemas.openxmlformats.org/officeDocument/2006/relationships/hyperlink" Id="rId170" Target="https://doi.org/10.1371/journal.pone.0124942" TargetMode="External" /><Relationship Type="http://schemas.openxmlformats.org/officeDocument/2006/relationships/hyperlink" Id="rId168" Target="https://doi.org/10.1371/journal.pone.0250690" TargetMode="External" /><Relationship Type="http://schemas.openxmlformats.org/officeDocument/2006/relationships/hyperlink" Id="rId161" Target="https://doi.org/10.1525/aa.2001.103.4.992" TargetMode="External" /><Relationship Type="http://schemas.openxmlformats.org/officeDocument/2006/relationships/hyperlink" Id="rId157" Target="https://doi.org/10.1534/genetics.113.158220" TargetMode="External" /><Relationship Type="http://schemas.openxmlformats.org/officeDocument/2006/relationships/hyperlink" Id="rId164" Target="https://doi.org/10.1666/05070.1" TargetMode="External" /><Relationship Type="http://schemas.openxmlformats.org/officeDocument/2006/relationships/hyperlink" Id="rId154"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72" Target="https://doi.org/10.1006/jaar.1997.0314" TargetMode="External" /><Relationship Type="http://schemas.openxmlformats.org/officeDocument/2006/relationships/hyperlink" Id="rId185" Target="https://doi.org/10.1016/j.jas.2007.01.003" TargetMode="External" /><Relationship Type="http://schemas.openxmlformats.org/officeDocument/2006/relationships/hyperlink" Id="rId187" Target="https://doi.org/10.1016/j.jas.2009.03.029" TargetMode="External" /><Relationship Type="http://schemas.openxmlformats.org/officeDocument/2006/relationships/hyperlink" Id="rId148" Target="https://doi.org/10.1016/j.jas.2014.07.014" TargetMode="External" /><Relationship Type="http://schemas.openxmlformats.org/officeDocument/2006/relationships/hyperlink" Id="rId180" Target="https://doi.org/10.1017/RDC.2020.41" TargetMode="External" /><Relationship Type="http://schemas.openxmlformats.org/officeDocument/2006/relationships/hyperlink" Id="rId183" Target="https://doi.org/10.1038/nature08227" TargetMode="External" /><Relationship Type="http://schemas.openxmlformats.org/officeDocument/2006/relationships/hyperlink" Id="rId150" Target="https://doi.org/10.1038/srep39122" TargetMode="External" /><Relationship Type="http://schemas.openxmlformats.org/officeDocument/2006/relationships/hyperlink" Id="rId145" Target="https://doi.org/10.1057/s41599-019-0295-9" TargetMode="External" /><Relationship Type="http://schemas.openxmlformats.org/officeDocument/2006/relationships/hyperlink" Id="rId141" Target="https://doi.org/10.1073/pnas.0903232106" TargetMode="External" /><Relationship Type="http://schemas.openxmlformats.org/officeDocument/2006/relationships/hyperlink" Id="rId191" Target="https://doi.org/10.1098/rsif.2008.0172" TargetMode="External" /><Relationship Type="http://schemas.openxmlformats.org/officeDocument/2006/relationships/hyperlink" Id="rId143" Target="https://doi.org/10.1098/rspb.2004.2746" TargetMode="External" /><Relationship Type="http://schemas.openxmlformats.org/officeDocument/2006/relationships/hyperlink" Id="rId166" Target="https://doi.org/10.1111/j.1558-5646.2007.00310.x" TargetMode="External" /><Relationship Type="http://schemas.openxmlformats.org/officeDocument/2006/relationships/hyperlink" Id="rId152" Target="https://doi.org/10.1371/journal.pone.0041010" TargetMode="External" /><Relationship Type="http://schemas.openxmlformats.org/officeDocument/2006/relationships/hyperlink" Id="rId170" Target="https://doi.org/10.1371/journal.pone.0124942" TargetMode="External" /><Relationship Type="http://schemas.openxmlformats.org/officeDocument/2006/relationships/hyperlink" Id="rId168" Target="https://doi.org/10.1371/journal.pone.0250690" TargetMode="External" /><Relationship Type="http://schemas.openxmlformats.org/officeDocument/2006/relationships/hyperlink" Id="rId161" Target="https://doi.org/10.1525/aa.2001.103.4.992" TargetMode="External" /><Relationship Type="http://schemas.openxmlformats.org/officeDocument/2006/relationships/hyperlink" Id="rId157" Target="https://doi.org/10.1534/genetics.113.158220" TargetMode="External" /><Relationship Type="http://schemas.openxmlformats.org/officeDocument/2006/relationships/hyperlink" Id="rId164" Target="https://doi.org/10.1666/05070.1" TargetMode="External" /><Relationship Type="http://schemas.openxmlformats.org/officeDocument/2006/relationships/hyperlink" Id="rId154"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2026-07-22T13:31:14Z</dcterms:created>
  <dcterms:modified xsi:type="dcterms:W3CDTF">2026-07-22T13:31:14Z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