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4.png" ContentType="image/png"/>
  <Override PartName="/word/media/rId35.png" ContentType="image/png"/>
  <Override PartName="/word/media/rId39.png" ContentType="image/png"/>
  <Override PartName="/word/media/rId10.png" ContentType="image/png"/>
  <Override PartName="/word/media/rId19.png" ContentType="image/png"/>
  <Override PartName="/word/media/rId3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S8) use the same neutral-drift model run on the real geography, distinct from the null-comparison of the positive control above. The model is run at two scales: on the 29 St. Francis basin assemblages for the positive control (Figure S8)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S8)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the fraction of the 500 runs in which it falls in the same drift-detected group as Parkin. This quantity is label-invariant, needs no alignment across runs, and expresses the contingency of any single solution as a probability surface. Figure S8A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8. 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8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S7).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7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infer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2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3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2026-06-16T15:44:25Z</dcterms:created>
  <dcterms:modified xsi:type="dcterms:W3CDTF">2026-06-16T15:44:25Z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