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50.png" ContentType="image/png"/>
  <Override PartName="/word/media/rId111.png" ContentType="image/png"/>
  <Override PartName="/word/media/rId117.png" ContentType="image/png"/>
  <Override PartName="/word/media/rId143.png" ContentType="image/png"/>
  <Override PartName="/word/media/rId1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X8bf6248c9f3f97f4894a761f3e01800d2c2c84f"/>
    <w:p>
      <w:pPr>
        <w:pStyle w:val="Heading1"/>
      </w:pPr>
      <w:r>
        <w:t xml:space="preserve">Explaining the Spatial Structure of Phases: An Example from the Lower Mississippi River Valley</w:t>
      </w:r>
    </w:p>
    <w:p>
      <w:pPr>
        <w:pStyle w:val="FirstParagraph"/>
      </w:pPr>
      <w:r>
        <w:rPr>
          <w:b/>
          <w:bCs/>
        </w:rPr>
        <w:t xml:space="preserve">Carl P. Lipo, Beau J. DiNapoli, and Mark E. Madsen</w:t>
      </w:r>
    </w:p>
    <w:bookmarkStart w:id="109" w:name="abstract"/>
    <w:p>
      <w:pPr>
        <w:pStyle w:val="Heading2"/>
      </w:pPr>
      <w:r>
        <w:t xml:space="preserve">Abstract</w:t>
      </w:r>
    </w:p>
    <w:p>
      <w:pPr>
        <w:pStyle w:val="FirstParagraph"/>
      </w:pPr>
      <w:r>
        <w:t xml:space="preserve">Traditionally, archaeologists group assemblages into phases and assign them community or polity status. Earlier studies have shown that the phases of the Lower Mississippi River Valley do not separate cleanly, but they have not explained what produces their apparent organization. We explain phases using cultural transmission theory in which potters copy near neighbors more than distant ones. Neutral drift makes nearby assemblages alike whether or not groups exist. Settlement is clumped, and a smooth gradient sampled at clumps and sorted by resemblance and proximity looks like a set of groups. We present a method for determining whether a phase restricts copying of variability in decorated pottery. In such cases, the frequencies of artifact classes show what distance-limited copying does not produce: learning concentrated inside and divergence across its edge. We test our method on the decorated-type frequencies of the Late Mississippian St. Francis basin in northeastern Arkansas, including the Parkin phase, long read as a polity. The site map alone can reproduce the phases. Alternative spatial divisions of the same sites capture as much or more ceramic type differentiation, and sherd frequencies simulated with no groups sort into the phases as readily as the real assemblages. The Parkin phase differs from the rest of the basin no more than arbitrary divisions of the map. The frequencies of assemblage types vary over shorter distances than a copying model predicts, but that variation does not follow phase borders. Phases therefore do not uniquely capture the basin’s ceramic differentiation, and spatially structured copying plausibly accounts for their apparent organization. The results do not exclude a Parkin polity, however, since political boundaries need not coincide with ceramic traditions.</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109"/>
    <w:bookmarkStart w:id="110" w:name="resumen"/>
    <w:p>
      <w:pPr>
        <w:pStyle w:val="Heading2"/>
      </w:pPr>
      <w:r>
        <w:t xml:space="preserve">Resumen</w:t>
      </w:r>
    </w:p>
    <w:p>
      <w:pPr>
        <w:pStyle w:val="FirstParagraph"/>
      </w:pPr>
      <w:r>
        <w:t xml:space="preserve">Tradicionalmente, los arqueólogos agrupan los conjuntos cerámicos en fases y les atribuyen las cualidades de comunidades o entidades políticas. Estudios anteriores han mostrado que las fases del valle bajo del río Misisipi no se separan con nitidez, pero no han explicado qué produce su aparente organización. Explicamos las fases con la teoría de la transmisión cultural, según la cual los alfareros copian a sus vecinos cercanos más que a los lejanos. La deriva neutral hace que los conjuntos cercanos se parezcan, ya existan o no grupos. Los asentamientos están agrupados, y un gradiente continuo, muestreado en esos agrupamientos y ordenado por semejanza y proximidad, parece un conjunto de grupos. Presentamos un método para determinar si una fase constituye una restricción para la copia de la cerámica decorada. En tal caso, las frecuencias de las clases de artefactos muestran lo que la copia limitada por la distancia no produce: aprendizaje concentrado en su interior y divergencia a través de su límite. Lo ponemos a prueba con las frecuencias de los tipos decorados del Misisipiano tardío en la cuenca del río St. Francis, en el noreste de Arkansas, incluida la fase Parkin, interpretada durante mucho tiempo como una entidad política. El mapa de sitios, por sí solo, recupera las fases; otras divisiones espaciales de los mismos sitios captan tanta o más diferenciación cerámica, y las frecuencias simuladas sin grupos se clasifican en las fases con la misma facilidad que los conjuntos reales. La fase Parkin no difiere del resto de la cuenca más que por divisiones arbitrarias del mapa. Las frecuencias de los tipos varían a distancias más cortas de las predichas por un modelo de copia, pero esa variación no sigue los límites de las fases. Por lo tanto, las fases heredadas no captan de manera exclusiva la diferenciación cerámica de la cuenca, y la copia estructurada en el espacio constituye una explicación plausible de su aparente organización. Los resultados no excluyen la existencia de una entidad política en Parkin, ya que los límites políticos no tienen por qué coincidir con las tradiciones cerámicas.</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10"/>
    <w:bookmarkStart w:id="114" w:name="introduction"/>
    <w:p>
      <w:pPr>
        <w:pStyle w:val="Heading2"/>
      </w:pPr>
      <w:r>
        <w:t xml:space="preserve">Introduction</w:t>
      </w:r>
    </w:p>
    <w:p>
      <w:pPr>
        <w:pStyle w:val="FirstParagraph"/>
      </w:pPr>
      <w:r>
        <w:t xml:space="preserve">Archaeologists have traditionally divided the late pre-contact record of the Lower Mississippi River Valley into spatially and temporally bounded units known as phases (Figure 1). These include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The Parkin phase stands out because it contains the Parkin site, the largest moated and palisaded town in the St. Francis basin of northeastern Arkansas. Reconstructions of the Hernando de Soto expedition’s route identify it as Casqui, the seat of a paramount chief the expedition met in 1541</w:t>
      </w:r>
      <w:r>
        <w:t xml:space="preserve"> </w:t>
      </w:r>
      <w:r>
        <w:t xml:space="preserve">(Hudson et al. 1990; Mitchem et al. 2017; Phyllis A. Morse 1990:125–129)</w:t>
      </w:r>
      <w:r>
        <w:t xml:space="preserve">. Because of its size, fortification, platform mound, and ethnohistoric identification, Parkin is routinely interpreted as the center of a Mississippian polity, following the long-standing expectation that a ranked society leaves a hierarchy of settlement types and sizes with its center at the top</w:t>
      </w:r>
      <w:r>
        <w:t xml:space="preserve"> </w:t>
      </w:r>
      <w:r>
        <w:t xml:space="preserve">(Peebles and Kus 1977:431)</w:t>
      </w:r>
      <w:r>
        <w:t xml:space="preserve">. This interpretation claims that the Parkin phase was a bounded, hierarchically organized society with the Parkin site at its head.</w:t>
      </w:r>
    </w:p>
    <w:p>
      <w:pPr>
        <w:pStyle w:val="CaptionedFigure"/>
      </w:pPr>
      <w:r>
        <w:drawing>
          <wp:inline>
            <wp:extent cx="4114800" cy="8037789"/>
            <wp:effectExtent b="0" l="0" r="0" t="0"/>
            <wp:docPr descr="Figure 1. Decorated-ceramic assemblages of the lower Mississippi Valley and the culture-historical phase scheme this paper tests. Each territory is built by assigning every point on the map to its nearest assemblage and then merging those areas according to the phase Mainfort (1996) assigns to each assemblage; assemblages without a phase assignment are not drawn. Territories are drawn over the HydroRIVERS river network (Lehner and Grill 2013), with line width scaled by flow order. Markers show each assemblage that comprises it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 title="" id="112" name="Picture"/>
            <a:graphic>
              <a:graphicData uri="http://schemas.openxmlformats.org/drawingml/2006/picture">
                <pic:pic>
                  <pic:nvPicPr>
                    <pic:cNvPr descr="../../figures/fig1_phases.png" id="113" name="Picture"/>
                    <pic:cNvPicPr>
                      <a:picLocks noChangeArrowheads="1" noChangeAspect="1"/>
                    </pic:cNvPicPr>
                  </pic:nvPicPr>
                  <pic:blipFill>
                    <a:blip r:embed="rId111"/>
                    <a:stretch>
                      <a:fillRect/>
                    </a:stretch>
                  </pic:blipFill>
                  <pic:spPr bwMode="auto">
                    <a:xfrm>
                      <a:off x="0" y="0"/>
                      <a:ext cx="4114800" cy="8037789"/>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Each territory is built by assigning every point on the map to its nearest assemblage and then merging those areas according to the phase Mainfort</w:t>
      </w:r>
      <w:r>
        <w:t xml:space="preserve"> </w:t>
      </w:r>
      <w:r>
        <w:t xml:space="preserve">(1996)</w:t>
      </w:r>
      <w:r>
        <w:t xml:space="preserve"> </w:t>
      </w:r>
      <w:r>
        <w:t xml:space="preserve">assigns to each assemblage; assemblages without a phase assignment are not drawn. Territories are drawn over the HydroRIVERS river network</w:t>
      </w:r>
      <w:r>
        <w:t xml:space="preserve"> </w:t>
      </w:r>
      <w:r>
        <w:t xml:space="preserve">(Lehner and Grill 2013)</w:t>
      </w:r>
      <w:r>
        <w:t xml:space="preserve">, with line width scaled by flow order. Markers show each assemblage that comprises its phase, and Parkin is starred. The bounded territories illustrate the premise under test, that each hosted a distinct, internally interacting society. The mapped assemblages fall in Arkansas, Tennessee, and Mississippi; Missouri lies just north of the frame. Inset: location in North America.</w:t>
      </w:r>
    </w:p>
    <w:p>
      <w:pPr>
        <w:pStyle w:val="BodyText"/>
      </w:pPr>
      <w:r>
        <w:t xml:space="preserve">A phase is a culture-history construct in which a set of assemblages are grouped together because their decorated-class frequencies seriate. This property means they can be placed in one sequence of gradually changing frequencies, and because the sites lie near one another. In the Willey-Phillips framework, the phase is</w:t>
      </w:r>
      <w:r>
        <w:t xml:space="preserve"> </w:t>
      </w:r>
      <w:r>
        <w:t xml:space="preserve">“the practicable and intelligible unit”</w:t>
      </w:r>
      <w:r>
        <w:t xml:space="preserve"> </w:t>
      </w:r>
      <w:r>
        <w:t xml:space="preserve">of archaeological study, defined by traits in space and time with no social criterion</w:t>
      </w:r>
      <w:r>
        <w:t xml:space="preserve"> </w:t>
      </w:r>
      <w:r>
        <w:t xml:space="preserve">(Phillips and Willey 1953; Willey and Phillips 1958:22)</w:t>
      </w:r>
      <w:r>
        <w:t xml:space="preserve">. Phillips formulated the lower-valley phases tested here within that framework</w:t>
      </w:r>
      <w:r>
        <w:t xml:space="preserve"> </w:t>
      </w:r>
      <w:r>
        <w:t xml:space="preserve">(1970)</w:t>
      </w:r>
      <w:r>
        <w:t xml:space="preserve">. In practice, however, researchers have treated phases as societies, and the survey phases of the lower valley were built as units</w:t>
      </w:r>
      <w:r>
        <w:t xml:space="preserve"> </w:t>
      </w:r>
      <w:r>
        <w:t xml:space="preserve">“which were also spatial and intended to elucidate sociopolitical boundaries”</w:t>
      </w:r>
      <w:r>
        <w:t xml:space="preserve"> </w:t>
      </w:r>
      <w:r>
        <w:t xml:space="preserve">(Haley 2014)</w:t>
      </w:r>
      <w:r>
        <w:t xml:space="preserve">. Willey and Phillips</w:t>
      </w:r>
      <w:r>
        <w:t xml:space="preserve"> </w:t>
      </w:r>
      <w:r>
        <w:t xml:space="preserve">(1958:48–50)</w:t>
      </w:r>
      <w:r>
        <w:t xml:space="preserve"> </w:t>
      </w:r>
      <w:r>
        <w:t xml:space="preserve">set out the reasoning that equates phase with society, conceded that</w:t>
      </w:r>
      <w:r>
        <w:t xml:space="preserve"> </w:t>
      </w:r>
      <w:r>
        <w:t xml:space="preserve">“in practice it does not work,”</w:t>
      </w:r>
      <w:r>
        <w:t xml:space="preserve"> </w:t>
      </w:r>
      <w:r>
        <w:t xml:space="preserve">and then proposed that archaeologists</w:t>
      </w:r>
      <w:r>
        <w:t xml:space="preserve"> </w:t>
      </w:r>
      <w:r>
        <w:t xml:space="preserve">“may act as if”</w:t>
      </w:r>
      <w:r>
        <w:t xml:space="preserve"> </w:t>
      </w:r>
      <w:r>
        <w:t xml:space="preserve">phases had social reality. Williams, defining the southeast-Missouri phases, wrote that</w:t>
      </w:r>
      <w:r>
        <w:t xml:space="preserve"> </w:t>
      </w:r>
      <w:r>
        <w:t xml:space="preserve">“in most cases, phase probably equals</w:t>
      </w:r>
      <w:r>
        <w:t xml:space="preserve"> </w:t>
      </w:r>
      <w:r>
        <w:t xml:space="preserve">‘society’</w:t>
      </w:r>
      <w:r>
        <w:t xml:space="preserve">”</w:t>
      </w:r>
      <w:r>
        <w:t xml:space="preserve"> </w:t>
      </w:r>
      <w:r>
        <w:t xml:space="preserve">(Williams 1954:25; quoted in Fox 1998:33)</w:t>
      </w:r>
      <w:r>
        <w:t xml:space="preserve">. The premise underneath is rarely stated. It holds that assemblages more similar to one another than to their neighbors record a bounded group of people who interacted mainly with each other. Once such a group is paired with a dominant center, the phase becomes a polity, and the social unit has been assumed before any evidence for it has been weighed</w:t>
      </w:r>
      <w:r>
        <w:t xml:space="preserve"> </w:t>
      </w:r>
      <w:r>
        <w:t xml:space="preserve">(Fox 1998)</w:t>
      </w:r>
      <w:r>
        <w:t xml:space="preserve">.</w:t>
      </w:r>
    </w:p>
    <w:p>
      <w:pPr>
        <w:pStyle w:val="BodyText"/>
      </w:pPr>
      <w:r>
        <w:t xml:space="preserve">This point has been raised before. Fox</w:t>
      </w:r>
      <w:r>
        <w:t xml:space="preserve"> </w:t>
      </w:r>
      <w:r>
        <w:t xml:space="preserve">(1998)</w:t>
      </w:r>
      <w:r>
        <w:t xml:space="preserve">, for example, used cluster analysis and ordination to show that the southeast-Missouri phases fail as both groups and classes, with member assemblages falling into statistical clusters at random rather than by phase. Mainfort</w:t>
      </w:r>
      <w:r>
        <w:t xml:space="preserve"> </w:t>
      </w:r>
      <w:r>
        <w:t xml:space="preserve">(2003)</w:t>
      </w:r>
      <w:r>
        <w:t xml:space="preserve"> </w:t>
      </w:r>
      <w:r>
        <w:t xml:space="preserve">addressed the same issue for the assemblages of the Lower Mississippi Valley. He used an ordination approach to sort ten decorated types from 39 sites and found</w:t>
      </w:r>
      <w:r>
        <w:t xml:space="preserve"> </w:t>
      </w:r>
      <w:r>
        <w:t xml:space="preserve">“little evidence for the integrity of the traditional late period phases,”</w:t>
      </w:r>
      <w:r>
        <w:t xml:space="preserve"> </w:t>
      </w:r>
      <w:r>
        <w:t xml:space="preserve">with no clear grouping even though</w:t>
      </w:r>
      <w:r>
        <w:t xml:space="preserve"> </w:t>
      </w:r>
      <w:r>
        <w:t xml:space="preserve">“most sites assigned to most phases are located in the general vicinity of each other in ordination space”</w:t>
      </w:r>
      <w:r>
        <w:t xml:space="preserve"> </w:t>
      </w:r>
      <w:r>
        <w:t xml:space="preserve">(Mainfort 2003:180)</w:t>
      </w:r>
      <w:r>
        <w:t xml:space="preserve">. Lipo</w:t>
      </w:r>
      <w:r>
        <w:t xml:space="preserve"> </w:t>
      </w:r>
      <w:r>
        <w:t xml:space="preserve">(2001)</w:t>
      </w:r>
      <w:r>
        <w:t xml:space="preserve"> </w:t>
      </w:r>
      <w:r>
        <w:t xml:space="preserve">reached a similar view through frequency seriation, suggesting that</w:t>
      </w:r>
      <w:r>
        <w:t xml:space="preserve"> </w:t>
      </w:r>
      <w:r>
        <w:t xml:space="preserve">“the phases themselves might be simply arbitrary spatial and temporal slices of a single interacting population that is much larger in size”</w:t>
      </w:r>
      <w:r>
        <w:t xml:space="preserve"> </w:t>
      </w:r>
      <w:r>
        <w:t xml:space="preserve">(Lipo 2001:60)</w:t>
      </w:r>
      <w:r>
        <w:t xml:space="preserve">. These studies show that the phases do not separate cleanly. None of these investigations, however, explains what the phases are, or why they looked real to the people who drew them. Ordination methods alone cannot explain these units because loosely clustered assemblages can arise from both bounded groups and unbounded copying across distance.</w:t>
      </w:r>
    </w:p>
    <w:p>
      <w:pPr>
        <w:pStyle w:val="BodyText"/>
      </w:pPr>
      <w:r>
        <w:t xml:space="preserve">This paper offers and tests an explanation. We ask two questions. First, what explains the phases? We argue that they can follow from how people learn. Potters copy near neighbors more than distant ones, settlements clump, and a smooth gradient in style sampled at those clumps looks like groups. Second, does the Parkin phase, the one unit most often treated as a polity, show anything in its decorated-type frequencies that sets it apart? Both questions can be investigated using the same test. Copying across space produces spatial structure in stylistic frequencies regardless of whatever else is happening. A phase, then, should be identifiable as a restriction on the copying of decorated pottery if its class frequencies show properties that spatially structured drift does not produce. This test is more restrictive than asking whether a society or polity existed. Political affiliation, of course, need not coincide with a ceramic tradition, but ceramics offer empirical evidence in the archaeological record about how social learning was structured. However, pottery can show only whether learning was bounded where the phase lines fall, not whether people were politically organized.</w:t>
      </w:r>
    </w:p>
    <w:p>
      <w:pPr>
        <w:pStyle w:val="BodyText"/>
      </w:pPr>
      <w:r>
        <w:t xml:space="preserve">We proceed in two steps. Our primary test concerns the phases as Phillips</w:t>
      </w:r>
      <w:r>
        <w:t xml:space="preserve"> </w:t>
      </w:r>
      <w:r>
        <w:t xml:space="preserve">(1970)</w:t>
      </w:r>
      <w:r>
        <w:t xml:space="preserve"> </w:t>
      </w:r>
      <w:r>
        <w:t xml:space="preserve">formulated in the Lower Mississippi River Valley using assemblage similarity and spatial positions. We then turn to the phases that Mainfort</w:t>
      </w:r>
      <w:r>
        <w:t xml:space="preserve"> </w:t>
      </w:r>
      <w:r>
        <w:t xml:space="preserve">(2003)</w:t>
      </w:r>
      <w:r>
        <w:t xml:space="preserve"> </w:t>
      </w:r>
      <w:r>
        <w:t xml:space="preserve">redrew after ordinating the decorated types of largely the same collections. We use this second analysis to show what the same tests return when phase lines are formulated following the assemblage composition rather than the map.</w:t>
      </w:r>
    </w:p>
    <w:p>
      <w:pPr>
        <w:pStyle w:val="BodyText"/>
      </w:pPr>
      <w:r>
        <w:t xml:space="preserve">The late pre-contact St. Francis basin provides the data for our test. Its decorated assemblages are built from the well-documented decorated classes of the long-established Phillips-Ford-Griffin types</w:t>
      </w:r>
      <w:r>
        <w:t xml:space="preserve"> </w:t>
      </w:r>
      <w:r>
        <w:t xml:space="preserve">(Phillips et al. 1951)</w:t>
      </w:r>
      <w:r>
        <w:t xml:space="preserve">. European contact and the demographic collapse that followed ended the sequence before any later reorganization could overwrite it</w:t>
      </w:r>
      <w:r>
        <w:t xml:space="preserve"> </w:t>
      </w:r>
      <w:r>
        <w:t xml:space="preserve">(Lipo 2001; Morse and Morse 1996)</w:t>
      </w:r>
      <w:r>
        <w:t xml:space="preserve">. Like much of the archaeological record, these assemblages are time-averaged surface collections, built up over many years of use and discard. We treat them as the accumulated product of copying across a population, to be measured and explained as they are, rather than as degraded snapshots of a single moment</w:t>
      </w:r>
      <w:r>
        <w:t xml:space="preserve"> </w:t>
      </w:r>
      <w:r>
        <w:t xml:space="preserve">(Dunnell 1995; Holdaway and Wandsnider 2008; Lipo et al. 2015; Neiman 1995; Perreault 2019; Schiffer 1972)</w:t>
      </w:r>
      <w:r>
        <w:t xml:space="preserve">. Their coarse resolution limits the questions they can answer, but it does not disqualify them.</w:t>
      </w:r>
    </w:p>
    <w:bookmarkEnd w:id="114"/>
    <w:bookmarkStart w:id="115" w:name="why-phases-look-like-groups"/>
    <w:p>
      <w:pPr>
        <w:pStyle w:val="Heading2"/>
      </w:pPr>
      <w:r>
        <w:t xml:space="preserve">Why phases look like groups</w:t>
      </w:r>
    </w:p>
    <w:p>
      <w:pPr>
        <w:pStyle w:val="FirstParagraph"/>
      </w:pPr>
      <w:r>
        <w:t xml:space="preserve">Our method is built on cultural transmission theory, and it is simple. Potters learned how to decorate pots from others, and the decorations they made reflect who they learned from. Under the neutral model of cultural transmission, decorative variants that make no difference to how a pot performs change in frequency through innovation and chance copying in a finite population of learners, much as selectively neutral alleles do</w:t>
      </w:r>
      <w:r>
        <w:t xml:space="preserve"> </w:t>
      </w:r>
      <w:r>
        <w:t xml:space="preserve">(Bentley et al. 2004; Dunnell 1978; Eerkens and Lipo 2005, 2007; Fogarty et al. 2024; Neiman 1995)</w:t>
      </w:r>
      <w:r>
        <w:t xml:space="preserve">. Four expectations follow, three about what copying does on its own and one about what a group would add.</w:t>
      </w:r>
    </w:p>
    <w:p>
      <w:pPr>
        <w:pStyle w:val="BodyText"/>
      </w:pPr>
      <w:r>
        <w:rPr>
          <w:i/>
          <w:iCs/>
        </w:rPr>
        <w:t xml:space="preserve">Copying falls off with distance.</w:t>
      </w:r>
      <w:r>
        <w:t xml:space="preserve"> </w:t>
      </w:r>
      <w:r>
        <w:t xml:space="preserve">People learn from those they live near and see often, so a potter is more likely to copy a neighbor than someone further away. Under neutral drift, that alone makes nearby assemblages more alike than distant ones, and similarity fades smoothly with distance. Population geneticists call this isolation by distance</w:t>
      </w:r>
      <w:r>
        <w:t xml:space="preserve"> </w:t>
      </w:r>
      <w:r>
        <w:t xml:space="preserve">(Wright 1943)</w:t>
      </w:r>
      <w:r>
        <w:t xml:space="preserve">, and it has long been noted to drive stylistic frequencies</w:t>
      </w:r>
      <w:r>
        <w:t xml:space="preserve"> </w:t>
      </w:r>
      <w:r>
        <w:t xml:space="preserve">(Neiman 1995; Shennan et al. 2015)</w:t>
      </w:r>
      <w:r>
        <w:t xml:space="preserve">. It requires no groups. This effect is what copying produces across any landscape with local interaction. It produces between-place differences on its own, because small or poorly connected places drift toward distinctive and idiosyncratic repertoires</w:t>
      </w:r>
      <w:r>
        <w:t xml:space="preserve"> </w:t>
      </w:r>
      <w:r>
        <w:t xml:space="preserve">(Lipo et al. 2021)</w:t>
      </w:r>
      <w:r>
        <w:t xml:space="preserve">.</w:t>
      </w:r>
    </w:p>
    <w:p>
      <w:pPr>
        <w:pStyle w:val="BodyText"/>
      </w:pPr>
      <w:r>
        <w:rPr>
          <w:i/>
          <w:iCs/>
        </w:rPr>
        <w:t xml:space="preserve">Settlement is clumped.</w:t>
      </w:r>
      <w:r>
        <w:t xml:space="preserve"> </w:t>
      </w:r>
      <w:r>
        <w:t xml:space="preserve">People did not live evenly across the basin. Sites concentrate on particular reaches of the basin’s rivers, with less-occupied stretches of land between them. The smooth gradient in style is therefore sampled unevenly, densely in some places and sparsely or not at all in others.</w:t>
      </w:r>
    </w:p>
    <w:p>
      <w:pPr>
        <w:pStyle w:val="BodyText"/>
      </w:pPr>
      <w:r>
        <w:rPr>
          <w:i/>
          <w:iCs/>
        </w:rPr>
        <w:t xml:space="preserve">A gradient sampled at clumps looks like groups.</w:t>
      </w:r>
      <w:r>
        <w:t xml:space="preserve"> </w:t>
      </w:r>
      <w:r>
        <w:t xml:space="preserve">Seriation and ordination sort assemblages by resemblance, and the culture historians who drew the phases also sorted them by proximity. On a smooth gradient sampled at clumps, both criteria gather the assemblages of each clump together and draw the lines between clumps. The result looks like a set of distinct groups with boundaries, although nothing in the process that made the type frequencies has a boundary</w:t>
      </w:r>
      <w:r>
        <w:t xml:space="preserve"> </w:t>
      </w:r>
      <w:r>
        <w:t xml:space="preserve">(Lipo et al. 1997, 2021)</w:t>
      </w:r>
      <w:r>
        <w:t xml:space="preserve">. This is the difference between typological and population thinking</w:t>
      </w:r>
      <w:r>
        <w:t xml:space="preserve"> </w:t>
      </w:r>
      <w:r>
        <w:t xml:space="preserve">(Dunnell 1980; Mayr 1959)</w:t>
      </w:r>
      <w:r>
        <w:t xml:space="preserve">. Interpreted typologically, a cluster of similar assemblages is a unit with members and an edge. Interpreted as a population, it is a place where a continuous field of copying happened to be sampled.</w:t>
      </w:r>
    </w:p>
    <w:p>
      <w:pPr>
        <w:pStyle w:val="BodyText"/>
      </w:pPr>
      <w:r>
        <w:rPr>
          <w:i/>
          <w:iCs/>
        </w:rPr>
        <w:t xml:space="preserve">A bounded interaction group requires more.</w:t>
      </w:r>
      <w:r>
        <w:t xml:space="preserve"> </w:t>
      </w:r>
      <w:r>
        <w:t xml:space="preserve">A group that concentrates learning inside itself and restricts it across its edge leaves properties in stylistic frequencies that spatially structured drift does not produce. These are conceptually detectable as differences between groups larger than what copying across the same map generates. This difference will appear as a step in similarity at the group’s edge, beyond what distance predicts. Boundaries also appear where assemblage styles change fastest, so type frequencies rather than the map reveal them</w:t>
      </w:r>
      <w:r>
        <w:t xml:space="preserve"> </w:t>
      </w:r>
      <w:r>
        <w:t xml:space="preserve">(Crema et al. 2016; Henrich 2001; Henrich and Boyd 1998)</w:t>
      </w:r>
      <w:r>
        <w:t xml:space="preserve">. Divergence that grows as interaction narrows would be a further sign, but the lack of a detailed chronological record for these deposits makes the record not well-suited for testing this possibility (Supplemental Text). Each of these possibilities has to be evaluated against a model of copying with no groups on the real geography, not against zero, and against other lines drawn across the same map, because any line cut through a gradient separates some difference.</w:t>
      </w:r>
    </w:p>
    <w:p>
      <w:pPr>
        <w:pStyle w:val="BodyText"/>
      </w:pPr>
      <w:r>
        <w:t xml:space="preserve">These expectations provide functional means to evaluate the Parkin phase. If the Parkin phase was a polity whose members learned from, married into, and exchanged with one another more than with outsiders, its assemblage composition should stand apart from the rest of the basin by more than copying across distance produces. Assemblages should be more distinctive than what an arbitrary line drawn across the same sites separates. Empirically, there should be a step in similarity at its edge that other delineations do not show. Alternative models of late pre-contact valley populations do not require these attributes. The alternative finding is that the polities in this part of the valley never achieved regional integration</w:t>
      </w:r>
      <w:r>
        <w:t xml:space="preserve"> </w:t>
      </w:r>
      <w:r>
        <w:t xml:space="preserve">(Rees 2001)</w:t>
      </w:r>
      <w:r>
        <w:t xml:space="preserve">, consistent with models in which Mississippian polities were weakly consolidated, cycling, and short-lived</w:t>
      </w:r>
      <w:r>
        <w:t xml:space="preserve"> </w:t>
      </w:r>
      <w:r>
        <w:t xml:space="preserve">(Anderson 1996; Beck 2003; Blitz 1999; King and Freer 1995)</w:t>
      </w:r>
      <w:r>
        <w:t xml:space="preserve">. In the chronicles, Casqui and its neighbor Pacaha appear in open conflict, as peers would, although the same sources have also been read as ranking Casqui below Pacaha</w:t>
      </w:r>
      <w:r>
        <w:t xml:space="preserve"> </w:t>
      </w:r>
      <w:r>
        <w:t xml:space="preserve">(Hudson et al. 1990; Mitchem 2001; Phyllis A. Morse 1990)</w:t>
      </w:r>
      <w:r>
        <w:t xml:space="preserve">. Settlement form cannot decide between these interpretations, because a large center with a palisade and a platform mound is as compatible with competing peer communities as with a consolidated hierarchy</w:t>
      </w:r>
      <w:r>
        <w:t xml:space="preserve"> </w:t>
      </w:r>
      <w:r>
        <w:t xml:space="preserve">(King and Freer 1995; Rees 2001)</w:t>
      </w:r>
      <w:r>
        <w:t xml:space="preserve">.</w:t>
      </w:r>
    </w:p>
    <w:bookmarkEnd w:id="115"/>
    <w:bookmarkStart w:id="125" w:name="materials-and-methods"/>
    <w:p>
      <w:pPr>
        <w:pStyle w:val="Heading2"/>
      </w:pPr>
      <w:r>
        <w:t xml:space="preserve">Materials and methods</w:t>
      </w:r>
    </w:p>
    <w:bookmarkStart w:id="116" w:name="data"/>
    <w:p>
      <w:pPr>
        <w:pStyle w:val="Heading3"/>
      </w:pPr>
      <w:r>
        <w:t xml:space="preserve">Data</w:t>
      </w:r>
    </w:p>
    <w:p>
      <w:pPr>
        <w:pStyle w:val="FirstParagraph"/>
      </w:pPr>
      <w:r>
        <w:t xml:space="preserve">In this study, we test the phase assignments defined by Phillips</w:t>
      </w:r>
      <w:r>
        <w:t xml:space="preserve"> </w:t>
      </w:r>
      <w:r>
        <w:t xml:space="preserve">(1970)</w:t>
      </w:r>
      <w:r>
        <w:t xml:space="preserve">. The ceramic data are decorated-class counts from the Lower Mississippi Valley Survey collections of Phillips, Ford, and Griffin</w:t>
      </w:r>
      <w:r>
        <w:t xml:space="preserve"> </w:t>
      </w:r>
      <w:r>
        <w:t xml:space="preserve">(1951)</w:t>
      </w:r>
      <w:r>
        <w:t xml:space="preserve">, as compiled by Lipo</w:t>
      </w:r>
      <w:r>
        <w:t xml:space="preserve"> </w:t>
      </w:r>
      <w:r>
        <w:t xml:space="preserve">(2001)</w:t>
      </w:r>
      <w:r>
        <w:t xml:space="preserve">. We use decorated classes only because the neutral model applies to stylistic variation, variants whose frequencies change through copying and chance rather than through how a pot performs</w:t>
      </w:r>
      <w:r>
        <w:t xml:space="preserve"> </w:t>
      </w:r>
      <w:r>
        <w:t xml:space="preserve">(Dunnell 1978; Neiman 1995)</w:t>
      </w:r>
      <w:r>
        <w:t xml:space="preserve">. Plain wares track vessel function, paste, and site activities, none of which a copying model represents. Combining the frequency of plain and decorated classes also mixes factors driving relative investment in decorating ceramics, a process driven by factors beyond social learning and copying. Mississippi Plain and Bell Plain make up ca. 87 percent of the typed sherds. Ten decorated classes remain. Following Lipo</w:t>
      </w:r>
      <w:r>
        <w:t xml:space="preserve"> </w:t>
      </w:r>
      <w:r>
        <w:t xml:space="preserve">(2001)</w:t>
      </w:r>
      <w:r>
        <w:t xml:space="preserve">, to increase sample sizes and to ensure consistent identification, we pool sherds from Barton Incised, Kent Incised, and Mound Place Incised. We also pool the painted types Old Town Red, Nodena Red and White, and Avenue Polychrome. Each class is a culture-history type, a unit of measurement built by analysts, not a category assumed to have existed in the past.</w:t>
      </w:r>
    </w:p>
    <w:p>
      <w:pPr>
        <w:pStyle w:val="BodyText"/>
      </w:pPr>
      <w:r>
        <w:t xml:space="preserve">Of the 38 assemblages used in this study, 20 come from Lipo’s compilation, which adds controlled surface collections and limited excavation in 1996 and 1997 at seven sites</w:t>
      </w:r>
      <w:r>
        <w:t xml:space="preserve"> </w:t>
      </w:r>
      <w:r>
        <w:t xml:space="preserve">(Lipo 2001)</w:t>
      </w:r>
      <w:r>
        <w:t xml:space="preserve">, and 18 consist of the original survey counts from Phillips, Ford, and Griffin</w:t>
      </w:r>
      <w:r>
        <w:t xml:space="preserve"> </w:t>
      </w:r>
      <w:r>
        <w:t xml:space="preserve">(1951)</w:t>
      </w:r>
      <w:r>
        <w:t xml:space="preserve">. Mainfort</w:t>
      </w:r>
      <w:r>
        <w:t xml:space="preserve"> </w:t>
      </w:r>
      <w:r>
        <w:t xml:space="preserve">(2003)</w:t>
      </w:r>
      <w:r>
        <w:t xml:space="preserve"> </w:t>
      </w:r>
      <w:r>
        <w:t xml:space="preserve">compiled a separate table of 39 sites, each with at least 800 sherds, drawn largely from the same survey files with additional sources</w:t>
      </w:r>
      <w:r>
        <w:t xml:space="preserve"> </w:t>
      </w:r>
      <w:r>
        <w:t xml:space="preserve">(Mainfort 2003:182)</w:t>
      </w:r>
      <w:r>
        <w:t xml:space="preserve">. Because his counts are not entirely independent of ours, we do not combine them. Nor do we make his table the primary dataset. His phases were drawn from an ordination of these types, as noted above, and his table is not a larger sample once it is restricted to decorated classes: at a minimum of 100 decorated sherds, it holds 29 sites and 13,296 sherds in five phases, two of which have only four and three sites, against the 28 assemblages and 14,101 sherds analyzed here. We therefore analyze his table and his phases separately, as a contrast case.</w:t>
      </w:r>
    </w:p>
    <w:p>
      <w:pPr>
        <w:pStyle w:val="BodyText"/>
      </w:pPr>
      <w:r>
        <w:t xml:space="preserve">An assemblage enters our analysis based on the phase Mainfort</w:t>
      </w:r>
      <w:r>
        <w:t xml:space="preserve"> </w:t>
      </w:r>
      <w:r>
        <w:t xml:space="preserve">(1996:Figure 1)</w:t>
      </w:r>
      <w:r>
        <w:t xml:space="preserve"> </w:t>
      </w:r>
      <w:r>
        <w:t xml:space="preserve">assigns it to, or when it falls within the territory his assignments define. We exclude the Parchman phase on geography because its three assemblages lie across the Mississippi in Coahoma County, 30 to 46 km from the nearest other assemblage. We include only assemblages with at least 75 decorated sherds, the smallest count tested at which the</w:t>
      </w:r>
      <w:r>
        <w:t xml:space="preserve"> </w:t>
      </w:r>
      <m:oMath>
        <m:sSub>
          <m:e>
            <m:r>
              <m:t>F</m:t>
            </m:r>
          </m:e>
          <m:sub>
            <m:r>
              <m:t>S</m:t>
            </m:r>
            <m:r>
              <m:t>T</m:t>
            </m:r>
          </m:sub>
        </m:sSub>
      </m:oMath>
      <w:r>
        <w:t xml:space="preserve"> </w:t>
      </w:r>
      <w:r>
        <w:t xml:space="preserve">that sampling alone produces between two assemblages drawn from one profile falls, at its 95th percentile, below the observed five-cluster value (Supplemental Text). These rules leave 28 assemblages holding 14,101 decorated sherds (median 251 per assemblage, range 79 to 1,709) in three phases: Parkin with 11 assemblages, Kent with 8, and Walls with 9. Twenty-five carry Mainfort’s assignment and three the territory’s. We georeferenced each assemblage from the Lower Mississippi Survey site files. We obtained settlement attributes from a regional database</w:t>
      </w:r>
      <w:r>
        <w:t xml:space="preserve"> </w:t>
      </w:r>
      <w:r>
        <w:t xml:space="preserve">(Lipo and Dunnell 2007)</w:t>
      </w:r>
      <w:r>
        <w:t xml:space="preserve">.</w:t>
      </w:r>
    </w:p>
    <w:p>
      <w:pPr>
        <w:pStyle w:val="BodyText"/>
      </w:pPr>
      <w:r>
        <w:t xml:space="preserve">Two properties of our data limit what any transmission analysis can claim. The assemblages are time-averaged, so sherds made at different times are counted together, which distorts diversity and neutrality measures in proportion to how long variants remain in use</w:t>
      </w:r>
      <w:r>
        <w:t xml:space="preserve"> </w:t>
      </w:r>
      <w:r>
        <w:t xml:space="preserve">(Madsen 2012; Miller-Atkins and Premo 2018)</w:t>
      </w:r>
      <w:r>
        <w:t xml:space="preserve">. The neutral model also describes people copying one another, whereas an assemblage counts durable objects, so the model’s expectations apply only approximately to this record</w:t>
      </w:r>
      <w:r>
        <w:t xml:space="preserve"> </w:t>
      </w:r>
      <w:r>
        <w:t xml:space="preserve">(Crema et al. 2024)</w:t>
      </w:r>
      <w:r>
        <w:t xml:space="preserve">.</w:t>
      </w:r>
    </w:p>
    <w:bookmarkEnd w:id="116"/>
    <w:bookmarkStart w:id="120" w:name="chronology"/>
    <w:p>
      <w:pPr>
        <w:pStyle w:val="Heading3"/>
      </w:pPr>
      <w:r>
        <w:t xml:space="preserve">Chronology</w:t>
      </w:r>
    </w:p>
    <w:p>
      <w:pPr>
        <w:pStyle w:val="FirstParagraph"/>
      </w:pPr>
      <w:r>
        <w:t xml:space="preserve">Radiocarbon determinations compiled by Mainfort</w:t>
      </w:r>
      <w:r>
        <w:t xml:space="preserve"> </w:t>
      </w:r>
      <w:r>
        <w:t xml:space="preserve">(2001)</w:t>
      </w:r>
      <w:r>
        <w:t xml:space="preserve">, calibrated against IntCal20</w:t>
      </w:r>
      <w:r>
        <w:t xml:space="preserve"> </w:t>
      </w:r>
      <w:r>
        <w:t xml:space="preserve">(</w:t>
      </w:r>
      <w:r>
        <w:t xml:space="preserve">Reimer et al.</w:t>
      </w:r>
      <w:r>
        <w:t xml:space="preserve"> </w:t>
      </w:r>
      <w:r>
        <w:t xml:space="preserve">2020)</w:t>
      </w:r>
      <w:r>
        <w:t xml:space="preserve">, place the basin occupation in the fourteenth to sixteenth centuries (summed-probability median AD 1428; Parkin, AD 1483), with a decline across the contact interval (Supplemental Text). A calibration plateau across that interval prevents year-scale resolution</w:t>
      </w:r>
      <w:r>
        <w:t xml:space="preserve"> </w:t>
      </w:r>
      <w:r>
        <w:t xml:space="preserve">(Holland-Lulewicz and Ritchison 2021)</w:t>
      </w:r>
      <w:r>
        <w:t xml:space="preserve">, and only four dated proveniences match our assemblages. We therefore order the assemblages by the first axis of a correspondence analysis of their decorated-class frequencies (Figure 2)</w:t>
      </w:r>
      <w:r>
        <w:t xml:space="preserve"> </w:t>
      </w:r>
      <w:r>
        <w:t xml:space="preserve">(Baxter 1994; Peeples and Schachner 2012; Smith and Neiman 2007)</w:t>
      </w:r>
      <w:r>
        <w:t xml:space="preserve">. That axis follows geography more closely than time. Its rank correlation with latitude is +0.77, and latitude and longitude together account for 62 percent of its variance. Kent Place and Hollywood, the two earliest dated deposits, lie at the same end as Clay Hill, the latest</w:t>
      </w:r>
      <w:r>
        <w:t xml:space="preserve"> </w:t>
      </w:r>
      <w:r>
        <w:t xml:space="preserve">(Haley 2014; House 1993:23)</w:t>
      </w:r>
      <w:r>
        <w:t xml:space="preserve"> </w:t>
      </w:r>
      <w:r>
        <w:t xml:space="preserve">(Supplemental Text). Fortunately for our analysis, an order along the axis is an order in space at least as much as in time, and none of our phase-line tests depends on it.</w:t>
      </w:r>
    </w:p>
    <w:p>
      <w:pPr>
        <w:pStyle w:val="CaptionedFigure"/>
      </w:pPr>
      <w:r>
        <w:drawing>
          <wp:inline>
            <wp:extent cx="5334000" cy="3639186"/>
            <wp:effectExtent b="0" l="0" r="0" t="0"/>
            <wp:docPr descr="Figure 2. Correspondence-analysis seriation of the 28 decorated assemblages, plotted on the first two dimensions and colored by rank on the first (oriented, as in every analysis, in the direction the pooled calibrated medians of the four radiocarbon-dated assemblages weakly favor; they do not establish it). Parkin is the starred marker. The assemblages form a continuum rather than discrete clusters, echoing Mainfort’s (2003) independent ordination." title="" id="118" name="Picture"/>
            <a:graphic>
              <a:graphicData uri="http://schemas.openxmlformats.org/drawingml/2006/picture">
                <pic:pic>
                  <pic:nvPicPr>
                    <pic:cNvPr descr="../../figures/fig4_ca_ordination.png" id="119" name="Picture"/>
                    <pic:cNvPicPr>
                      <a:picLocks noChangeArrowheads="1" noChangeAspect="1"/>
                    </pic:cNvPicPr>
                  </pic:nvPicPr>
                  <pic:blipFill>
                    <a:blip r:embed="rId117"/>
                    <a:stretch>
                      <a:fillRect/>
                    </a:stretch>
                  </pic:blipFill>
                  <pic:spPr bwMode="auto">
                    <a:xfrm>
                      <a:off x="0" y="0"/>
                      <a:ext cx="5334000" cy="3639186"/>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Correspondence-analysis seriation of the 28 decorated assemblages, plotted on the first two dimensions and colored by rank on the first (oriented, as in every analysis, in the direction the pooled calibrated medians of the four radiocarbon-dated assemblages weakly favor; they do not establish it). Parkin is the starred marker. The assemblages form a continuum rather than discrete clusters, echoing Mainfort’s (2003) independent ordination.</w:t>
      </w:r>
    </w:p>
    <w:bookmarkEnd w:id="120"/>
    <w:bookmarkStart w:id="121" w:name="measures"/>
    <w:p>
      <w:pPr>
        <w:pStyle w:val="Heading3"/>
      </w:pPr>
      <w:r>
        <w:t xml:space="preserve">Measures</w:t>
      </w:r>
    </w:p>
    <w:p>
      <w:pPr>
        <w:pStyle w:val="FirstParagraph"/>
      </w:pPr>
      <w:r>
        <w:t xml:space="preserve">Two measures underpin our tests. The first is a cultural version of Wright’s</w:t>
      </w:r>
      <w:r>
        <w:t xml:space="preserve"> </w:t>
      </w:r>
      <m:oMath>
        <m:sSub>
          <m:e>
            <m:r>
              <m:t>F</m:t>
            </m:r>
          </m:e>
          <m:sub>
            <m:r>
              <m:t>S</m:t>
            </m:r>
            <m:r>
              <m:t>T</m:t>
            </m:r>
          </m:sub>
        </m:sSub>
      </m:oMath>
      <w:r>
        <w:t xml:space="preserve"> </w:t>
      </w:r>
      <w:r>
        <w:t xml:space="preserve">(Bell et al. 2009; Wright 1951)</w:t>
      </w:r>
      <w:r>
        <w:t xml:space="preserve">, which indicates how much variation in decoration lies between groups rather than within them. We measure decorated diversity with the Gini-Simpson index, the probability that two sherds drawn at random belong to different classes, and cultural</w:t>
      </w:r>
      <w:r>
        <w:t xml:space="preserve"> </w:t>
      </w:r>
      <m:oMath>
        <m:sSub>
          <m:e>
            <m:r>
              <m:t>F</m:t>
            </m:r>
          </m:e>
          <m:sub>
            <m:r>
              <m:t>S</m:t>
            </m:r>
            <m:r>
              <m:t>T</m:t>
            </m:r>
          </m:sub>
        </m:sSub>
      </m:oMath>
      <w:r>
        <w:t xml:space="preserve"> </w:t>
      </w:r>
      <w:r>
        <w:t xml:space="preserve">is how much more diverse the pooled assemblages are than the average group, as a fraction of the pooled diversity, weighted by assemblage size. This is Nei’s</w:t>
      </w:r>
      <w:r>
        <w:t xml:space="preserve"> </w:t>
      </w:r>
      <w:r>
        <w:t xml:space="preserve">(1973)</w:t>
      </w:r>
      <w:r>
        <w:t xml:space="preserve"> </w:t>
      </w:r>
      <w:r>
        <w:t xml:space="preserve">diversity form of the index. When all groups draw on one shared pool, it sits near zero. As groups favor distinct repertoires, it climbs. The second measure is the boundary excess. Similarity between assemblages, measured with the Brainerd-Robinson coefficient</w:t>
      </w:r>
      <w:r>
        <w:t xml:space="preserve"> </w:t>
      </w:r>
      <w:r>
        <w:t xml:space="preserve">(Brainerd 1951; Robinson 1951)</w:t>
      </w:r>
      <w:r>
        <w:t xml:space="preserve">, normally fades smoothly with distance. The boundary excess is how much more similarity is lost across a line than distance predicts, a step in similarity at the line.</w:t>
      </w:r>
    </w:p>
    <w:p>
      <w:pPr>
        <w:pStyle w:val="BodyText"/>
      </w:pPr>
      <w:r>
        <w:t xml:space="preserve">Before looking at the phases, we established that cultural</w:t>
      </w:r>
      <w:r>
        <w:t xml:space="preserve"> </w:t>
      </w:r>
      <m:oMath>
        <m:sSub>
          <m:e>
            <m:r>
              <m:t>F</m:t>
            </m:r>
          </m:e>
          <m:sub>
            <m:r>
              <m:t>S</m:t>
            </m:r>
            <m:r>
              <m:t>T</m:t>
            </m:r>
          </m:sub>
        </m:sSub>
      </m:oMath>
      <w:r>
        <w:t xml:space="preserve"> </w:t>
      </w:r>
      <w:r>
        <w:t xml:space="preserve">can detect a boundary on a record like this one. On synthetic assemblages built to match the real record, at its real sample sizes, positions, and time-averaging, with groups of known strength imposed, cultural</w:t>
      </w:r>
      <w:r>
        <w:t xml:space="preserve"> </w:t>
      </w:r>
      <m:oMath>
        <m:sSub>
          <m:e>
            <m:r>
              <m:t>F</m:t>
            </m:r>
          </m:e>
          <m:sub>
            <m:r>
              <m:t>S</m:t>
            </m:r>
            <m:r>
              <m:t>T</m:t>
            </m:r>
          </m:sub>
        </m:sSub>
      </m:oMath>
      <w:r>
        <w:t xml:space="preserve"> </w:t>
      </w:r>
      <w:r>
        <w:t xml:space="preserve">tracked the imposed groups steadily. We found that three other measures often used for the purpose, the departure from unbiased copying</w:t>
      </w:r>
      <w:r>
        <w:t xml:space="preserve"> </w:t>
      </w:r>
      <w:r>
        <w:t xml:space="preserve">(Neiman 1995; Shennan and Wilkinson 2001)</w:t>
      </w:r>
      <w:r>
        <w:t xml:space="preserve">, the breakdown of a single seriation into several</w:t>
      </w:r>
      <w:r>
        <w:t xml:space="preserve"> </w:t>
      </w:r>
      <w:r>
        <w:t xml:space="preserve">(Lipo et al. 2015)</w:t>
      </w:r>
      <w:r>
        <w:t xml:space="preserve">, and the boundary excess, do not sufficiently detect boundaries under real-world conditions (Supplemental Text, Figures S1 to S3). We therefore draw inferences about groups from cultural</w:t>
      </w:r>
      <w:r>
        <w:t xml:space="preserve"> </w:t>
      </w:r>
      <m:oMath>
        <m:sSub>
          <m:e>
            <m:r>
              <m:t>F</m:t>
            </m:r>
          </m:e>
          <m:sub>
            <m:r>
              <m:t>S</m:t>
            </m:r>
            <m:r>
              <m:t>T</m:t>
            </m:r>
          </m:sub>
        </m:sSub>
      </m:oMath>
      <w:r>
        <w:t xml:space="preserve">, and use the step in similarity to describe what the copying model misses and to ask whether the phase lines show more of it than other lines do.</w:t>
      </w:r>
    </w:p>
    <w:p>
      <w:pPr>
        <w:pStyle w:val="BodyText"/>
      </w:pPr>
      <w:r>
        <w:t xml:space="preserve">Spatial divisions of the basin other than the phases are formed by</w:t>
      </w:r>
      <w:r>
        <w:t xml:space="preserve"> </w:t>
      </w:r>
      <w:r>
        <w:rPr>
          <w:i/>
          <w:iCs/>
        </w:rPr>
        <w:t xml:space="preserve">k</w:t>
      </w:r>
      <w:r>
        <w:t xml:space="preserve">-means on the assemblage coordinates. The site layout is best described by two clusters, as the silhouette score indicates, which rewards compact, well-separated clusters. Because cultural</w:t>
      </w:r>
      <w:r>
        <w:t xml:space="preserve"> </w:t>
      </w:r>
      <m:oMath>
        <m:sSub>
          <m:e>
            <m:r>
              <m:t>F</m:t>
            </m:r>
          </m:e>
          <m:sub>
            <m:r>
              <m:t>S</m:t>
            </m:r>
            <m:r>
              <m:t>T</m:t>
            </m:r>
          </m:sub>
        </m:sSub>
      </m:oMath>
      <w:r>
        <w:t xml:space="preserve"> </w:t>
      </w:r>
      <w:r>
        <w:t xml:space="preserve">depends on how many pieces the basin is cut into, we also fit a model with no divisions. It treats decorated-class composition as a continuous surface over the map, with a separate term for site-specific deviations, and asks how well that surface describes the record. It is a description, not a test for groups: a group whose members lie near one another shares a composition that a smooth surface can absorb at the sampled sites, so the model cannot tell continuous copying from groups aligned with geography.</w:t>
      </w:r>
    </w:p>
    <w:bookmarkEnd w:id="121"/>
    <w:bookmarkStart w:id="122" w:name="neutral-copying-on-the-real-map"/>
    <w:p>
      <w:pPr>
        <w:pStyle w:val="Heading3"/>
      </w:pPr>
      <w:r>
        <w:t xml:space="preserve">Neutral copying on the real map</w:t>
      </w:r>
    </w:p>
    <w:p>
      <w:pPr>
        <w:pStyle w:val="FirstParagraph"/>
      </w:pPr>
      <w:r>
        <w:t xml:space="preserve">The central comparison runs a copying model with no groups on the real geography of the St. Francis River basin using assemblage data and asks whether it reproduces the record. The model follows the finite-population network model of Lipo, DiNapoli, Madsen, and Hunt</w:t>
      </w:r>
      <w:r>
        <w:t xml:space="preserve"> </w:t>
      </w:r>
      <w:r>
        <w:t xml:space="preserve">(2021)</w:t>
      </w:r>
      <w:r>
        <w:t xml:space="preserve">. Each assemblage is a node holding a finite population of learners, who copy decorated classes mostly within their node and occasionally from other nodes, with a probability that falls off with distance measured along the rivers. New variants enter at a constant rate, proportional to each class’s share of the region’s pooled counts, reflecting that types lump unequal numbers of decorative variants. We call this the copying model. It contains no groups. We pool deposition over a trailing window of eight time steps to reproduce time-averaging, and we subsample the simulated assemblages to match each real assemblage’s sherd count.</w:t>
      </w:r>
    </w:p>
    <w:p>
      <w:pPr>
        <w:pStyle w:val="BodyText"/>
      </w:pPr>
      <w:r>
        <w:t xml:space="preserve">A copying model’s predictions about differences between groups depend on population size, innovation rate, and mixing rate together, so we first tune those three to reproduce the diversity within the real assemblages, including mean within-assemblage diversity, mean number of classes present, and the diversity of all assemblages pooled. None of these involves the groups being tested. We search a grid of 297 combinations and keep those whose simulations match all three summaries within 10 percent, confirmed by rerunning each matched combination fifty times (Supplemental Text). Among the confirmed combinations, we use the one that produces the most between-group difference, so the comparison is as favorable to the no-groups model as the grid allows.</w:t>
      </w:r>
    </w:p>
    <w:p>
      <w:pPr>
        <w:pStyle w:val="BodyText"/>
      </w:pPr>
      <w:r>
        <w:t xml:space="preserve">To give the phases a fair chance to be groups, we also ran the model with two properties a bounded group would have. First, we simulate copying across the phase lines weakened to between half and three percent of its strength. Second, we add new variants in each phase drawn from a partly reordered version of the regional profile, so that new styles arise locally. We ran each of the 16 combinations of those settings 300 times. An approximate Bayesian posterior over them indicates which the record favors (Supplemental Text).</w:t>
      </w:r>
    </w:p>
    <w:bookmarkEnd w:id="122"/>
    <w:bookmarkStart w:id="123" w:name="X3bf400f88ac4cd19518a893400b8bcdfe3bddf5"/>
    <w:p>
      <w:pPr>
        <w:pStyle w:val="Heading3"/>
      </w:pPr>
      <w:r>
        <w:t xml:space="preserve">Tests of the phase lines and of the Parkin phase</w:t>
      </w:r>
    </w:p>
    <w:p>
      <w:pPr>
        <w:pStyle w:val="FirstParagraph"/>
      </w:pPr>
      <w:r>
        <w:t xml:space="preserve">We conduct five tests to ask whether the phase lines behave as group edges would. First, we compare the between-group</w:t>
      </w:r>
      <w:r>
        <w:t xml:space="preserve"> </w:t>
      </w:r>
      <m:oMath>
        <m:sSub>
          <m:e>
            <m:r>
              <m:t>F</m:t>
            </m:r>
          </m:e>
          <m:sub>
            <m:r>
              <m:t>S</m:t>
            </m:r>
            <m:r>
              <m:t>T</m:t>
            </m:r>
          </m:sub>
        </m:sSub>
      </m:oMath>
      <w:r>
        <w:t xml:space="preserve"> </w:t>
      </w:r>
      <w:r>
        <w:t xml:space="preserve">and boundary excess under the phase assignments with alternative divisions of the same assemblages into groups of the same sizes, drawn around randomly placed centers or made as spatially compact as possible. We state each comparison as the posterior probability that the phase lines separate type frequencies better than an alternative (see Statistical approach). Simulations with copying restricted at the phase lines show whether this comparison could detect such a restriction. Second, we cluster the assemblages using site coordinates and decorated-class composition together, vary how much weight composition carries, and measure agreement with Mainfort’s assignments with the adjusted Rand index</w:t>
      </w:r>
      <w:r>
        <w:t xml:space="preserve"> </w:t>
      </w:r>
      <w:r>
        <w:t xml:space="preserve">(Hubert and Arabie 1985)</w:t>
      </w:r>
      <w:r>
        <w:t xml:space="preserve">, which averages zero for unrelated divisions and one for identical ones. Third, we map the local rate of composition change and ask whether the phase lines fall where it changes fastest. Fourth, we run the copying model on the real map of the valley and cluster its simulated assemblages the same way we cluster the real assemblages. Fifth, we ask whether the phase lines run through gaps in late-period settlement, using sites independent of the analyzed assemblages.</w:t>
      </w:r>
    </w:p>
    <w:p>
      <w:pPr>
        <w:pStyle w:val="BodyText"/>
      </w:pPr>
      <w:r>
        <w:t xml:space="preserve">We test the Parkin phase the same way, dividing the basin into the Parkin phase and the rest, against the copying model and against arbitrary divisions of the same sizes. A polity should also leave traces outside the ceramic assemblages. We describe the distribution of maximum mound height within the basin, the only size attribute the regional compilation records for most sites, as context for whether sites form the hierarchy of settlement types and sizes that Peebles and Kus</w:t>
      </w:r>
      <w:r>
        <w:t xml:space="preserve"> </w:t>
      </w:r>
      <w:r>
        <w:t xml:space="preserve">(1977:431)</w:t>
      </w:r>
      <w:r>
        <w:t xml:space="preserve"> </w:t>
      </w:r>
      <w:r>
        <w:t xml:space="preserve">take as a correlate of ranked society. As a comparison, we also draw on evidence from Cobb’s</w:t>
      </w:r>
      <w:r>
        <w:t xml:space="preserve"> </w:t>
      </w:r>
      <w:r>
        <w:t xml:space="preserve">(2000)</w:t>
      </w:r>
      <w:r>
        <w:t xml:space="preserve"> </w:t>
      </w:r>
      <w:r>
        <w:t xml:space="preserve">analysis of the production and distribution of Mill Creek chert hoes, goods whose control would mark economic centralization.</w:t>
      </w:r>
    </w:p>
    <w:p>
      <w:pPr>
        <w:pStyle w:val="BodyText"/>
      </w:pPr>
      <w:r>
        <w:t xml:space="preserve">The contrast case applies the first two tests, together with a search for the most spatially compact division, to Mainfort’s</w:t>
      </w:r>
      <w:r>
        <w:t xml:space="preserve"> </w:t>
      </w:r>
      <w:r>
        <w:t xml:space="preserve">(2003)</w:t>
      </w:r>
      <w:r>
        <w:t xml:space="preserve"> </w:t>
      </w:r>
      <w:r>
        <w:t xml:space="preserve">counts under his own phases. Because the two schemes were drawn differently, this explanation predicts that they behave differently. If the inherited phases are a gradient sorted by proximity, the map should recover them, and other lines should separate the assemblages as well or better. A scheme drawn from an ordination should instead be recovered better once composition enters, and its lines should separate the assemblages better than other lines do. If phases of either kind marked bounded groups, however, both schemes should locate the same boundaries. We do not run the copying model on his table, since the model is calibrated to our matrix, so the contrast case cannot show whether his phases differ by more than copying alone produces.</w:t>
      </w:r>
    </w:p>
    <w:bookmarkEnd w:id="123"/>
    <w:bookmarkStart w:id="124" w:name="statistical-approach"/>
    <w:p>
      <w:pPr>
        <w:pStyle w:val="Heading3"/>
      </w:pPr>
      <w:r>
        <w:t xml:space="preserve">Statistical approach</w:t>
      </w:r>
    </w:p>
    <w:p>
      <w:pPr>
        <w:pStyle w:val="FirstParagraph"/>
      </w:pPr>
      <w:r>
        <w:t xml:space="preserve">Every inference in this paper is Bayesian, and the numbers we report fall into three kinds: posterior quantities, which state what the record implies about a quantity once we carry through the uncertainty in its counts; predictive checks, which compare the record with what a simulation model produces; and descriptive statistics. No inference about the record rests on a significance test or a p-value. Because the three kinds answer different questions, we identify each result below by the kind of number it is.</w:t>
      </w:r>
    </w:p>
    <w:p>
      <w:pPr>
        <w:pStyle w:val="BodyText"/>
      </w:pPr>
      <w:r>
        <w:t xml:space="preserve">Sampling is the first source of uncertainty. Each assemblage is a finite sample of sherds, so its class proportions are uncertain, and more so for a small assemblage than for a large one. We represent that uncertainty with a posterior distribution over each assemblage’s proportions: with a multinomial likelihood for the counts and a Dirichlet(1/2) prior on the proportions (the Jeffreys prior for this likelihood), the posterior is a Dirichlet distribution with parameters equal to the counts plus one half. Drawing proportions from it repeatedly, 2,000 times for</w:t>
      </w:r>
      <w:r>
        <w:t xml:space="preserve"> </w:t>
      </w:r>
      <m:oMath>
        <m:sSub>
          <m:e>
            <m:r>
              <m:t>F</m:t>
            </m:r>
          </m:e>
          <m:sub>
            <m:r>
              <m:t>S</m:t>
            </m:r>
            <m:r>
              <m:t>T</m:t>
            </m:r>
          </m:sub>
        </m:sSub>
      </m:oMath>
      <w:r>
        <w:t xml:space="preserve"> </w:t>
      </w:r>
      <w:r>
        <w:t xml:space="preserve">and 500 times for the slower boundary excess, and recomputing a statistic on each draw gives that statistic’s posterior distribution. We report its median and a 95 percent credible interval (the 2.5th to 97.5th percentiles of the draws); given the counts and the prior, the quantity lies in that interval with probability 0.95. When the phase lines are compared with alternative divisions, each draw is scored against 20 alternatives of each kind (10 for the boundary excess) chosen at random from 300, and the posterior probability that the phase lines separate the assemblages better is the share of all these comparisons they win. A probability of 0.20 therefore means that, allowing for sampling error in every assemblage, the phase lines beat a randomly chosen alternative in one comparison in five. Where a probability or a share rounds to zero, we give the number of comparisons or runs behind it, since the true value is then known only to be smaller than that resolution.</w:t>
      </w:r>
    </w:p>
    <w:p>
      <w:pPr>
        <w:pStyle w:val="BodyText"/>
      </w:pPr>
      <w:r>
        <w:t xml:space="preserve">Our spatial model with no divisions is a Bayesian hierarchical model written in Stan and fitted by Hamiltonian Monte Carlo</w:t>
      </w:r>
      <w:r>
        <w:t xml:space="preserve"> </w:t>
      </w:r>
      <w:r>
        <w:t xml:space="preserve">(Carpenter et al. 2017)</w:t>
      </w:r>
      <w:r>
        <w:t xml:space="preserve">. We report its spatial share as a posterior median with a credible interval, and we report its priors, convergence diagnostics, and checks against quantities it was not fitted to in the Supplemental Text.</w:t>
      </w:r>
    </w:p>
    <w:p>
      <w:pPr>
        <w:pStyle w:val="BodyText"/>
      </w:pPr>
      <w:r>
        <w:t xml:space="preserve">In contrast, the copying model is a simulator with no likelihood we can write down, and we use it in two ways. As a predictive check, we run it repeatedly at a fixed, calibrated combination of population size, innovation rate, and mixing rate, compute on each simulated dataset the same statistic computed on the record, and report the median and 95 percent range (the 2.5th to 97.5th percentiles) of the simulated values together with the share of runs reaching the observed value</w:t>
      </w:r>
      <w:r>
        <w:t xml:space="preserve"> </w:t>
      </w:r>
      <w:r>
        <w:t xml:space="preserve">(Gelman et al. 1996)</w:t>
      </w:r>
      <w:r>
        <w:t xml:space="preserve">. A small share says that the model rarely produces what the record shows. It measures fit and is not compared with a threshold. Because the parameters are fixed at calibrated values rather than drawn from a posterior, the check carries no uncertainty about them. We address this by repeating the key comparisons at the six most favorable calibrated combinations. A 95 percent range and a 95 percent credible interval should not be confused: the first describes how much a statistic varies under a model, whereas the second describes a quantity of the record. The second use of the simulator is approximate Bayesian computation over the 16 settings of the bounded-groups model</w:t>
      </w:r>
      <w:r>
        <w:t xml:space="preserve"> </w:t>
      </w:r>
      <w:r>
        <w:t xml:space="preserve">(Beaumont et al. 2002)</w:t>
      </w:r>
      <w:r>
        <w:t xml:space="preserve">. Each setting receives the same prior probability, and a setting’s posterior probability is its share of the 5 percent of all runs whose summary statistics lie closest to the record’s. Since 12 of the 16 settings include a copying boundary, the prior probability of a boundary is 0.75, and the evidence lies in how far the posterior moves from that value. To judge that movement, we pass simulated records with and without a built-in boundary through the same procedure and report where the record’s value falls relative to them.</w:t>
      </w:r>
    </w:p>
    <w:p>
      <w:pPr>
        <w:pStyle w:val="BodyText"/>
      </w:pPr>
      <w:r>
        <w:t xml:space="preserve">Rank correlations, the adjusted Rand index, silhouette scores, and the percentile of a division among alternatives are descriptive. Each summarizes the record or a set of divisions, and none carries an inferential claim by itself.</w:t>
      </w:r>
    </w:p>
    <w:bookmarkEnd w:id="124"/>
    <w:bookmarkEnd w:id="125"/>
    <w:bookmarkStart w:id="154" w:name="results"/>
    <w:p>
      <w:pPr>
        <w:pStyle w:val="Heading2"/>
      </w:pPr>
      <w:r>
        <w:t xml:space="preserve">Results</w:t>
      </w:r>
    </w:p>
    <w:bookmarkStart w:id="126" w:name="what-spatially-structured-drift-explains"/>
    <w:p>
      <w:pPr>
        <w:pStyle w:val="Heading3"/>
      </w:pPr>
      <w:r>
        <w:t xml:space="preserve">What spatially structured drift explains</w:t>
      </w:r>
    </w:p>
    <w:p>
      <w:pPr>
        <w:pStyle w:val="FirstParagraph"/>
      </w:pPr>
      <w:r>
        <w:t xml:space="preserve">Neutral copying on the real map accounts for most of what the basin’s decorated-type frequencies show. Tuning the model to the record’s diversity matched 50 of the 297 combinations on the six-run screen, and 45 still matched when rerun fifty times (Supplemental Text, Figure S7). At the matched combination most favorable to it (2,000 learners per node, an innovation rate of 0.001, and a mixing rate of 0.02), copying with no groups reproduces the fading of similarity with distance (observed correlation of similarity with distance along the rivers -0.20, against a simulated 95 percent range of -0.53 to +0.04) and the difference between the two spatial clusters the site layout supports (Table 1).</w:t>
      </w:r>
    </w:p>
    <w:p>
      <w:pPr>
        <w:pStyle w:val="BodyText"/>
      </w:pPr>
      <w:r>
        <w:t xml:space="preserve">A model with no divisions at all describes the record adequately. On the logit scale of its latent class probabilities, it assigns 99.6 percent of the variance among assemblages to the spatial surface (posterior median; 95 percent credible interval 97.2 to 100 percent) and little to independent site deviations, and it reproduces the observed between-cluster</w:t>
      </w:r>
      <w:r>
        <w:t xml:space="preserve"> </w:t>
      </w:r>
      <m:oMath>
        <m:sSub>
          <m:e>
            <m:r>
              <m:t>F</m:t>
            </m:r>
          </m:e>
          <m:sub>
            <m:r>
              <m:t>S</m:t>
            </m:r>
            <m:r>
              <m:t>T</m:t>
            </m:r>
          </m:sub>
        </m:sSub>
      </m:oMath>
      <w:r>
        <w:t xml:space="preserve"> </w:t>
      </w:r>
      <w:r>
        <w:t xml:space="preserve">at three clusters, the fading of similarity with distance, and the spread of diversity among assemblages (Supplemental Text). In other words, the high spatial share does not distinguish a continuous copying process from groups aligned with geography. The surface can also bend over short distances, so it carries variation that the copying model, taken next, does not produce.</w:t>
      </w:r>
    </w:p>
    <w:p>
      <w:pPr>
        <w:pStyle w:val="BodyText"/>
      </w:pPr>
      <w:r>
        <w:rPr>
          <w:b/>
          <w:bCs/>
        </w:rPr>
        <w:t xml:space="preserve">Table 1.</w:t>
      </w:r>
      <w:r>
        <w:t xml:space="preserve"> </w:t>
      </w:r>
      <w:r>
        <w:t xml:space="preserve">Observed between-group cultural</w:t>
      </w:r>
      <w:r>
        <w:t xml:space="preserve"> </w:t>
      </w:r>
      <m:oMath>
        <m:sSub>
          <m:e>
            <m:r>
              <m:t>F</m:t>
            </m:r>
          </m:e>
          <m:sub>
            <m:r>
              <m:t>S</m:t>
            </m:r>
            <m:r>
              <m:t>T</m:t>
            </m:r>
          </m:sub>
        </m:sSub>
      </m:oMath>
      <w:r>
        <w:t xml:space="preserve"> </w:t>
      </w:r>
      <w:r>
        <w:t xml:space="preserve">against the neutral copying model, which contains no groups. Model values are the median and 95 percent range over 300 runs at the matched combination most favorable to the model. The last column gives the share of runs reaching the observed value there and, in parentheses, the range of that share across the six most favorable combinations that passed the confirmation. Radius is the root-mean-square distance from an assemblage to its group’s center. A share of 0 percent means none of the 300 runs; a frequency below about 0.3 percent is not an impossibility. At five or more clusters, at least one cluster holds a single assemblage, so finer divisions are reported only in the Supplemental Text.</w:t>
      </w:r>
    </w:p>
    <w:tbl>
      <w:tblPr>
        <w:tblStyle w:val="Table"/>
        <w:tblW w:type="pct" w:w="5000"/>
        <w:tblLayout w:type="fixed"/>
        <w:tblLook w:firstRow="1" w:lastRow="0" w:firstColumn="0" w:lastColumn="0" w:noHBand="0" w:noVBand="0" w:val="0020"/>
      </w:tblPr>
      <w:tblGrid>
        <w:gridCol w:w="1131"/>
        <w:gridCol w:w="1508"/>
        <w:gridCol w:w="1508"/>
        <w:gridCol w:w="1508"/>
        <w:gridCol w:w="1131"/>
        <w:gridCol w:w="1131"/>
      </w:tblGrid>
      <w:tr>
        <w:trPr>
          <w:tblHeader w:val="on"/>
        </w:trPr>
        <w:tc>
          <w:tcPr/>
          <w:p>
            <w:pPr>
              <w:pStyle w:val="Compact"/>
            </w:pPr>
            <w:r>
              <w:t xml:space="preserve">Division</w:t>
            </w:r>
          </w:p>
        </w:tc>
        <w:tc>
          <w:tcPr/>
          <w:p>
            <w:pPr>
              <w:pStyle w:val="Compact"/>
              <w:jc w:val="right"/>
            </w:pPr>
            <w:r>
              <w:t xml:space="preserve">Groups</w:t>
            </w:r>
          </w:p>
        </w:tc>
        <w:tc>
          <w:tcPr/>
          <w:p>
            <w:pPr>
              <w:pStyle w:val="Compact"/>
              <w:jc w:val="right"/>
            </w:pPr>
            <w:r>
              <w:t xml:space="preserve">Radius (km)</w:t>
            </w:r>
          </w:p>
        </w:tc>
        <w:tc>
          <w:tcPr/>
          <w:p>
            <w:pPr>
              <w:pStyle w:val="Compact"/>
              <w:jc w:val="right"/>
            </w:pPr>
            <w:r>
              <w:t xml:space="preserve">Observed</w:t>
            </w:r>
          </w:p>
        </w:tc>
        <w:tc>
          <w:tcPr/>
          <w:p>
            <w:pPr>
              <w:pStyle w:val="Compact"/>
            </w:pPr>
            <w:r>
              <w:t xml:space="preserve">Model median (95 percent range)</w:t>
            </w:r>
          </w:p>
        </w:tc>
        <w:tc>
          <w:tcPr/>
          <w:p>
            <w:pPr>
              <w:pStyle w:val="Compact"/>
            </w:pPr>
            <w:r>
              <w:t xml:space="preserve">Runs reaching observed</w:t>
            </w:r>
          </w:p>
        </w:tc>
      </w:tr>
      <w:tr>
        <w:tc>
          <w:tcPr/>
          <w:p>
            <w:pPr>
              <w:pStyle w:val="Compact"/>
            </w:pPr>
            <w:r>
              <w:t xml:space="preserve">Two spatial clusters (the Parkin phase against the rest)</w:t>
            </w:r>
          </w:p>
        </w:tc>
        <w:tc>
          <w:tcPr/>
          <w:p>
            <w:pPr>
              <w:pStyle w:val="Compact"/>
              <w:jc w:val="right"/>
            </w:pPr>
            <w:r>
              <w:t xml:space="preserve">2</w:t>
            </w:r>
          </w:p>
        </w:tc>
        <w:tc>
          <w:tcPr/>
          <w:p>
            <w:pPr>
              <w:pStyle w:val="Compact"/>
              <w:jc w:val="right"/>
            </w:pPr>
            <w:r>
              <w:t xml:space="preserve">17.6</w:t>
            </w:r>
          </w:p>
        </w:tc>
        <w:tc>
          <w:tcPr/>
          <w:p>
            <w:pPr>
              <w:pStyle w:val="Compact"/>
              <w:jc w:val="right"/>
            </w:pPr>
            <w:r>
              <w:t xml:space="preserve">0.0062</w:t>
            </w:r>
          </w:p>
        </w:tc>
        <w:tc>
          <w:tcPr/>
          <w:p>
            <w:pPr>
              <w:pStyle w:val="Compact"/>
            </w:pPr>
            <w:r>
              <w:t xml:space="preserve">0.0019 (0.0002 to 0.0124)</w:t>
            </w:r>
          </w:p>
        </w:tc>
        <w:tc>
          <w:tcPr/>
          <w:p>
            <w:pPr>
              <w:pStyle w:val="Compact"/>
            </w:pPr>
            <w:r>
              <w:t xml:space="preserve">13% (4 to 16%)</w:t>
            </w:r>
          </w:p>
        </w:tc>
      </w:tr>
      <w:tr>
        <w:tc>
          <w:tcPr/>
          <w:p>
            <w:pPr>
              <w:pStyle w:val="Compact"/>
            </w:pPr>
            <w:r>
              <w:t xml:space="preserve">The inherited phases</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0.0110</w:t>
            </w:r>
          </w:p>
        </w:tc>
        <w:tc>
          <w:tcPr/>
          <w:p>
            <w:pPr>
              <w:pStyle w:val="Compact"/>
            </w:pPr>
            <w:r>
              <w:t xml:space="preserve">0.0034 (0.0008 to 0.0138)</w:t>
            </w:r>
          </w:p>
        </w:tc>
        <w:tc>
          <w:tcPr/>
          <w:p>
            <w:pPr>
              <w:pStyle w:val="Compact"/>
            </w:pPr>
            <w:r>
              <w:t xml:space="preserve">5% (1 to 12%)</w:t>
            </w:r>
          </w:p>
        </w:tc>
      </w:tr>
      <w:tr>
        <w:tc>
          <w:tcPr/>
          <w:p>
            <w:pPr>
              <w:pStyle w:val="Compact"/>
            </w:pPr>
            <w:r>
              <w:t xml:space="preserve">Three spatial clusters</w:t>
            </w:r>
          </w:p>
        </w:tc>
        <w:tc>
          <w:tcPr/>
          <w:p>
            <w:pPr>
              <w:pStyle w:val="Compact"/>
              <w:jc w:val="right"/>
            </w:pPr>
            <w:r>
              <w:t xml:space="preserve">3</w:t>
            </w:r>
          </w:p>
        </w:tc>
        <w:tc>
          <w:tcPr/>
          <w:p>
            <w:pPr>
              <w:pStyle w:val="Compact"/>
              <w:jc w:val="right"/>
            </w:pPr>
            <w:r>
              <w:t xml:space="preserve">13.6</w:t>
            </w:r>
          </w:p>
        </w:tc>
        <w:tc>
          <w:tcPr/>
          <w:p>
            <w:pPr>
              <w:pStyle w:val="Compact"/>
              <w:jc w:val="right"/>
            </w:pPr>
            <w:r>
              <w:t xml:space="preserve">0.0156</w:t>
            </w:r>
          </w:p>
        </w:tc>
        <w:tc>
          <w:tcPr/>
          <w:p>
            <w:pPr>
              <w:pStyle w:val="Compact"/>
            </w:pPr>
            <w:r>
              <w:t xml:space="preserve">0.0035 (0.0007 to 0.0135)</w:t>
            </w:r>
          </w:p>
        </w:tc>
        <w:tc>
          <w:tcPr/>
          <w:p>
            <w:pPr>
              <w:pStyle w:val="Compact"/>
            </w:pPr>
            <w:r>
              <w:t xml:space="preserve">1% (1 to 6%)</w:t>
            </w:r>
          </w:p>
        </w:tc>
      </w:tr>
      <w:tr>
        <w:tc>
          <w:tcPr/>
          <w:p>
            <w:pPr>
              <w:pStyle w:val="Compact"/>
            </w:pPr>
            <w:r>
              <w:t xml:space="preserve">Four spatial clusters</w:t>
            </w:r>
          </w:p>
        </w:tc>
        <w:tc>
          <w:tcPr/>
          <w:p>
            <w:pPr>
              <w:pStyle w:val="Compact"/>
              <w:jc w:val="right"/>
            </w:pPr>
            <w:r>
              <w:t xml:space="preserve">4</w:t>
            </w:r>
          </w:p>
        </w:tc>
        <w:tc>
          <w:tcPr/>
          <w:p>
            <w:pPr>
              <w:pStyle w:val="Compact"/>
              <w:jc w:val="right"/>
            </w:pPr>
            <w:r>
              <w:t xml:space="preserve">11.7</w:t>
            </w:r>
          </w:p>
        </w:tc>
        <w:tc>
          <w:tcPr/>
          <w:p>
            <w:pPr>
              <w:pStyle w:val="Compact"/>
              <w:jc w:val="right"/>
            </w:pPr>
            <w:r>
              <w:t xml:space="preserve">0.0186</w:t>
            </w:r>
          </w:p>
        </w:tc>
        <w:tc>
          <w:tcPr/>
          <w:p>
            <w:pPr>
              <w:pStyle w:val="Compact"/>
            </w:pPr>
            <w:r>
              <w:t xml:space="preserve">0.0041 (0.0010 to 0.0146)</w:t>
            </w:r>
          </w:p>
        </w:tc>
        <w:tc>
          <w:tcPr/>
          <w:p>
            <w:pPr>
              <w:pStyle w:val="Compact"/>
            </w:pPr>
            <w:r>
              <w:t xml:space="preserve">1% (0 to 4%)</w:t>
            </w:r>
          </w:p>
        </w:tc>
      </w:tr>
    </w:tbl>
    <w:p>
      <w:pPr>
        <w:pStyle w:val="BodyText"/>
      </w:pPr>
      <w:r>
        <w:t xml:space="preserve">The model does not account for everything. Between phases, it matches the observed difference in 5 percent of runs at the most favorable combination, and at three and four spatial clusters it matches the observed value in 0 to 6 percent of runs at each of the six (Table 1). The assemblages vary over shorter distances than calibrated copying does. The step in similarity across the phase lines also exceeds the model. The boundary excess is +10.0, against a simulated median of +1.5 (95 percent range -6.0 to +7.8), and 1 of 300 runs reaches it. This additional variation is not due to sampling. Redrawing every assemblage from the basin’s pooled profile at its own sherd count gives between-cluster differences near zero (Supplemental Text).</w:t>
      </w:r>
    </w:p>
    <w:p>
      <w:pPr>
        <w:pStyle w:val="BodyText"/>
      </w:pPr>
      <w:r>
        <w:t xml:space="preserve">The next section asks whether that additional variation follows the phase lines. What produces it is a separate question, and the model can narrow it without settling it (Table 2). We relaxed four model simplifications one at a time at the calibrated combination, and evaluated every variant, including the baseline, by the same three criteria: whether its median reaches the observation, how often its runs reach it, and whether the record’s diversity stays matched (Supplemental Text). No variant that keeps diversity matched brings its median up to the observed three- and four-cluster values. Two raise the share of runs reaching those values while keeping diversity matched. Letting new styles arise somewhat locally, each of the two spatial clusters drawing its new variants from a slightly different version of the regional profile, raises it from 3 and 1 percent in baseline runs with the same seeds to 42 and 40 percent when a quarter of the classes are reordered (300 runs each); with the phases as the areas and a fifth of the classes reordered, 39 percent of runs reach the observed between-phase value. Copying that falls off over a short straight-line distance (6 km) raises it to 11 and 7 percent. Unequal site populations and shorter fall-off along the rivers raise it further but break the diversity match; not recalibrated, they are unsupported rather than excluded. None of these variants restricts who copies whom, and the test cannot tell whether local innovation followed the phases or any other division of the basin.</w:t>
      </w:r>
    </w:p>
    <w:p>
      <w:pPr>
        <w:pStyle w:val="BodyText"/>
      </w:pPr>
      <w:r>
        <w:t xml:space="preserve">Restricting copying across the phase lines, the property that would make the phase groups, also increases both statistics. With copying across the lines cut to 3 percent of its strength, 40 percent of runs reach the observed between-phase</w:t>
      </w:r>
      <w:r>
        <w:t xml:space="preserve"> </w:t>
      </w:r>
      <m:oMath>
        <m:sSub>
          <m:e>
            <m:r>
              <m:t>F</m:t>
            </m:r>
          </m:e>
          <m:sub>
            <m:r>
              <m:t>S</m:t>
            </m:r>
            <m:r>
              <m:t>T</m:t>
            </m:r>
          </m:sub>
        </m:sSub>
      </m:oMath>
      <w:r>
        <w:t xml:space="preserve"> </w:t>
      </w:r>
      <w:r>
        <w:t xml:space="preserve">and 34 percent reach the observed step at the lines. The copying model, however, cannot distinguish the two. The posterior probability of a copying boundary at the phase lines is 0.79, against a prior of 0.75. On simulated records with a built-in boundary, the same procedure returns a median of 0.81 to 0.95 (40 test records per setting), and on records without one, a median of 0.66. The record’s value falls between the two, so it leans slightly toward a boundary without resolving one. That lean is not specific to the phases: run on three arbitrary divisions with the phases’ group sizes, the same analysis gives 0.78 to 0.92. The comparisons of where the lines fall, taken up next, bear more directly on the question, although they too discriminate only moderately.</w:t>
      </w:r>
    </w:p>
    <w:p>
      <w:pPr>
        <w:pStyle w:val="BodyText"/>
      </w:pPr>
      <w:r>
        <w:rPr>
          <w:b/>
          <w:bCs/>
        </w:rPr>
        <w:t xml:space="preserve">Table 2.</w:t>
      </w:r>
      <w:r>
        <w:t xml:space="preserve"> </w:t>
      </w:r>
      <w:r>
        <w:t xml:space="preserve">The accounts of the basin’s decorated-type frequencies tested here, what each predicts, and how it fared. Every copying-model account is read on the same three criteria: whether its median between-group</w:t>
      </w:r>
      <w:r>
        <w:t xml:space="preserve"> </w:t>
      </w:r>
      <m:oMath>
        <m:sSub>
          <m:e>
            <m:r>
              <m:t>F</m:t>
            </m:r>
          </m:e>
          <m:sub>
            <m:r>
              <m:t>S</m:t>
            </m:r>
            <m:r>
              <m:t>T</m:t>
            </m:r>
          </m:sub>
        </m:sSub>
      </m:oMath>
      <w:r>
        <w:t xml:space="preserve"> </w:t>
      </w:r>
      <w:r>
        <w:t xml:space="preserve">reaches the observed value, the share of its runs reaching the observed value (predictive coverage), and whether it keeps all three within-assemblage diversity summaries within 10 percent of the observed values. Shares for the relaxations are from 300 runs at the calibrated combination, scored at three and four spatial clusters, where the baseline falls short. Relaxations are one at a time and not recalibrated. Full grids and diagnostics are in the Supplemental Text.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Account</w:t>
            </w:r>
          </w:p>
        </w:tc>
        <w:tc>
          <w:tcPr/>
          <w:p>
            <w:pPr>
              <w:pStyle w:val="Compact"/>
            </w:pPr>
            <w:r>
              <w:t xml:space="preserve">What it predicts</w:t>
            </w:r>
          </w:p>
        </w:tc>
        <w:tc>
          <w:tcPr/>
          <w:p>
            <w:pPr>
              <w:pStyle w:val="Compact"/>
            </w:pPr>
            <w:r>
              <w:t xml:space="preserve">Outcome</w:t>
            </w:r>
          </w:p>
        </w:tc>
      </w:tr>
      <w:tr>
        <w:tc>
          <w:tcPr/>
          <w:p>
            <w:pPr>
              <w:pStyle w:val="Compact"/>
            </w:pPr>
            <w:r>
              <w:t xml:space="preserve">Neutral copying across space (baseline)</w:t>
            </w:r>
          </w:p>
        </w:tc>
        <w:tc>
          <w:tcPr/>
          <w:p>
            <w:pPr>
              <w:pStyle w:val="Compact"/>
            </w:pPr>
            <w:r>
              <w:t xml:space="preserve">Differences among assemblages and the decrease in similarity with distance, with no group anywhere</w:t>
            </w:r>
          </w:p>
        </w:tc>
        <w:tc>
          <w:tcPr/>
          <w:p>
            <w:pPr>
              <w:pStyle w:val="Compact"/>
            </w:pPr>
            <w:r>
              <w:rPr>
                <w:b/>
                <w:bCs/>
              </w:rPr>
              <w:t xml:space="preserve">Adequate at coarse scale only.</w:t>
            </w:r>
            <w:r>
              <w:t xml:space="preserve"> </w:t>
            </w:r>
            <w:r>
              <w:t xml:space="preserve">Diversity matched; covers the decrease with distance and the two-cluster difference (13 percent of runs), but runs reach the three- and four-cluster values in 0 to 6 percent and the between-phase value in 5 percent</w:t>
            </w:r>
          </w:p>
        </w:tc>
      </w:tr>
      <w:tr>
        <w:tc>
          <w:tcPr/>
          <w:p>
            <w:pPr>
              <w:pStyle w:val="Compact"/>
            </w:pPr>
            <w:r>
              <w:t xml:space="preserve">Bounded groups, judged by where the lines fall</w:t>
            </w:r>
          </w:p>
        </w:tc>
        <w:tc>
          <w:tcPr/>
          <w:p>
            <w:pPr>
              <w:pStyle w:val="Compact"/>
            </w:pPr>
            <w:r>
              <w:t xml:space="preserve">Lines where the assemblage composition changes; lines the assemblages recover better than the map; lines that separate the assemblages better than other lines</w:t>
            </w:r>
          </w:p>
        </w:tc>
        <w:tc>
          <w:tcPr/>
          <w:p>
            <w:pPr>
              <w:pStyle w:val="Compact"/>
            </w:pPr>
            <w:r>
              <w:rPr>
                <w:b/>
                <w:bCs/>
              </w:rPr>
              <w:t xml:space="preserve">Not supported.</w:t>
            </w:r>
            <w:r>
              <w:t xml:space="preserve"> </w:t>
            </w:r>
            <w:r>
              <w:t xml:space="preserve">The map recovers the lines, and alternative divisions separate the assemblages as well or better; in simulation at the calibrated combination a strong restriction usually reverses that ordering, but the real score is uncommon under every simulated setting, so a weak restriction cannot be excluded</w:t>
            </w:r>
          </w:p>
        </w:tc>
      </w:tr>
      <w:tr>
        <w:tc>
          <w:tcPr/>
          <w:p>
            <w:pPr>
              <w:pStyle w:val="Compact"/>
            </w:pPr>
            <w:r>
              <w:t xml:space="preserve">Bounded groups, judged by the copying model</w:t>
            </w:r>
          </w:p>
        </w:tc>
        <w:tc>
          <w:tcPr/>
          <w:p>
            <w:pPr>
              <w:pStyle w:val="Compact"/>
            </w:pPr>
            <w:r>
              <w:t xml:space="preserve">Higher between-group</w:t>
            </w:r>
            <w:r>
              <w:t xml:space="preserve"> </w:t>
            </w:r>
            <m:oMath>
              <m:sSub>
                <m:e>
                  <m:r>
                    <m:t>F</m:t>
                  </m:r>
                </m:e>
                <m:sub>
                  <m:r>
                    <m:t>S</m:t>
                  </m:r>
                  <m:r>
                    <m:t>T</m:t>
                  </m:r>
                </m:sub>
              </m:sSub>
            </m:oMath>
            <w:r>
              <w:t xml:space="preserve"> </w:t>
            </w:r>
            <w:r>
              <w:t xml:space="preserve">and a step in similarity at the lines</w:t>
            </w:r>
          </w:p>
        </w:tc>
        <w:tc>
          <w:tcPr/>
          <w:p>
            <w:pPr>
              <w:pStyle w:val="Compact"/>
            </w:pPr>
            <w:r>
              <w:rPr>
                <w:b/>
                <w:bCs/>
              </w:rPr>
              <w:t xml:space="preserve">Not distinguished</w:t>
            </w:r>
            <w:r>
              <w:t xml:space="preserve"> </w:t>
            </w:r>
            <w:r>
              <w:t xml:space="preserve">from local innovation; posterior 0.79 against a prior of 0.75, and 0.78 to 0.92 for arbitrary divisions</w:t>
            </w:r>
          </w:p>
        </w:tc>
      </w:tr>
      <w:tr>
        <w:tc>
          <w:tcPr/>
          <w:p>
            <w:pPr>
              <w:pStyle w:val="Compact"/>
            </w:pPr>
            <w:r>
              <w:t xml:space="preserve">Unequal site populations; shorter or differently shaped fall-off along the rivers</w:t>
            </w:r>
          </w:p>
        </w:tc>
        <w:tc>
          <w:tcPr/>
          <w:p>
            <w:pPr>
              <w:pStyle w:val="Compact"/>
            </w:pPr>
            <w:r>
              <w:t xml:space="preserve">Faster drift at small or isolated sites</w:t>
            </w:r>
          </w:p>
        </w:tc>
        <w:tc>
          <w:tcPr/>
          <w:p>
            <w:pPr>
              <w:pStyle w:val="Compact"/>
            </w:pPr>
            <w:r>
              <w:rPr>
                <w:b/>
                <w:bCs/>
              </w:rPr>
              <w:t xml:space="preserve">Not supported at the calibrated combination.</w:t>
            </w:r>
            <w:r>
              <w:t xml:space="preserve"> </w:t>
            </w:r>
            <w:r>
              <w:t xml:space="preserve">Raise the share of runs reaching the finer-scale values appreciably only where they break the diversity match</w:t>
            </w:r>
          </w:p>
        </w:tc>
      </w:tr>
      <w:tr>
        <w:tc>
          <w:tcPr/>
          <w:p>
            <w:pPr>
              <w:pStyle w:val="Compact"/>
            </w:pPr>
            <w:r>
              <w:t xml:space="preserve">Unequal accumulation spans</w:t>
            </w:r>
          </w:p>
        </w:tc>
        <w:tc>
          <w:tcPr/>
          <w:p>
            <w:pPr>
              <w:pStyle w:val="Compact"/>
            </w:pPr>
            <w:r>
              <w:t xml:space="preserve">More distinct narrow deposits</w:t>
            </w:r>
          </w:p>
        </w:tc>
        <w:tc>
          <w:tcPr/>
          <w:p>
            <w:pPr>
              <w:pStyle w:val="Compact"/>
            </w:pPr>
            <w:r>
              <w:rPr>
                <w:b/>
                <w:bCs/>
              </w:rPr>
              <w:t xml:space="preserve">No effect</w:t>
            </w:r>
            <w:r>
              <w:t xml:space="preserve"> </w:t>
            </w:r>
            <w:r>
              <w:t xml:space="preserve">on the two-cluster differentiation; not rescored at finer scales</w:t>
            </w:r>
          </w:p>
        </w:tc>
      </w:tr>
      <w:tr>
        <w:tc>
          <w:tcPr/>
          <w:p>
            <w:pPr>
              <w:pStyle w:val="Compact"/>
            </w:pPr>
            <w:r>
              <w:t xml:space="preserve">Copying falling off over 6 km of straight-line distance</w:t>
            </w:r>
          </w:p>
        </w:tc>
        <w:tc>
          <w:tcPr/>
          <w:p>
            <w:pPr>
              <w:pStyle w:val="Compact"/>
            </w:pPr>
            <w:r>
              <w:t xml:space="preserve">Differentiation over shorter distances</w:t>
            </w:r>
          </w:p>
        </w:tc>
        <w:tc>
          <w:tcPr/>
          <w:p>
            <w:pPr>
              <w:pStyle w:val="Compact"/>
            </w:pPr>
            <w:r>
              <w:rPr>
                <w:b/>
                <w:bCs/>
              </w:rPr>
              <w:t xml:space="preserve">Adequate by coverage.</w:t>
            </w:r>
            <w:r>
              <w:t xml:space="preserve"> </w:t>
            </w:r>
            <w:r>
              <w:t xml:space="preserve">Diversity matched; 11 and 7 percent of runs reach the three- and four-cluster values; medians fall short</w:t>
            </w:r>
          </w:p>
        </w:tc>
      </w:tr>
      <w:tr>
        <w:tc>
          <w:tcPr/>
          <w:p>
            <w:pPr>
              <w:pStyle w:val="Compact"/>
            </w:pPr>
            <w:r>
              <w:t xml:space="preserve">New styles arising locally, with neutral copying otherwise</w:t>
            </w:r>
          </w:p>
        </w:tc>
        <w:tc>
          <w:tcPr/>
          <w:p>
            <w:pPr>
              <w:pStyle w:val="Compact"/>
            </w:pPr>
            <w:r>
              <w:t xml:space="preserve">Higher differentiation with no change in diversity</w:t>
            </w:r>
          </w:p>
        </w:tc>
        <w:tc>
          <w:tcPr/>
          <w:p>
            <w:pPr>
              <w:pStyle w:val="Compact"/>
            </w:pPr>
            <w:r>
              <w:rPr>
                <w:b/>
                <w:bCs/>
              </w:rPr>
              <w:t xml:space="preserve">Adequate by coverage.</w:t>
            </w:r>
            <w:r>
              <w:t xml:space="preserve"> </w:t>
            </w:r>
            <w:r>
              <w:t xml:space="preserve">Diversity matched; 28 to 44 percent of runs reach the three- and four-cluster values at reordered shares of 0.2 to 0.3; medians fall short at those scales, and simulations are widely spread</w:t>
            </w:r>
          </w:p>
        </w:tc>
      </w:tr>
    </w:tbl>
    <w:bookmarkEnd w:id="126"/>
    <w:bookmarkStart w:id="142" w:name="where-the-phase-lines-fall"/>
    <w:p>
      <w:pPr>
        <w:pStyle w:val="Heading3"/>
      </w:pPr>
      <w:r>
        <w:t xml:space="preserve">Where the phase lines fall</w:t>
      </w:r>
    </w:p>
    <w:p>
      <w:pPr>
        <w:pStyle w:val="FirstParagraph"/>
      </w:pPr>
      <w:r>
        <w:t xml:space="preserve">If the phases marked restrictions on copying, their lines should separate the assemblages better than other lines and fall where composition changes fastest. They do neither.</w:t>
      </w:r>
    </w:p>
    <w:p>
      <w:pPr>
        <w:pStyle w:val="BodyText"/>
      </w:pPr>
      <w:r>
        <w:t xml:space="preserve">Most alternative divisions of the same sites separate the assemblages better than the phase lines do. With the uncertainty in every assemblage’s counts carried through, the between-phase</w:t>
      </w:r>
      <w:r>
        <w:t xml:space="preserve"> </w:t>
      </w:r>
      <m:oMath>
        <m:sSub>
          <m:e>
            <m:r>
              <m:t>F</m:t>
            </m:r>
          </m:e>
          <m:sub>
            <m:r>
              <m:t>S</m:t>
            </m:r>
            <m:r>
              <m:t>T</m:t>
            </m:r>
          </m:sub>
        </m:sSub>
      </m:oMath>
      <w:r>
        <w:t xml:space="preserve"> </w:t>
      </w:r>
      <w:r>
        <w:t xml:space="preserve">has a posterior median of 0.0109 (95 percent credible interval 0.0091 to 0.0128). Divisions of the same assemblages into groups of the same sizes around randomly placed centers give a median of 0.0145, and divisions drawn to be as compact as possible give 0.0165. The posterior probability that the phase lines separate the assemblages better than a division around random centers is 0.20, and better than a compact division is 0.05 (Figure 3B, C). The similarity step at the lines is less decisive. The boundary excess at the phase lines (posterior median +9.4, 95 percent credible interval +4.6 to +13.9) exceeds what copying alone produces, but arbitrary divisions of the map show a similar step, with a median of +6.9 around random centers and +4.6 for compact divisions, and the posterior probability that the phase lines show more is 0.59 and 0.61, close to even. The shorter-range variation the copying model misses is a property of the basin’s assemblages, however they are divided, not of the phase lines.</w:t>
      </w:r>
    </w:p>
    <w:p>
      <w:pPr>
        <w:pStyle w:val="BodyText"/>
      </w:pPr>
      <w:r>
        <w:t xml:space="preserve">This comparison responds to restricted copying at the lines, but it does not discriminate sharply. In records simulated at the calibrated combination, with copying across the phase lines cut to 3 percent of its strength, the phase lines separate the simulated assemblages better than a median of 90 percent for same-size divisions around random centers and 74 percent for compact ones, versus 62 and 41 percent with no restriction. The real phase lines, scored the same way, beat 30 and 4 percent. The simulated distributions overlap widely (Supplemental Text, Figure S8). A score as low as the real one against random-center divisions occurs in 5 percent of records simulated without a restriction and 1 percent with the strongest (100 records per setting), and against compact divisions in 13 and 4 percent. The separation is smaller at two other diversity-matched combinations (Supplemental Text). The real score lies in the lower tail of every setting, including the unrestricted one, so it weighs moderately against a strong restriction at the calibrated combination and less at the others; it cannot exclude a weak one, and it leaves open that the copying model misdescribes how the assemblages vary. On the step in similarity, the comparison is even less informative: the real lines beat 72 and 68 percent of the alternatives, above the median without restriction (56 and 27 percent) and within the range of those with copying restricted (76 to 90 and 58 to 78 percent).</w:t>
      </w:r>
    </w:p>
    <w:p>
      <w:pPr>
        <w:pStyle w:val="BodyText"/>
      </w:pPr>
      <w:r>
        <w:t xml:space="preserve">The phase lines reflect the map’s spatial structure. Their within-group spread, 189.9 km² per assemblage, is the tightest three-way division of these assemblages at these group sizes that our search found. A search that minimizes spatial spread and is not based on type frequencies returned the phase division in exactly 156 of 1,000 random starts and found nothing tighter in any of them. The phases are the most compact way to divide the sites into spatially delineated groups of those sizes.</w:t>
      </w:r>
    </w:p>
    <w:p>
      <w:pPr>
        <w:pStyle w:val="CaptionedFigure"/>
      </w:pPr>
      <w:r>
        <w:drawing>
          <wp:inline>
            <wp:extent cx="5334000" cy="2584123"/>
            <wp:effectExtent b="0" l="0" r="0" t="0"/>
            <wp:docPr descr="Figure 3. Scale and boundaries. (A) Observed between-cluster cultural F_{ST} against the neutral copying model as the basin is divided into two through six clusters. The observed value lies inside the model’s range at two clusters and above it from three. (B) Within-group spatial spread against cultural F_{ST} for divisions with the phases’ group sizes around randomly placed centers (light) and drawn to minimize spread (dark); the star is the phase division. Differentiation is unrelated to compactness among the random divisions (Spearman -0.02) and moderately related among the compact ones (+0.45), and no division in either set is tighter than the phases. (C) The phase division’s F_{ST} (solid line) against the compact divisions is near the bottom of their range." title="" id="128" name="Picture"/>
            <a:graphic>
              <a:graphicData uri="http://schemas.openxmlformats.org/drawingml/2006/picture">
                <pic:pic>
                  <pic:nvPicPr>
                    <pic:cNvPr descr="../../figures/fig12_phase_partition.png" id="129" name="Picture"/>
                    <pic:cNvPicPr>
                      <a:picLocks noChangeArrowheads="1" noChangeAspect="1"/>
                    </pic:cNvPicPr>
                  </pic:nvPicPr>
                  <pic:blipFill>
                    <a:blip r:embed="rId127"/>
                    <a:stretch>
                      <a:fillRect/>
                    </a:stretch>
                  </pic:blipFill>
                  <pic:spPr bwMode="auto">
                    <a:xfrm>
                      <a:off x="0" y="0"/>
                      <a:ext cx="5334000" cy="258412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Scale and boundaries. (A) Observed between-cluster cultural</w:t>
      </w:r>
      <w:r>
        <w:t xml:space="preserve"> </w:t>
      </w:r>
      <m:oMath>
        <m:sSub>
          <m:e>
            <m:r>
              <m:t>F</m:t>
            </m:r>
          </m:e>
          <m:sub>
            <m:r>
              <m:t>S</m:t>
            </m:r>
            <m:r>
              <m:t>T</m:t>
            </m:r>
          </m:sub>
        </m:sSub>
      </m:oMath>
      <w:r>
        <w:t xml:space="preserve"> </w:t>
      </w:r>
      <w:r>
        <w:t xml:space="preserve">against the neutral copying model as the basin is divided into two through six clusters. The observed value lies inside the model’s range at two clusters and above it from three. (B) Within-group spatial spread against cultural</w:t>
      </w:r>
      <w:r>
        <w:t xml:space="preserve"> </w:t>
      </w:r>
      <m:oMath>
        <m:sSub>
          <m:e>
            <m:r>
              <m:t>F</m:t>
            </m:r>
          </m:e>
          <m:sub>
            <m:r>
              <m:t>S</m:t>
            </m:r>
            <m:r>
              <m:t>T</m:t>
            </m:r>
          </m:sub>
        </m:sSub>
      </m:oMath>
      <w:r>
        <w:t xml:space="preserve"> </w:t>
      </w:r>
      <w:r>
        <w:t xml:space="preserve">for divisions with the phases’ group sizes around randomly placed centers (light) and drawn to minimize spread (dark); the star is the phase division. Differentiation is unrelated to compactness among the random divisions (Spearman -0.02) and moderately related among the compact ones (+0.45), and no division in either set is tighter than the phases. (C) The phase division’s</w:t>
      </w:r>
      <w:r>
        <w:t xml:space="preserve"> </w:t>
      </w:r>
      <m:oMath>
        <m:sSub>
          <m:e>
            <m:r>
              <m:t>F</m:t>
            </m:r>
          </m:e>
          <m:sub>
            <m:r>
              <m:t>S</m:t>
            </m:r>
            <m:r>
              <m:t>T</m:t>
            </m:r>
          </m:sub>
        </m:sSub>
      </m:oMath>
      <w:r>
        <w:t xml:space="preserve"> </w:t>
      </w:r>
      <w:r>
        <w:t xml:space="preserve">(solid line) against the compact divisions is near the bottom of their range.</w:t>
      </w:r>
    </w:p>
    <w:p>
      <w:pPr>
        <w:pStyle w:val="BodyText"/>
      </w:pPr>
      <w:r>
        <w:t xml:space="preserve">At smoothing scales near the site spacing, the reconstructed phase boundaries also run through areas where composition changes slowly. These boundaries are our reconstruction, the edges of the territories built from Mainfort’s assignments as in Figure 1, not lines drawn by the original authors. Mapping the local rate at which composition changes across the basin with a 15 km bandwidth (Figure 4A), an edge between communities should appear as a ridge of fast change. The reconstructed boundaries, however, do not follow ridges. Median change along them is 0.0105 per kilometer, against 0.0124 along boundaries built the same way from 200 same-size divisions around randomly placed centers, and none of those 200 runs through slower-changing areas (Figure 4B). The ranking holds at 10 to 15 km but not at 20 to 30 km, where the reconstructed boundaries sit at the 24th to 43rd percentiles, and on this sampling geometry it discriminates weakly: a score as low as the real one occurs in 5 percent of records simulated without a restriction and 2 percent with copying across the lines cut to 3 percent (Supplemental Text). The turnover map therefore describes where composition changes and adds little independent weight against a boundary.</w:t>
      </w:r>
    </w:p>
    <w:p>
      <w:pPr>
        <w:pStyle w:val="CaptionedFigure"/>
      </w:pPr>
      <w:r>
        <w:drawing>
          <wp:inline>
            <wp:extent cx="5334000" cy="3028550"/>
            <wp:effectExtent b="0" l="0" r="0" t="0"/>
            <wp:docPr descr="Figure 4. Composition as a continuous surface. (A) The local rate of change in the ten decorated-class proportions, computed on a 220 by 220 grid with a 15 km Gaussian bandwidth and masked where fewer than two assemblages support the estimate. Circles are assemblages. (B) The same surface with reconstructed phase boundaries overlaid, with territory edges built from Mainfort’s assignments as in Figure 1. At this bandwidth, the rate of change along them is lower than along the boundaries of any of 200 same-size divisions around randomly placed centers; the ranking holds at 10 to 15 km but not at 20 to 30 km (Supplemental Text). (C) Observed cultural F_{ST} against cluster radius in kilometers, with the neutral copying model’s range behind it, from coarse to fine. The observed value lies inside the range at an 18 km radius and above it from 14 km. Below a radius of about 10 km, the clusters begin to isolate single assemblages, so the finest divisions should not be read as structure." title="" id="131" name="Picture"/>
            <a:graphic>
              <a:graphicData uri="http://schemas.openxmlformats.org/drawingml/2006/picture">
                <pic:pic>
                  <pic:nvPicPr>
                    <pic:cNvPr descr="../../figures/fig13_groupness_surface.png" id="132" name="Picture"/>
                    <pic:cNvPicPr>
                      <a:picLocks noChangeArrowheads="1" noChangeAspect="1"/>
                    </pic:cNvPicPr>
                  </pic:nvPicPr>
                  <pic:blipFill>
                    <a:blip r:embed="rId130"/>
                    <a:stretch>
                      <a:fillRect/>
                    </a:stretch>
                  </pic:blipFill>
                  <pic:spPr bwMode="auto">
                    <a:xfrm>
                      <a:off x="0" y="0"/>
                      <a:ext cx="5334000" cy="302855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Composition as a continuous surface. (A) The local rate of change in the ten decorated-class proportions, computed on a 220 by 220 grid with a 15 km Gaussian bandwidth and masked where fewer than two assemblages support the estimate. Circles are assemblages. (B) The same surface with reconstructed phase boundaries overlaid, with territory edges built from Mainfort’s assignments as in Figure 1. At this bandwidth, the rate of change along them is lower than along the boundaries of any of 200 same-size divisions around randomly placed centers; the ranking holds at 10 to 15 km but not at 20 to 30 km (Supplemental Text). (C) Observed cultural</w:t>
      </w:r>
      <w:r>
        <w:t xml:space="preserve"> </w:t>
      </w:r>
      <m:oMath>
        <m:sSub>
          <m:e>
            <m:r>
              <m:t>F</m:t>
            </m:r>
          </m:e>
          <m:sub>
            <m:r>
              <m:t>S</m:t>
            </m:r>
            <m:r>
              <m:t>T</m:t>
            </m:r>
          </m:sub>
        </m:sSub>
      </m:oMath>
      <w:r>
        <w:t xml:space="preserve"> </w:t>
      </w:r>
      <w:r>
        <w:t xml:space="preserve">against cluster radius in kilometers, with the neutral copying model’s range behind it, from coarse to fine. The observed value lies inside the range at an 18 km radius and above it from 14 km. Below a radius of about 10 km, the clusters begin to isolate single assemblages, so the finest divisions should not be read as structure.</w:t>
      </w:r>
    </w:p>
    <w:p>
      <w:pPr>
        <w:pStyle w:val="BodyText"/>
      </w:pPr>
      <w:r>
        <w:t xml:space="preserve">The site map alone can reconstruct the phases. Clustering the assemblages on their coordinates alone reproduces phase assignments exactly, with an adjusted Rand index of 1.000 (Figure 5). Adding assemblage composition as a factor actually lowers agreement at every weight, from a tenth of the coordinates’ weight up to equal weight. Divisions with the phases’ group sizes around random centers reach 0.570, which is what three groups of these sizes produce by chance alone. The three assemblages placed by territory rather than by Mainfort’s phase assignments are excluded from this score, since measuring a geographic rule against geography would be circular.</w:t>
      </w:r>
    </w:p>
    <w:p>
      <w:pPr>
        <w:pStyle w:val="CaptionedFigure"/>
      </w:pPr>
      <w:r>
        <w:drawing>
          <wp:inline>
            <wp:extent cx="3412944" cy="2730967"/>
            <wp:effectExtent b="0" l="0" r="0" t="0"/>
            <wp:docPr descr="Figure 5. 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composition transforms are shown; the text quotes the chi-square transform, the only one with no free parameter. The dash-dotted line is the agreement reached by divisions with the phases’ group sizes around random centers. Agreement is complete with the site map alone and falls as composition enters." title="" id="134" name="Picture"/>
            <a:graphic>
              <a:graphicData uri="http://schemas.openxmlformats.org/drawingml/2006/picture">
                <pic:pic>
                  <pic:nvPicPr>
                    <pic:cNvPr descr="../../figures/fig14_phase_recovery.png" id="135" name="Picture"/>
                    <pic:cNvPicPr>
                      <a:picLocks noChangeArrowheads="1" noChangeAspect="1"/>
                    </pic:cNvPicPr>
                  </pic:nvPicPr>
                  <pic:blipFill>
                    <a:blip r:embed="rId133"/>
                    <a:stretch>
                      <a:fillRect/>
                    </a:stretch>
                  </pic:blipFill>
                  <pic:spPr bwMode="auto">
                    <a:xfrm>
                      <a:off x="0" y="0"/>
                      <a:ext cx="3412944" cy="2730967"/>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What recovers the phases. Agreement with Mainfort’s phase assignments, measured by the adjusted Rand index over the 25 assemblages he assigned, as the median over 40 starting configurations, for clusterings on site coordinates and decorated-class composition as the weight on composition varies. Zero weight is the site map alone. Three composition transforms are shown; the text quotes the chi-square transform, the only one with no free parameter. The dash-dotted line is the agreement reached by divisions with the phases’ group sizes around random centers. Agreement is complete with the site map alone and falls as composition enters.</w:t>
      </w:r>
    </w:p>
    <w:p>
      <w:pPr>
        <w:pStyle w:val="BodyText"/>
      </w:pPr>
      <w:r>
        <w:t xml:space="preserve">Simulated assemblages made by copying with no groups sort into the phases as readily as the real assemblages. We ran the copying model on the real site map 300 times, sampled its type frequencies using the assemblage sherd counts, and clustered each simulated record the same way as the real one (Figure 6). The spatial patterns produced by simulated assemblages match the phases at least as well as the real assemblages do, and usually better. With a quarter weight on assemblage composition, our simulated record agrees with the phases at least as well as the real one (simulated median 1.000, real 0.607), and at equal weight, 74 percent do (median 0.765). Based on type frequencies alone, without considering assemblage location, the real record’s agreement of 0.204 sits at the simulated median of 0.176, and 46 percent of simulated records produce the spatial patterns. A culture historian sorting such ceramic assemblages by resemblance and proximity would almost certainly have found the same phases.</w:t>
      </w:r>
    </w:p>
    <w:p>
      <w:pPr>
        <w:pStyle w:val="CaptionedFigure"/>
      </w:pPr>
      <w:r>
        <w:drawing>
          <wp:inline>
            <wp:extent cx="3272267" cy="2715676"/>
            <wp:effectExtent b="0" l="0" r="0" t="0"/>
            <wp:docPr descr="Figure 6. Would a culture historian have found these phases in ceramic assemblages made by copying with no groups? Agreement with Mainfort’s phase assignments, by adjusted Rand index over the 25 assemblages he assigned, as the weight on decorated-class composition relative to site coordinates varies from the map alone to assemblage type frequencies alone. The line with markers is the real record; the band is the 95 percent range over 300 runs of the neutral copying model, which contains no groups, sampled at the real sherd counts and clustered the same way. The zero-weight point is identical by construction." title="" id="137" name="Picture"/>
            <a:graphic>
              <a:graphicData uri="http://schemas.openxmlformats.org/drawingml/2006/picture">
                <pic:pic>
                  <pic:nvPicPr>
                    <pic:cNvPr descr="../../figures/fig15_phases_under_drift.png" id="138" name="Picture"/>
                    <pic:cNvPicPr>
                      <a:picLocks noChangeArrowheads="1" noChangeAspect="1"/>
                    </pic:cNvPicPr>
                  </pic:nvPicPr>
                  <pic:blipFill>
                    <a:blip r:embed="rId136"/>
                    <a:stretch>
                      <a:fillRect/>
                    </a:stretch>
                  </pic:blipFill>
                  <pic:spPr bwMode="auto">
                    <a:xfrm>
                      <a:off x="0" y="0"/>
                      <a:ext cx="3272267" cy="2715676"/>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Would a culture historian have found these phases in ceramic assemblages made by copying with no groups? Agreement with Mainfort’s phase assignments, by adjusted Rand index over the 25 assemblages he assigned, as the weight on decorated-class composition relative to site coordinates varies from the map alone to assemblage type frequencies alone. The line with markers is the real record; the band is the 95 percent range over 300 runs of the neutral copying model, which contains no groups, sampled at the real sherd counts and clustered the same way. The zero-weight point is identical by construction.</w:t>
      </w:r>
    </w:p>
    <w:p>
      <w:pPr>
        <w:pStyle w:val="BodyText"/>
      </w:pPr>
      <w:r>
        <w:t xml:space="preserve">The lines between clumps of analyzed assemblages are not separated by areas of empty land. The settlement compilation records 83 sites with a late pre-contact component in the mapped area, and dropping the 28 within a kilometer of an analyzed assemblage leaves 55 whose positions are independent of the original locations. Measured at a 5 km scale, only 37 percent of same-size divisions around random centers and 14 percent of compact ones run through denser late-period settlement than the phase lines do (Figure 7). Of the three scales tested (3, 5, and 8 km), only at 8 km do the phase lines run through emptier country than most. The clumps the phases gather are clumps of sampled sites, not settlements separated by vacant land. Rivers partly explain settlement clumping. Late-period sites lie a median 1.8 km from a major river, against 3.6 km for random points in the same area, but points placed as close to the rivers as the sites are come out randomly spaced (Clark-Evans ratio 0.99 against the sites’ 0.63). Assemblage clumps form on particular reaches of riverways for reasons proximity alone does not explain.</w:t>
      </w:r>
    </w:p>
    <w:p>
      <w:pPr>
        <w:pStyle w:val="CaptionedFigure"/>
      </w:pPr>
      <w:r>
        <w:drawing>
          <wp:inline>
            <wp:extent cx="5238686" cy="3223336"/>
            <wp:effectExtent b="0" l="0" r="0" t="0"/>
            <wp:docPr descr="Figure 7. Do the reconstructed phase boundaries follow gaps in settlement? (A) Density of the 55 late-period sites more than 1 km from any analyzed assemblage (5 km bandwidth), with the assemblages as open circles and the reconstructed phase boundaries (territory edges built as in Figure 1) as points. (B) Median settlement density along the reconstructed phase boundaries (vertical line) against the same quantity for the boundaries of 300 divisions with the phases’ group sizes, around random centers (light) and drawn to be compact (dark)." title="" id="140" name="Picture"/>
            <a:graphic>
              <a:graphicData uri="http://schemas.openxmlformats.org/drawingml/2006/picture">
                <pic:pic>
                  <pic:nvPicPr>
                    <pic:cNvPr descr="../../figures/fig16_settlement_gaps.png" id="141" name="Picture"/>
                    <pic:cNvPicPr>
                      <a:picLocks noChangeArrowheads="1" noChangeAspect="1"/>
                    </pic:cNvPicPr>
                  </pic:nvPicPr>
                  <pic:blipFill>
                    <a:blip r:embed="rId139"/>
                    <a:stretch>
                      <a:fillRect/>
                    </a:stretch>
                  </pic:blipFill>
                  <pic:spPr bwMode="auto">
                    <a:xfrm>
                      <a:off x="0" y="0"/>
                      <a:ext cx="5238686" cy="322333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Do the reconstructed phase boundaries follow gaps in settlement? (A) Density of the 55 late-period sites more than 1 km from any analyzed assemblage (5 km bandwidth), with the assemblages as open circles and the reconstructed phase boundaries (territory edges built as in Figure 1) as points. (B) Median settlement density along the reconstructed phase boundaries (vertical line) against the same quantity for the boundaries of 300 divisions with the phases’ group sizes, around random centers (light) and drawn to be compact (dark).</w:t>
      </w:r>
    </w:p>
    <w:bookmarkEnd w:id="142"/>
    <w:bookmarkStart w:id="149" w:name="does-the-parkin-phase-stand-apart"/>
    <w:p>
      <w:pPr>
        <w:pStyle w:val="Heading3"/>
      </w:pPr>
      <w:r>
        <w:t xml:space="preserve">Does the Parkin phase stand apart?</w:t>
      </w:r>
    </w:p>
    <w:p>
      <w:pPr>
        <w:pStyle w:val="FirstParagraph"/>
      </w:pPr>
      <w:r>
        <w:t xml:space="preserve">The Parkin phase is, to the site, the northern of the two spatial clusters the site layout supports: the division of the basin into the Parkin phase and the rest is identical to the two-cluster division (adjusted Rand index 1.000). Its difference from the rest of the basin is therefore the two-cluster difference of Table 1, cultural</w:t>
      </w:r>
      <w:r>
        <w:t xml:space="preserve"> </w:t>
      </w:r>
      <m:oMath>
        <m:sSub>
          <m:e>
            <m:r>
              <m:t>F</m:t>
            </m:r>
          </m:e>
          <m:sub>
            <m:r>
              <m:t>S</m:t>
            </m:r>
            <m:r>
              <m:t>T</m:t>
            </m:r>
          </m:sub>
        </m:sSub>
      </m:oMath>
      <w:r>
        <w:t xml:space="preserve"> </w:t>
      </w:r>
      <w:r>
        <w:t xml:space="preserve">0.0062, which the copying model reaches in 13 percent of runs at the most favorable combination and 4 to 16 percent across the six. Of all the divisions tested, the one that sets the Parkin phase apart is the one the copying model reproduces most easily, partly because a division into two large groups yields a smaller</w:t>
      </w:r>
      <w:r>
        <w:t xml:space="preserve"> </w:t>
      </w:r>
      <m:oMath>
        <m:sSub>
          <m:e>
            <m:r>
              <m:t>F</m:t>
            </m:r>
          </m:e>
          <m:sub>
            <m:r>
              <m:t>S</m:t>
            </m:r>
            <m:r>
              <m:t>T</m:t>
            </m:r>
          </m:sub>
        </m:sSub>
      </m:oMath>
      <w:r>
        <w:t xml:space="preserve">.</w:t>
      </w:r>
    </w:p>
    <w:p>
      <w:pPr>
        <w:pStyle w:val="BodyText"/>
      </w:pPr>
      <w:r>
        <w:t xml:space="preserve">Alternative divisions also separate the assemblages. With uncertainty in the counts carried through, the Parkin-versus-rest</w:t>
      </w:r>
      <w:r>
        <w:t xml:space="preserve"> </w:t>
      </w:r>
      <m:oMath>
        <m:sSub>
          <m:e>
            <m:r>
              <m:t>F</m:t>
            </m:r>
          </m:e>
          <m:sub>
            <m:r>
              <m:t>S</m:t>
            </m:r>
            <m:r>
              <m:t>T</m:t>
            </m:r>
          </m:sub>
        </m:sSub>
      </m:oMath>
      <w:r>
        <w:t xml:space="preserve"> </w:t>
      </w:r>
      <w:r>
        <w:t xml:space="preserve">has a posterior median of 0.0061 (95 percent credible interval 0.0051 to 0.0074), compared with 0.0064 for same-size divisions around random centers and 0.0076 for compact ones. The posterior probability that the Parkin line separates the assemblages better is 0.27 against divisions around random centers and 0.00025 against compact ones, the second from 10 favorable comparisons among 40,000. The step in similarity across the Parkin line, a boundary excess of +13.7, exceeds what copying alone produces (simulated median +0.5, 95 percent range -6.5 to +7.5; none of 300 runs reaches it), but it is the same shorter-range variation seen at arbitrary lines drawn across this map. Around random centers, the median is +10.7 and the posterior probability that the Parkin line shows more is 0.53; for compact divisions, the median is +15.1, and the probability is 0.05. The assemblage composition sets the Parkin phase apart from its neighbors no more than it sets apart any comparably sized piece of the basin. This comparison has little power for a single line, however. In simulations with copying across the Parkin phase’s edge cut to 3 percent, the Parkin line beats a median 72 percent of random-center divisions, against 64 percent with no restriction, and a score as low as the real one (28 percent) occurs in 10 and 16 percent of simulated records. The record therefore cannot exclude restricted copying at the edge of the Parkin phase. However, the assemblage composition shows nothing that requires it.</w:t>
      </w:r>
    </w:p>
    <w:p>
      <w:pPr>
        <w:pStyle w:val="BodyText"/>
      </w:pPr>
      <w:r>
        <w:t xml:space="preserve">Two further descriptions of the basin place Parkin in context, although neither tests it. Deterministic seriation of the basin assemblages returns 34 maximal co-seriable groups at a continuity threshold of 0.1, none larger than four assemblages, and 18 of the 28 assemblages belong to more than one (Figure 8). Overlapping orderings of this kind are what a continuous field too varied to fit one ordering would produce, but the recovery experiment showed that seriation structure cannot detect imposed groups at this resolution, and we have not validated the overlap statistic separately, so the overlap is consistent with the absence of closure rather than evidence against it. Parkin belongs to three groups, a bridge between orderings but not the most connected one: Barton Ranch, Rose Mound, and Williamson each belong to six. Lipo, Madsen, and Dunnell</w:t>
      </w:r>
      <w:r>
        <w:t xml:space="preserve"> </w:t>
      </w:r>
      <w:r>
        <w:t xml:space="preserve">(2015)</w:t>
      </w:r>
      <w:r>
        <w:t xml:space="preserve"> </w:t>
      </w:r>
      <w:r>
        <w:t xml:space="preserve">found the same position and read it as a possible sign of emerging hierarchy.</w:t>
      </w:r>
    </w:p>
    <w:p>
      <w:pPr>
        <w:pStyle w:val="CaptionedFigure"/>
      </w:pPr>
      <w:r>
        <w:drawing>
          <wp:inline>
            <wp:extent cx="5334000" cy="3603744"/>
            <wp:effectExtent b="0" l="0" r="0" t="0"/>
            <wp:docPr descr="Figure 8. 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he overlap statistic is descriptive; it has not been validated as a detector of closure (Supplemental Text)." title="" id="144" name="Picture"/>
            <a:graphic>
              <a:graphicData uri="http://schemas.openxmlformats.org/drawingml/2006/picture">
                <pic:pic>
                  <pic:nvPicPr>
                    <pic:cNvPr descr="../../figures/fig7_idss_structure.png" id="145" name="Picture"/>
                    <pic:cNvPicPr>
                      <a:picLocks noChangeArrowheads="1" noChangeAspect="1"/>
                    </pic:cNvPicPr>
                  </pic:nvPicPr>
                  <pic:blipFill>
                    <a:blip r:embed="rId143"/>
                    <a:stretch>
                      <a:fillRect/>
                    </a:stretch>
                  </pic:blipFill>
                  <pic:spPr bwMode="auto">
                    <a:xfrm>
                      <a:off x="0" y="0"/>
                      <a:ext cx="5334000" cy="3603744"/>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Deterministic seriation structure of the basin assemblages. Left: the distribution of co-seriable group sizes, a fragmented structure of 34 maximal groups with a maximum size of four. Right: the most connected assemblages ranked by the number of groups they belong to, with Parkin highlighted as a bridge (member of three groups) between orderings rather than at the center of one. The overlap statistic is descriptive; it has not been validated as a detector of closure (Supplemental Text).</w:t>
      </w:r>
    </w:p>
    <w:p>
      <w:pPr>
        <w:pStyle w:val="BodyText"/>
      </w:pPr>
      <w:r>
        <w:t xml:space="preserve">The settlement record is the second description. Parkin’s principal mound is a flat-topped platform 6.5 m (21.3 ft) high on the western edge of the site, overlooking the St. Francis River, with six smaller mounds near it; the site covers 17 acres (6.9 ha), is ditched on three sides, and its deposits rise 3 m above the floodplain</w:t>
      </w:r>
      <w:r>
        <w:t xml:space="preserve"> </w:t>
      </w:r>
      <w:r>
        <w:t xml:space="preserve">(Morse 1981, 1990)</w:t>
      </w:r>
      <w:r>
        <w:t xml:space="preserve">. Its mound is the second tallest of the 55 basin sites with a recorded height, behind one at 23 ft, and the tallest exceeds the second by a ratio of only 1.08 (Figure 9). Parkin’s height comes from excavation reports, whereas the others come from a regional compilation without per-site sources, so the series mixes measurement sources. Mound heights form a graded series with no gap at the top. Maximum mound height is a limited proxy for political rank: it records the final size of one construction, not the organization that built it, and a graded series fits more than one form of ranking, so it describes the settlement record without testing for an administrative tier. Regional evidence on the chert-hoe economy is similar: autonomous workshops made Mill Creek hoes at the source and moved them largely down the line, with elites at consuming centers gaining at most privileged access</w:t>
      </w:r>
      <w:r>
        <w:t xml:space="preserve"> </w:t>
      </w:r>
      <w:r>
        <w:t xml:space="preserve">(Cobb 2000:75, 154, 198)</w:t>
      </w:r>
      <w:r>
        <w:t xml:space="preserve">. That evidence is not basin-specific and cannot test Parkin’s position locally.</w:t>
      </w:r>
    </w:p>
    <w:p>
      <w:pPr>
        <w:pStyle w:val="CaptionedFigure"/>
      </w:pPr>
      <w:r>
        <w:drawing>
          <wp:inline>
            <wp:extent cx="5334000" cy="3332419"/>
            <wp:effectExtent b="0" l="0" r="0" t="0"/>
            <wp:docPr descr="Figure 9. Settlement cross-check. Main panel: maximum mound height ranked across the basin, the one size attribute the regional compilation records for most sites, from sources that are not uniform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Inset: the proportion of sites with a mound, a defensive ditch, and St. Francis-type fortification across the basin set (n = 92)." title="" id="147" name="Picture"/>
            <a:graphic>
              <a:graphicData uri="http://schemas.openxmlformats.org/drawingml/2006/picture">
                <pic:pic>
                  <pic:nvPicPr>
                    <pic:cNvPr descr="../../figures/fig8_ranksize.png" id="148" name="Picture"/>
                    <pic:cNvPicPr>
                      <a:picLocks noChangeArrowheads="1" noChangeAspect="1"/>
                    </pic:cNvPicPr>
                  </pic:nvPicPr>
                  <pic:blipFill>
                    <a:blip r:embed="rId146"/>
                    <a:stretch>
                      <a:fillRect/>
                    </a:stretch>
                  </pic:blipFill>
                  <pic:spPr bwMode="auto">
                    <a:xfrm>
                      <a:off x="0" y="0"/>
                      <a:ext cx="5334000" cy="3332419"/>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Settlement cross-check. Main panel: maximum mound height ranked across the basin, the one size attribute the regional compilation records for most sites, from sources that are not uniform (mound area is recorded as zero for Parkin and is not used). Parkin’s principal mound is 21.3 ft (6.5 m) after Morse (1981, 1990), second among the 55 basin sites with a recorded height; the compilation otherwise used gives Parkin 23 ft, and we substitute the excavated value. The distribution is graded, with no gap at the top (tallest-to-second ratio 1.08). Inset: the proportion of sites with a mound, a defensive ditch, and St. Francis-type fortification across the basin set (n = 92).</w:t>
      </w:r>
    </w:p>
    <w:bookmarkEnd w:id="149"/>
    <w:bookmarkStart w:id="153" w:name="Xce48efa02f9f01a7c86a1a47c6ec564e4606c3d"/>
    <w:p>
      <w:pPr>
        <w:pStyle w:val="Heading3"/>
      </w:pPr>
      <w:r>
        <w:t xml:space="preserve">The contrast case: phases redrawn from the assemblages</w:t>
      </w:r>
    </w:p>
    <w:p>
      <w:pPr>
        <w:pStyle w:val="FirstParagraph"/>
      </w:pPr>
      <w:r>
        <w:t xml:space="preserve">Mainfort</w:t>
      </w:r>
      <w:r>
        <w:t xml:space="preserve"> </w:t>
      </w:r>
      <w:r>
        <w:t xml:space="preserve">(2003)</w:t>
      </w:r>
      <w:r>
        <w:t xml:space="preserve"> </w:t>
      </w:r>
      <w:r>
        <w:t xml:space="preserve">redrew the phase lines through much the same sites using an ordination approach. He adopted Smith’s</w:t>
      </w:r>
      <w:r>
        <w:t xml:space="preserve"> </w:t>
      </w:r>
      <w:r>
        <w:t xml:space="preserve">(1990)</w:t>
      </w:r>
      <w:r>
        <w:t xml:space="preserve"> </w:t>
      </w:r>
      <w:r>
        <w:t xml:space="preserve">Horseshoe Lake phase, which gathers Beck, Belle Meade, Mound Place, and Young</w:t>
      </w:r>
      <w:r>
        <w:t xml:space="preserve"> </w:t>
      </w:r>
      <w:r>
        <w:t xml:space="preserve">(Mainfort 2003:177)</w:t>
      </w:r>
      <w:r>
        <w:t xml:space="preserve">, and his table also places Hollywood and Commerce in Kent rather than Walls, Castile Landing in Parkin rather than Kent, and Carson Lake in Walls rather than Nodena, although his text treats Carson Lake as a Nodena site</w:t>
      </w:r>
      <w:r>
        <w:t xml:space="preserve"> </w:t>
      </w:r>
      <w:r>
        <w:t xml:space="preserve">(Mainfort 2003:176–181)</w:t>
      </w:r>
      <w:r>
        <w:t xml:space="preserve">. His scheme is our contrast case.</w:t>
      </w:r>
    </w:p>
    <w:p>
      <w:pPr>
        <w:pStyle w:val="BodyText"/>
      </w:pPr>
      <w:r>
        <w:t xml:space="preserve">We ran the phase-line tests on Mainfort’s own counts, using decorated types only and his assignments, with a minimum of 100 decorated sherds. The resulting 29 sites fall in five phases: Kent with 9 sites, Parkin with 7, Walls with 6, Horseshoe Lake with 4, and Jones Bayou with 3 (Figure 10). His table overlaps ours at 21 sites, so this is a second tally of largely the same material rather than an independent record.</w:t>
      </w:r>
    </w:p>
    <w:p>
      <w:pPr>
        <w:pStyle w:val="BodyText"/>
      </w:pPr>
      <w:r>
        <w:t xml:space="preserve">Location again carries much of the scheme. The site map alone produces the phases as indicated by Mainfort’s assignments, with an adjusted Rand index of 0.54; assemblage-type frequencies alone, 0.25; and same-size divisions around random centers, 0.31. Mainfort’s phase delineation, however, separates the assemblages better than the earlier scheme. The between-group</w:t>
      </w:r>
      <w:r>
        <w:t xml:space="preserve"> </w:t>
      </w:r>
      <m:oMath>
        <m:sSub>
          <m:e>
            <m:r>
              <m:t>F</m:t>
            </m:r>
          </m:e>
          <m:sub>
            <m:r>
              <m:t>S</m:t>
            </m:r>
            <m:r>
              <m:t>T</m:t>
            </m:r>
          </m:sub>
        </m:sSub>
      </m:oMath>
      <w:r>
        <w:t xml:space="preserve"> </w:t>
      </w:r>
      <w:r>
        <w:t xml:space="preserve">under his phases has a posterior median of 0.046 (95 percent credible interval 0.041 to 0.051), against 0.030 for same-size divisions around random centers and 0.032 for compact ones, and the posterior probability that his delineations separate the assemblages better than such a division is 0.96 and 0.94. The compactness search never produces his groups, and giving composition half the weight of the coordinates raises the agreement with his scheme to 0.66, above the map alone. At six of the seven sites where the two schemes differ, the assemblage data align better with Mainfort’s assignment, usually by a wide margin. The Young site, however, is the exception (Supplemental Text).</w:t>
      </w:r>
    </w:p>
    <w:p>
      <w:pPr>
        <w:pStyle w:val="BodyText"/>
      </w:pPr>
      <w:r>
        <w:t xml:space="preserve">The two schemes behave as their origins predict. The inherited lines divide the map, whereas Mainfort’s lines fall where the assemblages differ. The two schemes also disagree about where the boundaries are, which bounded groups would not produce. The contrast neither shows that Mainfort’s phases are bounded groups nor independently validates the comparison, since location still recovers much of his scheme and his lines separate the assemblages in part because the assemblages drew them. What the contrast shows is that phase lines follow the assemblages when the assemblage type frequencies draw them, and that the inherited scheme was not drawn that way.</w:t>
      </w:r>
    </w:p>
    <w:p>
      <w:pPr>
        <w:pStyle w:val="CaptionedFigure"/>
      </w:pPr>
      <w:r>
        <w:drawing>
          <wp:inline>
            <wp:extent cx="5334000" cy="2684917"/>
            <wp:effectExtent b="0" l="0" r="0" t="0"/>
            <wp:docPr descr="Figure 10. The contrast case: the phase tests on Mainfort’s (2003) table, under his phases. (A) Agreement with his assignments, by adjusted Rand index over the 29 sites with at least 100 decorated sherds, for clusterings on site coordinates and decorated-class composition as the weight on composition varies from the map alone to assemblage composition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 title="" id="151" name="Picture"/>
            <a:graphic>
              <a:graphicData uri="http://schemas.openxmlformats.org/drawingml/2006/picture">
                <pic:pic>
                  <pic:nvPicPr>
                    <pic:cNvPr descr="../../figures/fig17_mainfort_replication.png" id="152" name="Picture"/>
                    <pic:cNvPicPr>
                      <a:picLocks noChangeArrowheads="1" noChangeAspect="1"/>
                    </pic:cNvPicPr>
                  </pic:nvPicPr>
                  <pic:blipFill>
                    <a:blip r:embed="rId150"/>
                    <a:stretch>
                      <a:fillRect/>
                    </a:stretch>
                  </pic:blipFill>
                  <pic:spPr bwMode="auto">
                    <a:xfrm>
                      <a:off x="0" y="0"/>
                      <a:ext cx="5334000" cy="2684917"/>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The contrast case: the phase tests on Mainfort’s (2003) table, under his phases. (A) Agreement with his assignments, by adjusted Rand index over the 29 sites with at least 100 decorated sherds, for clusterings on site coordinates and decorated-class composition as the weight on composition varies from the map alone to assemblage composition alone; the band is the range over 40 starting configurations, and the dash-dotted line is the agreement reached by same-size divisions around random centers. (B) For the sites the two schemes assign differently, the chi-square distance from the site’s profile to the pooled profile of the phase Mainfort assigned (dark) and of the phase in Figure 1 (light), with the site itself left out of both.</w:t>
      </w:r>
    </w:p>
    <w:bookmarkEnd w:id="153"/>
    <w:bookmarkEnd w:id="154"/>
    <w:bookmarkStart w:id="159" w:name="discussion"/>
    <w:p>
      <w:pPr>
        <w:pStyle w:val="Heading2"/>
      </w:pPr>
      <w:r>
        <w:t xml:space="preserve">Discussion</w:t>
      </w:r>
    </w:p>
    <w:bookmarkStart w:id="155" w:name="what-explains-the-phases"/>
    <w:p>
      <w:pPr>
        <w:pStyle w:val="Heading3"/>
      </w:pPr>
      <w:r>
        <w:t xml:space="preserve">What explains the phases</w:t>
      </w:r>
    </w:p>
    <w:p>
      <w:pPr>
        <w:pStyle w:val="FirstParagraph"/>
      </w:pPr>
      <w:r>
        <w:t xml:space="preserve">The results bear on three different kinds of claim, and they support each to varying degrees. The first is descriptive adequacy: a smooth surface over the map describes the variation among assemblages well, and calibrated copying with no groups reproduces the fade of similarity with distance and the two-cluster difference. The second is mechanism. Spatially structured copying is sufficient to produce the inherited scheme: the site map alone reproduces the phase assignments, and assemblages copied without groups sort into the same phases. Sufficiency does not identify the historical mechanism, and the finer-scale variation discussed below is explained only in part. The third is boundary evidence, whether the phase lines mark restrictions on copying. Here the result is negative but bounded. Alternative spatial divisions of the same sites capture as much or more of the ceramic differentiation than the phase lines do. In simulation at the calibrated combination, a restriction that cuts copying at the lines to a small fraction of its strength usually reverses that ordering, but the real score is also uncommon without any restriction, and the separation is smaller at other combinations, so the comparison weighs moderately against a strong restriction and cannot exclude a weak one.</w:t>
      </w:r>
    </w:p>
    <w:p>
      <w:pPr>
        <w:pStyle w:val="BodyText"/>
      </w:pPr>
      <w:r>
        <w:t xml:space="preserve">The culture historians who drew the phases were responding to something real, a gradient in style sampled at clumped settlements. The assemblages give no evidence that the lines they drew also marked the edges of bounded learning.</w:t>
      </w:r>
    </w:p>
    <w:p>
      <w:pPr>
        <w:pStyle w:val="BodyText"/>
      </w:pPr>
      <w:r>
        <w:t xml:space="preserve">This accounts for the pattern Mainfort</w:t>
      </w:r>
      <w:r>
        <w:t xml:space="preserve"> </w:t>
      </w:r>
      <w:r>
        <w:t xml:space="preserve">(2003:180)</w:t>
      </w:r>
      <w:r>
        <w:t xml:space="preserve"> </w:t>
      </w:r>
      <w:r>
        <w:t xml:space="preserve">reported but could not explain: phase members lying</w:t>
      </w:r>
      <w:r>
        <w:t xml:space="preserve"> </w:t>
      </w:r>
      <w:r>
        <w:t xml:space="preserve">“in the general vicinity of each other in ordination space”</w:t>
      </w:r>
      <w:r>
        <w:t xml:space="preserve"> </w:t>
      </w:r>
      <w:r>
        <w:t xml:space="preserve">while forming no groups. Nearness in an ordination is nearness on the ground, seen through the assemblages. His own redrawn phases make the same point from the other side: drawn after the ordination, they sit where the assemblages differ and no longer form the map’s tightest division. The two schemes are one gradient viewed in two ways, once by proximity and once by the assemblages. The redrawn scheme also shows that the same tests can favor a set of phase lines, so the inherited scheme’s failure is not built into them. A phase also folds time into space. McNutt, Franklin, and Henry</w:t>
      </w:r>
      <w:r>
        <w:t xml:space="preserve"> </w:t>
      </w:r>
      <w:r>
        <w:t xml:space="preserve">(2012:247)</w:t>
      </w:r>
      <w:r>
        <w:t xml:space="preserve"> </w:t>
      </w:r>
      <w:r>
        <w:t xml:space="preserve">describe the Walls phase as</w:t>
      </w:r>
      <w:r>
        <w:t xml:space="preserve"> </w:t>
      </w:r>
      <w:r>
        <w:t xml:space="preserve">“a developmental lineage”</w:t>
      </w:r>
      <w:r>
        <w:t xml:space="preserve"> </w:t>
      </w:r>
      <w:r>
        <w:t xml:space="preserve">spanning roughly two centuries, so the members of a phase need not even be contemporaneous. The interpretation is not new to the regional literature. McNutt</w:t>
      </w:r>
      <w:r>
        <w:t xml:space="preserve"> </w:t>
      </w:r>
      <w:r>
        <w:t xml:space="preserve">(1996:250)</w:t>
      </w:r>
      <w:r>
        <w:t xml:space="preserve"> </w:t>
      </w:r>
      <w:r>
        <w:t xml:space="preserve">wrote of the southern phases, Walls, Horseshoe Lake, Kent, and Parchman among them, that</w:t>
      </w:r>
      <w:r>
        <w:t xml:space="preserve"> </w:t>
      </w:r>
      <w:r>
        <w:t xml:space="preserve">“the distinctions that one tries so desperately to make between the phases involved are little more than comments on local elaborations—ceramic drift, if you will—of the basic pottery complexes possessed by peoples involved in this expansion.”</w:t>
      </w:r>
      <w:r>
        <w:t xml:space="preserve"> </w:t>
      </w:r>
      <w:r>
        <w:t xml:space="preserve">The comparison adds a mechanism shown to be sufficient, and tests whether the Parkin, Kent, and Walls phase lines behave as edges of bounded learning.</w:t>
      </w:r>
    </w:p>
    <w:p>
      <w:pPr>
        <w:pStyle w:val="BodyText"/>
      </w:pPr>
      <w:r>
        <w:t xml:space="preserve">The assemblages carry one property the calibrated copying model does not produce. They vary over shorter distances than calibrated copying would, so divisions into three or more groups differ more than the model predicts, and every line drawn across the map shows a step in similarity. That variation is not organized by the phase lines or centered on Parkin, and it remains incompletely explained. New styles arising somewhat locally, with copying that falls off over a few kilometers, both make the observed differences more common in simulation while keeping the record’s diversity matched (Table 2). Both are still neutral copying, and both are themselves geographic, but we treat them as mechanisms the record is consistent with rather than ones it demonstrates. Part of the variation may also be chronological, a matter of age that an order derived from the same frequencies cannot separate from place.</w:t>
      </w:r>
    </w:p>
    <w:bookmarkEnd w:id="155"/>
    <w:bookmarkStart w:id="156" w:name="parkin-and-the-polity"/>
    <w:p>
      <w:pPr>
        <w:pStyle w:val="Heading3"/>
      </w:pPr>
      <w:r>
        <w:t xml:space="preserve">Parkin and the polity</w:t>
      </w:r>
    </w:p>
    <w:p>
      <w:pPr>
        <w:pStyle w:val="FirstParagraph"/>
      </w:pPr>
      <w:r>
        <w:t xml:space="preserve">Parkin was the basin’s largest town and had one of its tallest mounds, and its prominence was real. The decorated-type frequencies, however, do not show a boundary in ceramic learning at the edge of the Parkin phase. The phase is the northern of the two clusters the regional map supports. Its difference from the rest of the basin is the one the copying model reproduces most easily, and alternative divisions separate the assemblages as well as its boundary does. Because a single line gives these comparisons little power, restricted copying at the phase’s edge cannot be excluded, but nothing in the frequencies requires it.</w:t>
      </w:r>
    </w:p>
    <w:p>
      <w:pPr>
        <w:pStyle w:val="BodyText"/>
      </w:pPr>
      <w:r>
        <w:t xml:space="preserve">The arguments usually offered for a Parkin polity do not supply the missing signal. The argument that Parkin, on poor soil, must have drawn tribute from productive neighbors</w:t>
      </w:r>
      <w:r>
        <w:t xml:space="preserve"> </w:t>
      </w:r>
      <w:r>
        <w:t xml:space="preserve">(Phyllis A. Morse 1990:124)</w:t>
      </w:r>
      <w:r>
        <w:t xml:space="preserve"> </w:t>
      </w:r>
      <w:r>
        <w:t xml:space="preserve">assumes the tribute it concludes, and Morse</w:t>
      </w:r>
      <w:r>
        <w:t xml:space="preserve"> </w:t>
      </w:r>
      <w:r>
        <w:t xml:space="preserve">(1990:123)</w:t>
      </w:r>
      <w:r>
        <w:t xml:space="preserve"> </w:t>
      </w:r>
      <w:r>
        <w:t xml:space="preserve">also notes that Parkin’s position below the confluence of the St. Francis and Tyronza gave it control of river travel, which accounts for its prominence as well as extraction does. Skeletal evidence that people at a mound center ate better than people at a nearby village comes from Hollywood, one of the assemblages analyzed here. Compared with a village of fourteen individuals</w:t>
      </w:r>
      <w:r>
        <w:t xml:space="preserve"> </w:t>
      </w:r>
      <w:r>
        <w:t xml:space="preserve">(Ross-Stallings 2017)</w:t>
      </w:r>
      <w:r>
        <w:t xml:space="preserve">, a health difference between two sites need not arise from an extractive hierarchy. The region’s own history also offers a precedent for separating polity from a ceramically defined phase. Coosa, the best-documented Mississippian paramountcy, spanned two ceramic traditions and site clusters that were separable at the phase level, and political affiliation rather than shared decoration bound them together</w:t>
      </w:r>
      <w:r>
        <w:t xml:space="preserve"> </w:t>
      </w:r>
      <w:r>
        <w:t xml:space="preserve">(Anderson 1996:250–251)</w:t>
      </w:r>
      <w:r>
        <w:t xml:space="preserve">. A polity need not coincide with a phase, and the reverse inference, from one phase to one polity, has no warrant on its own. If the polity the De Soto expedition met was at Parkin, the evidence for it lies in ceremony, fortification, and settlement size. The decorated pottery is silent on it rather than evidence against it.</w:t>
      </w:r>
    </w:p>
    <w:bookmarkEnd w:id="156"/>
    <w:bookmarkStart w:id="157" w:name="limits"/>
    <w:p>
      <w:pPr>
        <w:pStyle w:val="Heading3"/>
      </w:pPr>
      <w:r>
        <w:t xml:space="preserve">Limits</w:t>
      </w:r>
    </w:p>
    <w:p>
      <w:pPr>
        <w:pStyle w:val="FirstParagraph"/>
      </w:pPr>
      <w:r>
        <w:t xml:space="preserve">Four limits bound these conclusions. The first is resolution. On a record of this size, only cultural</w:t>
      </w:r>
      <w:r>
        <w:t xml:space="preserve"> </w:t>
      </w:r>
      <m:oMath>
        <m:sSub>
          <m:e>
            <m:r>
              <m:t>F</m:t>
            </m:r>
          </m:e>
          <m:sub>
            <m:r>
              <m:t>S</m:t>
            </m:r>
            <m:r>
              <m:t>T</m:t>
            </m:r>
          </m:sub>
        </m:sSub>
      </m:oMath>
      <w:r>
        <w:t xml:space="preserve"> </w:t>
      </w:r>
      <w:r>
        <w:t xml:space="preserve">can detect groups, and only groups that follow geography closely enough to be captured by spatial divisions; social divisions that cut across the map could raise</w:t>
      </w:r>
      <w:r>
        <w:t xml:space="preserve"> </w:t>
      </w:r>
      <m:oMath>
        <m:sSub>
          <m:e>
            <m:r>
              <m:t>F</m:t>
            </m:r>
          </m:e>
          <m:sub>
            <m:r>
              <m:t>S</m:t>
            </m:r>
            <m:r>
              <m:t>T</m:t>
            </m:r>
          </m:sub>
        </m:sSub>
      </m:oMath>
      <w:r>
        <w:t xml:space="preserve"> </w:t>
      </w:r>
      <w:r>
        <w:t xml:space="preserve">at spatial divisions without being identified as groups, and closure carried purely by conformity within one pool would escape detection (Supplemental Text). The second is chronology. Radiocarbon dates match only four assemblages, and the seriation axis follows latitude more closely than age. The phase-line tests do not depend on it, and the copying-model comparison gives nearly the same answer when all assemblages are treated as contemporaneous, but the record cannot say whether any difference grew through time; within its limits, it shows none (Supplemental Text). The third is time-averaging, which damps differences between assemblages</w:t>
      </w:r>
      <w:r>
        <w:t xml:space="preserve"> </w:t>
      </w:r>
      <w:r>
        <w:t xml:space="preserve">(Kidwell and Tomašových 2013; Perreault 2018; Tomašových and Kidwell 2009; Youngblood et al. 2023)</w:t>
      </w:r>
      <w:r>
        <w:t xml:space="preserve">. We built it into the copying model, so its cost is already in the reported ranges. The fourth is the copying model itself. Which combination is most favorable to it depends on the random seeds used to rank them, so we report the key comparisons across six (Table 1). The model distinguishes a copying boundary at the phase lines from new styles arising locally only weakly, so the conclusion about the phases rests on how their lines compare with other divisions of the map and what could have drawn them, rather than on the model’s failure to find restricted copying.</w:t>
      </w:r>
    </w:p>
    <w:bookmarkEnd w:id="157"/>
    <w:bookmarkStart w:id="158" w:name="X58aa97846e4267ccd885b870dbd88e44a706276"/>
    <w:p>
      <w:pPr>
        <w:pStyle w:val="Heading3"/>
      </w:pPr>
      <w:r>
        <w:t xml:space="preserve">What this approach contributes to the study of social units</w:t>
      </w:r>
    </w:p>
    <w:p>
      <w:pPr>
        <w:pStyle w:val="FirstParagraph"/>
      </w:pPr>
      <w:r>
        <w:t xml:space="preserve">Our approach rests on two requirements that apply beyond this case. Before treating a similarity pattern as the result of differential social interaction, the record must be shown to detect a social boundary. Here, we show that</w:t>
      </w:r>
      <w:r>
        <w:t xml:space="preserve"> </w:t>
      </w:r>
      <m:oMath>
        <m:sSub>
          <m:e>
            <m:r>
              <m:t>F</m:t>
            </m:r>
          </m:e>
          <m:sub>
            <m:r>
              <m:t>S</m:t>
            </m:r>
            <m:r>
              <m:t>T</m:t>
            </m:r>
          </m:sub>
        </m:sSub>
      </m:oMath>
      <w:r>
        <w:t xml:space="preserve"> </w:t>
      </w:r>
      <w:r>
        <w:t xml:space="preserve">is the one measure of four that can do this with assemblage-scale data that includes time aggregation. Before a model of copying with no groups is credited with reproducing a record, it must be shown to fit that record’s own diversity. The second requirement changed our own results: calibrated, the model is narrower than an uncalibrated one and shows the shorter-range variation it misses. A model that is run at the wrong diversity is easily credited with structure it cannot produce, just as a localized neutral process is easily mistaken for biased copying when diversity is taken at face value</w:t>
      </w:r>
      <w:r>
        <w:t xml:space="preserve"> </w:t>
      </w:r>
      <w:r>
        <w:t xml:space="preserve">(Premo 2016; Premo and Scholnick 2011; Schneider et al. 2016)</w:t>
      </w:r>
      <w:r>
        <w:t xml:space="preserve">. Our approach also asks a question ordination alone cannot. We ask not whether the phases separate, but whether their delineations separate the assemblages better than other lines drawn across the same map. These are standards of measurement for an evolutionary archaeology that has long been clearer about what evolves than about how to measure it</w:t>
      </w:r>
      <w:r>
        <w:t xml:space="preserve"> </w:t>
      </w:r>
      <w:r>
        <w:t xml:space="preserve">(Dunnell 1995; Lipo et al. 2015; Neiman 1995)</w:t>
      </w:r>
      <w:r>
        <w:t xml:space="preserve">.</w:t>
      </w:r>
    </w:p>
    <w:p>
      <w:pPr>
        <w:pStyle w:val="BodyText"/>
      </w:pPr>
      <w:r>
        <w:t xml:space="preserve">For the St. Francis Basin assemblages, the shorter-range variation and Parkin’s role would be better tested with stratified, excavated assemblages with independent radiocarbon dates, compositional and petrographic evidence for where assemblages were made, and exchange, mortuary, and dietary records</w:t>
      </w:r>
      <w:r>
        <w:t xml:space="preserve"> </w:t>
      </w:r>
      <w:r>
        <w:t xml:space="preserve">(Cobb 2000; Ross-Stallings 2017)</w:t>
      </w:r>
      <w:r>
        <w:t xml:space="preserve">.</w:t>
      </w:r>
    </w:p>
    <w:bookmarkEnd w:id="158"/>
    <w:bookmarkEnd w:id="159"/>
    <w:bookmarkStart w:id="160" w:name="conclusion"/>
    <w:p>
      <w:pPr>
        <w:pStyle w:val="Heading2"/>
      </w:pPr>
      <w:r>
        <w:t xml:space="preserve">Conclusion</w:t>
      </w:r>
    </w:p>
    <w:p>
      <w:pPr>
        <w:pStyle w:val="FirstParagraph"/>
      </w:pPr>
      <w:r>
        <w:t xml:space="preserve">The phase is the unit on which Lower Mississippi Valley culture history is built, and it often carries an unstated claim: that assemblages grouped by seriation and proximity record a community, and at Parkin, a polity. Earlier work showed that the phases do not separate cleanly. This paper tests whether the inherited phases of the St. Francis basin coincide with restrictions on the copying of decorated pottery, and offers an explanation for their apparent organization. The inherited phases do not uniquely capture the basin’s decorated-ceramic differentiation. A regional map of deposit locations alone recovers them. Alternative spatial divisions of the same sites capture as much or more of the differentiation, and pottery made by copying with no groups sorts into the same phases. Phases redrawn from an ordination of the assemblages behave differently, following the pottery rather than the map, which is the contrast this explanation predicts. Spatially structured copying, sampled at clumped settlements and sorted by resemblance and proximity, is therefore a sufficient and plausible account of how the phases came to look like groups.</w:t>
      </w:r>
    </w:p>
    <w:p>
      <w:pPr>
        <w:pStyle w:val="BodyText"/>
      </w:pPr>
      <w:r>
        <w:t xml:space="preserve">These results weaken the use of phase membership alone as evidence of bounded ceramic interaction communities. They do not exclude a Parkin polity, whose political boundaries need not have followed ceramic traditions, nor weak restrictions on copying at the phase lines, and the additional variation at finer scales remains incompletely explained. Before a phase is interpreted as a bounded community, its frequencies should show what copying across distance does not produce, and its lines should separate the assemblages better than other lines drawn across the same map.</w:t>
      </w:r>
    </w:p>
    <w:bookmarkEnd w:id="160"/>
    <w:bookmarkStart w:id="161"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Upon publication, we will release a versioned snapshot of the repository at https://doi.org/10.5281/zenodo.20796240. The repository includes decorated-ceramic class counts, georeferencing and radiocarbon data, the full analysis procedure, and instructions for reproducing all results and figures. The neutral copying model is implemented in</w:t>
      </w:r>
      <w:r>
        <w:t xml:space="preserve"> </w:t>
      </w:r>
      <w:r>
        <w:rPr>
          <w:rStyle w:val="VerbatimChar"/>
        </w:rPr>
        <w:t xml:space="preserve">src/mls_emergence/transmission/spatial.py</w:t>
      </w:r>
      <w:r>
        <w:t xml:space="preserve"> </w:t>
      </w:r>
      <w:r>
        <w:t xml:space="preserve">and analyses 47 and 50, which write every simulation, the calibration series, and a configuration fingerprint. The code is released under the MIT License, and the data under a Creative Commons Attribution 4.0 International license.</w:t>
      </w:r>
    </w:p>
    <w:bookmarkEnd w:id="161"/>
    <w:bookmarkStart w:id="274" w:name="references"/>
    <w:p>
      <w:pPr>
        <w:pStyle w:val="Heading2"/>
      </w:pPr>
      <w:r>
        <w:t xml:space="preserve">References</w:t>
      </w:r>
    </w:p>
    <w:bookmarkStart w:id="273" w:name="refs"/>
    <w:bookmarkStart w:id="162"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162"/>
    <w:bookmarkStart w:id="163"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163"/>
    <w:bookmarkStart w:id="164"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64"/>
    <w:bookmarkStart w:id="166"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165">
        <w:r>
          <w:rPr>
            <w:rStyle w:val="Hyperlink"/>
          </w:rPr>
          <w:t xml:space="preserve">https://doi.org/10.2307/3557066</w:t>
        </w:r>
      </w:hyperlink>
      <w:r>
        <w:t xml:space="preserve">.</w:t>
      </w:r>
    </w:p>
    <w:bookmarkEnd w:id="166"/>
    <w:bookmarkStart w:id="16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67">
        <w:r>
          <w:rPr>
            <w:rStyle w:val="Hyperlink"/>
          </w:rPr>
          <w:t xml:space="preserve">https://doi.org/10.1073/pnas.0903232106</w:t>
        </w:r>
      </w:hyperlink>
      <w:r>
        <w:t xml:space="preserve">.</w:t>
      </w:r>
    </w:p>
    <w:bookmarkEnd w:id="168"/>
    <w:bookmarkStart w:id="17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69">
        <w:r>
          <w:rPr>
            <w:rStyle w:val="Hyperlink"/>
          </w:rPr>
          <w:t xml:space="preserve">https://doi.org/10.1098/rspb.2004.2746</w:t>
        </w:r>
      </w:hyperlink>
      <w:r>
        <w:t xml:space="preserve">.</w:t>
      </w:r>
    </w:p>
    <w:bookmarkEnd w:id="170"/>
    <w:bookmarkStart w:id="172"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171">
        <w:r>
          <w:rPr>
            <w:rStyle w:val="Hyperlink"/>
          </w:rPr>
          <w:t xml:space="preserve">https://doi.org/10.2307/2694206</w:t>
        </w:r>
      </w:hyperlink>
      <w:r>
        <w:t xml:space="preserve">.</w:t>
      </w:r>
    </w:p>
    <w:bookmarkEnd w:id="172"/>
    <w:bookmarkStart w:id="173"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173"/>
    <w:bookmarkStart w:id="174" w:name="ref-carpenter_etal_2017"/>
    <w:p>
      <w:pPr>
        <w:pStyle w:val="Bibliography"/>
      </w:pPr>
      <w:r>
        <w:t xml:space="preserve">Carpenter, Bob, Andrew Gelman, Matthew D. Hoffman, Daniel Lee, Ben Goodrich, Michael Betancourt, Marcus Brubaker, Jiqiang Guo, Peter Li, and Allen Riddell. 2017. Stan: A Probabilistic Programming Language.</w:t>
      </w:r>
      <w:r>
        <w:t xml:space="preserve"> </w:t>
      </w:r>
      <w:r>
        <w:rPr>
          <w:i/>
          <w:iCs/>
        </w:rPr>
        <w:t xml:space="preserve">Journal of Statistical Software</w:t>
      </w:r>
      <w:r>
        <w:t xml:space="preserve"> </w:t>
      </w:r>
      <w:r>
        <w:t xml:space="preserve">76(1):1–32.</w:t>
      </w:r>
    </w:p>
    <w:bookmarkEnd w:id="174"/>
    <w:bookmarkStart w:id="175"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175"/>
    <w:bookmarkStart w:id="177"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176">
        <w:r>
          <w:rPr>
            <w:rStyle w:val="Hyperlink"/>
          </w:rPr>
          <w:t xml:space="preserve">https://doi.org/10.1007/s10816-022-09599-x</w:t>
        </w:r>
      </w:hyperlink>
      <w:r>
        <w:t xml:space="preserve">.</w:t>
      </w:r>
    </w:p>
    <w:bookmarkEnd w:id="177"/>
    <w:bookmarkStart w:id="179"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78">
        <w:r>
          <w:rPr>
            <w:rStyle w:val="Hyperlink"/>
          </w:rPr>
          <w:t xml:space="preserve">https://doi.org/10.1038/srep39122</w:t>
        </w:r>
      </w:hyperlink>
      <w:r>
        <w:t xml:space="preserve">.</w:t>
      </w:r>
    </w:p>
    <w:bookmarkEnd w:id="179"/>
    <w:bookmarkStart w:id="181"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180">
        <w:r>
          <w:rPr>
            <w:rStyle w:val="Hyperlink"/>
          </w:rPr>
          <w:t xml:space="preserve">https://doi.org/10.2307/279244</w:t>
        </w:r>
      </w:hyperlink>
      <w:r>
        <w:t xml:space="preserve">.</w:t>
      </w:r>
    </w:p>
    <w:bookmarkEnd w:id="181"/>
    <w:bookmarkStart w:id="182"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182"/>
    <w:bookmarkStart w:id="183" w:name="ref-dunnell_1995"/>
    <w:p>
      <w:pPr>
        <w:pStyle w:val="Bibliography"/>
      </w:pPr>
      <w:r>
        <w:t xml:space="preserve">Dunnell, Robert C. 1995.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183"/>
    <w:bookmarkStart w:id="185"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84">
        <w:r>
          <w:rPr>
            <w:rStyle w:val="Hyperlink"/>
          </w:rPr>
          <w:t xml:space="preserve">https://doi.org/10.1016/j.jaa.2005.08.001</w:t>
        </w:r>
      </w:hyperlink>
      <w:r>
        <w:t xml:space="preserve">.</w:t>
      </w:r>
    </w:p>
    <w:bookmarkEnd w:id="185"/>
    <w:bookmarkStart w:id="187"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86">
        <w:r>
          <w:rPr>
            <w:rStyle w:val="Hyperlink"/>
          </w:rPr>
          <w:t xml:space="preserve">https://doi.org/10.1007/s10814-007-9013-z</w:t>
        </w:r>
      </w:hyperlink>
      <w:r>
        <w:t xml:space="preserve">.</w:t>
      </w:r>
    </w:p>
    <w:bookmarkEnd w:id="187"/>
    <w:bookmarkStart w:id="189"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88">
        <w:r>
          <w:rPr>
            <w:rStyle w:val="Hyperlink"/>
          </w:rPr>
          <w:t xml:space="preserve">https://doi.org/10.1073/pnas.2418106121</w:t>
        </w:r>
      </w:hyperlink>
      <w:r>
        <w:t xml:space="preserve">.</w:t>
      </w:r>
    </w:p>
    <w:bookmarkEnd w:id="189"/>
    <w:bookmarkStart w:id="190"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90"/>
    <w:bookmarkStart w:id="191" w:name="ref-gelman_meng_stern_1996"/>
    <w:p>
      <w:pPr>
        <w:pStyle w:val="Bibliography"/>
      </w:pPr>
      <w:r>
        <w:t xml:space="preserve">Gelman, Andrew, Xiao-Li Meng, and Hal Stern. 1996. Posterior Predictive Assessment of Model Fitness via Realized Discrepancies.</w:t>
      </w:r>
      <w:r>
        <w:t xml:space="preserve"> </w:t>
      </w:r>
      <w:r>
        <w:rPr>
          <w:i/>
          <w:iCs/>
        </w:rPr>
        <w:t xml:space="preserve">Statistica Sinica</w:t>
      </w:r>
      <w:r>
        <w:t xml:space="preserve"> </w:t>
      </w:r>
      <w:r>
        <w:t xml:space="preserve">6(4):733–807.</w:t>
      </w:r>
    </w:p>
    <w:bookmarkEnd w:id="191"/>
    <w:bookmarkStart w:id="193" w:name="ref-haley_2014"/>
    <w:p>
      <w:pPr>
        <w:pStyle w:val="Bibliography"/>
      </w:pPr>
      <w:r>
        <w:t xml:space="preserve">Haley, Bryan S. 2014. The Big Picture at</w:t>
      </w:r>
      <w:r>
        <w:t xml:space="preserve"> </w:t>
      </w:r>
      <w:r>
        <w:t xml:space="preserve">Hollywood</w:t>
      </w:r>
      <w:r>
        <w:t xml:space="preserve">: Geophysical and Archaeological Investigations at a</w:t>
      </w:r>
      <w:r>
        <w:t xml:space="preserve"> </w:t>
      </w:r>
      <w:r>
        <w:t xml:space="preserve">Mississippian</w:t>
      </w:r>
      <w:r>
        <w:t xml:space="preserve"> </w:t>
      </w:r>
      <w:r>
        <w:t xml:space="preserve">Mound Centre.</w:t>
      </w:r>
      <w:r>
        <w:t xml:space="preserve"> </w:t>
      </w:r>
      <w:r>
        <w:rPr>
          <w:i/>
          <w:iCs/>
        </w:rPr>
        <w:t xml:space="preserve">Archaeological Prospection</w:t>
      </w:r>
      <w:r>
        <w:t xml:space="preserve"> </w:t>
      </w:r>
      <w:r>
        <w:t xml:space="preserve">21(1):39–47.</w:t>
      </w:r>
      <w:r>
        <w:t xml:space="preserve"> </w:t>
      </w:r>
      <w:hyperlink r:id="rId192">
        <w:r>
          <w:rPr>
            <w:rStyle w:val="Hyperlink"/>
          </w:rPr>
          <w:t xml:space="preserve">https://doi.org/10.1002/arp.1477</w:t>
        </w:r>
      </w:hyperlink>
      <w:r>
        <w:t xml:space="preserve">.</w:t>
      </w:r>
    </w:p>
    <w:bookmarkEnd w:id="193"/>
    <w:bookmarkStart w:id="19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94">
        <w:r>
          <w:rPr>
            <w:rStyle w:val="Hyperlink"/>
          </w:rPr>
          <w:t xml:space="preserve">https://doi.org/10.1525/aa.2001.103.4.992</w:t>
        </w:r>
      </w:hyperlink>
      <w:r>
        <w:t xml:space="preserve">.</w:t>
      </w:r>
    </w:p>
    <w:bookmarkEnd w:id="195"/>
    <w:bookmarkStart w:id="197"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96">
        <w:r>
          <w:rPr>
            <w:rStyle w:val="Hyperlink"/>
          </w:rPr>
          <w:t xml:space="preserve">https://doi.org/10.1016/S1090-5138(98)00018-X</w:t>
        </w:r>
      </w:hyperlink>
      <w:r>
        <w:t xml:space="preserve">.</w:t>
      </w:r>
    </w:p>
    <w:bookmarkEnd w:id="197"/>
    <w:bookmarkStart w:id="198"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98"/>
    <w:bookmarkStart w:id="200"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99">
        <w:r>
          <w:rPr>
            <w:rStyle w:val="Hyperlink"/>
          </w:rPr>
          <w:t xml:space="preserve">https://doi.org/10.1017/aap.2021.10</w:t>
        </w:r>
      </w:hyperlink>
      <w:r>
        <w:t xml:space="preserve">.</w:t>
      </w:r>
    </w:p>
    <w:bookmarkEnd w:id="200"/>
    <w:bookmarkStart w:id="201"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 Carbondale.</w:t>
      </w:r>
    </w:p>
    <w:bookmarkEnd w:id="201"/>
    <w:bookmarkStart w:id="202"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202"/>
    <w:bookmarkStart w:id="203" w:name="ref-hubert_arabie_1985"/>
    <w:p>
      <w:pPr>
        <w:pStyle w:val="Bibliography"/>
      </w:pPr>
      <w:r>
        <w:t xml:space="preserve">Hubert, Lawrence, and Phipps Arabie. 1985. Comparing Partitions.</w:t>
      </w:r>
      <w:r>
        <w:t xml:space="preserve"> </w:t>
      </w:r>
      <w:r>
        <w:rPr>
          <w:i/>
          <w:iCs/>
        </w:rPr>
        <w:t xml:space="preserve">Journal of Classification</w:t>
      </w:r>
      <w:r>
        <w:t xml:space="preserve"> </w:t>
      </w:r>
      <w:r>
        <w:t xml:space="preserve">2:193–218.</w:t>
      </w:r>
    </w:p>
    <w:bookmarkEnd w:id="203"/>
    <w:bookmarkStart w:id="204"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204"/>
    <w:bookmarkStart w:id="206"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205">
        <w:r>
          <w:rPr>
            <w:rStyle w:val="Hyperlink"/>
          </w:rPr>
          <w:t xml:space="preserve">https://doi.org/10.1146/annurev-ecolsys-110512-135838</w:t>
        </w:r>
      </w:hyperlink>
      <w:r>
        <w:t xml:space="preserve">.</w:t>
      </w:r>
    </w:p>
    <w:bookmarkEnd w:id="206"/>
    <w:bookmarkStart w:id="207"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207"/>
    <w:bookmarkStart w:id="208"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208"/>
    <w:bookmarkStart w:id="209"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209"/>
    <w:bookmarkStart w:id="211"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210">
        <w:r>
          <w:rPr>
            <w:rStyle w:val="Hyperlink"/>
          </w:rPr>
          <w:t xml:space="preserve">https://doi.org/10.1371/journal.pone.0250690</w:t>
        </w:r>
      </w:hyperlink>
      <w:r>
        <w:t xml:space="preserve">.</w:t>
      </w:r>
    </w:p>
    <w:bookmarkEnd w:id="211"/>
    <w:bookmarkStart w:id="212"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212"/>
    <w:bookmarkStart w:id="214"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213">
        <w:r>
          <w:rPr>
            <w:rStyle w:val="Hyperlink"/>
          </w:rPr>
          <w:t xml:space="preserve">https://doi.org/10.1371/journal.pone.0124942</w:t>
        </w:r>
      </w:hyperlink>
      <w:r>
        <w:t xml:space="preserve">.</w:t>
      </w:r>
    </w:p>
    <w:bookmarkEnd w:id="214"/>
    <w:bookmarkStart w:id="216"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215">
        <w:r>
          <w:rPr>
            <w:rStyle w:val="Hyperlink"/>
          </w:rPr>
          <w:t xml:space="preserve">https://doi.org/10.1006/jaar.1997.0314</w:t>
        </w:r>
      </w:hyperlink>
      <w:r>
        <w:t xml:space="preserve">.</w:t>
      </w:r>
    </w:p>
    <w:bookmarkEnd w:id="216"/>
    <w:bookmarkStart w:id="217" w:name="ref-madsen_2012"/>
    <w:p>
      <w:pPr>
        <w:pStyle w:val="Bibliography"/>
      </w:pPr>
      <w:r>
        <w:t xml:space="preserve">Madsen, Mark E. 2012. Neutral Cultural Transmission in Time-Averaged Archaeological Assemblages. arXiv preprint arXiv:1204.2043 [physics.soc-ph].</w:t>
      </w:r>
    </w:p>
    <w:bookmarkEnd w:id="217"/>
    <w:bookmarkStart w:id="218" w:name="ref-mainfort_1996"/>
    <w:p>
      <w:pPr>
        <w:pStyle w:val="Bibliography"/>
      </w:pPr>
      <w:r>
        <w:t xml:space="preserve">Mainfort, Jr., Robert C. 1996.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218"/>
    <w:bookmarkStart w:id="219"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219"/>
    <w:bookmarkStart w:id="220"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220"/>
    <w:bookmarkStart w:id="221" w:name="ref-mayr_1959"/>
    <w:p>
      <w:pPr>
        <w:pStyle w:val="Bibliography"/>
      </w:pPr>
      <w:r>
        <w:t xml:space="preserve">Mayr, Ernst. 1959. Typological Versus Population Thinking. In</w:t>
      </w:r>
      <w:r>
        <w:t xml:space="preserve"> </w:t>
      </w:r>
      <w:r>
        <w:rPr>
          <w:i/>
          <w:iCs/>
        </w:rPr>
        <w:t xml:space="preserve">Evolution and Anthropology: A Centennial Appraisal</w:t>
      </w:r>
      <w:r>
        <w:t xml:space="preserve">, edited by Betty J. Meggers, pp. 409–412. The Anthropological Society of Washington, Washington, D.C.</w:t>
      </w:r>
    </w:p>
    <w:bookmarkEnd w:id="221"/>
    <w:bookmarkStart w:id="222" w:name="ref-mcnutt_1996"/>
    <w:p>
      <w:pPr>
        <w:pStyle w:val="Bibliography"/>
      </w:pPr>
      <w:r>
        <w:t xml:space="preserve">McNutt, Charles H. 1996. The Central</w:t>
      </w:r>
      <w:r>
        <w:t xml:space="preserve"> </w:t>
      </w:r>
      <w:r>
        <w:t xml:space="preserve">Mississippi</w:t>
      </w:r>
      <w:r>
        <w:t xml:space="preserve"> </w:t>
      </w:r>
      <w:r>
        <w:t xml:space="preserve">Valley: A Summary. In</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edited by Charles H. McNutt, pp. 187–. University of Alabama Press, Tuscaloosa.</w:t>
      </w:r>
    </w:p>
    <w:bookmarkEnd w:id="222"/>
    <w:bookmarkStart w:id="223" w:name="ref-mcnutt_franklin_henry_2012"/>
    <w:p>
      <w:pPr>
        <w:pStyle w:val="Bibliography"/>
      </w:pPr>
      <w:r>
        <w:t xml:space="preserve">McNutt, Charles H., Jay D. Franklin, and Edward R. Henry. 2012. New Perspectives on</w:t>
      </w:r>
      <w:r>
        <w:t xml:space="preserve"> </w:t>
      </w:r>
      <w:r>
        <w:t xml:space="preserve">Mississippian</w:t>
      </w:r>
      <w:r>
        <w:t xml:space="preserve"> </w:t>
      </w:r>
      <w:r>
        <w:t xml:space="preserve">Occupations in Western</w:t>
      </w:r>
      <w:r>
        <w:t xml:space="preserve"> </w:t>
      </w:r>
      <w:r>
        <w:t xml:space="preserve">Tennessee</w:t>
      </w:r>
      <w:r>
        <w:t xml:space="preserve"> </w:t>
      </w:r>
      <w:r>
        <w:t xml:space="preserve">and Northwestern</w:t>
      </w:r>
      <w:r>
        <w:t xml:space="preserve"> </w:t>
      </w:r>
      <w:r>
        <w:t xml:space="preserve">Mississippi</w:t>
      </w:r>
      <w:r>
        <w:t xml:space="preserve">: Recent Chronological and Geophysical Investigations at</w:t>
      </w:r>
      <w:r>
        <w:t xml:space="preserve"> </w:t>
      </w:r>
      <w:r>
        <w:t xml:space="preserve">Chucalissa</w:t>
      </w:r>
      <w:r>
        <w:t xml:space="preserve"> </w:t>
      </w:r>
      <w:r>
        <w:t xml:space="preserve">(40SY1),</w:t>
      </w:r>
      <w:r>
        <w:t xml:space="preserve"> </w:t>
      </w:r>
      <w:r>
        <w:t xml:space="preserve">Shelby</w:t>
      </w:r>
      <w:r>
        <w:t xml:space="preserve"> </w:t>
      </w:r>
      <w:r>
        <w:t xml:space="preserve">County</w:t>
      </w:r>
      <w:r>
        <w:t xml:space="preserve">,</w:t>
      </w:r>
      <w:r>
        <w:t xml:space="preserve"> </w:t>
      </w:r>
      <w:r>
        <w:t xml:space="preserve">Tennessee</w:t>
      </w:r>
      <w:r>
        <w:t xml:space="preserve">.</w:t>
      </w:r>
      <w:r>
        <w:t xml:space="preserve"> </w:t>
      </w:r>
      <w:r>
        <w:rPr>
          <w:i/>
          <w:iCs/>
        </w:rPr>
        <w:t xml:space="preserve">Southeastern Archaeology</w:t>
      </w:r>
      <w:r>
        <w:t xml:space="preserve"> </w:t>
      </w:r>
      <w:r>
        <w:t xml:space="preserve">31(2):231–250.</w:t>
      </w:r>
    </w:p>
    <w:bookmarkEnd w:id="223"/>
    <w:bookmarkStart w:id="225"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224">
        <w:r>
          <w:rPr>
            <w:rStyle w:val="Hyperlink"/>
          </w:rPr>
          <w:t xml:space="preserve">https://doi.org/10.1080/20548923.2018.1504490</w:t>
        </w:r>
      </w:hyperlink>
      <w:r>
        <w:t xml:space="preserve">.</w:t>
      </w:r>
    </w:p>
    <w:bookmarkEnd w:id="225"/>
    <w:bookmarkStart w:id="226"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226"/>
    <w:bookmarkStart w:id="227" w:name="ref-mitchem_2017"/>
    <w:p>
      <w:pPr>
        <w:pStyle w:val="Bibliography"/>
      </w:pPr>
      <w:r>
        <w:t xml:space="preserve">Mitchem, Jeffrey M., David W. Stahle, Timothy S. Mulvihill, and Jami J. Lockhart.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227"/>
    <w:bookmarkStart w:id="228"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228"/>
    <w:bookmarkStart w:id="229"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229"/>
    <w:bookmarkStart w:id="230" w:name="ref-morse_p_1981"/>
    <w:p>
      <w:pPr>
        <w:pStyle w:val="Bibliography"/>
      </w:pPr>
      <w:r>
        <w:t xml:space="preserve">Morse, Phyllis A. 1981.</w:t>
      </w:r>
      <w:r>
        <w:t xml:space="preserve"> </w:t>
      </w:r>
      <w:r>
        <w:rPr>
          <w:i/>
          <w:iCs/>
        </w:rPr>
        <w:t xml:space="preserve">Parkin: The 1978–1979 Archeological Investigations of a</w:t>
      </w:r>
      <w:r>
        <w:rPr>
          <w:i/>
          <w:iCs/>
        </w:rPr>
        <w:t xml:space="preserve"> </w:t>
      </w:r>
      <w:r>
        <w:rPr>
          <w:i/>
          <w:iCs/>
        </w:rPr>
        <w:t xml:space="preserve">Cross County</w:t>
      </w:r>
      <w:r>
        <w:rPr>
          <w:i/>
          <w:iCs/>
        </w:rPr>
        <w:t xml:space="preserve">,</w:t>
      </w:r>
      <w:r>
        <w:rPr>
          <w:i/>
          <w:iCs/>
        </w:rPr>
        <w:t xml:space="preserve"> </w:t>
      </w:r>
      <w:r>
        <w:rPr>
          <w:i/>
          <w:iCs/>
        </w:rPr>
        <w:t xml:space="preserve">Arkansas</w:t>
      </w:r>
      <w:r>
        <w:rPr>
          <w:i/>
          <w:iCs/>
        </w:rPr>
        <w:t xml:space="preserve"> </w:t>
      </w:r>
      <w:r>
        <w:rPr>
          <w:i/>
          <w:iCs/>
        </w:rPr>
        <w:t xml:space="preserve">Site</w:t>
      </w:r>
      <w:r>
        <w:t xml:space="preserve">. Arkansas Archeological Survey Research Series 13. Arkansas Archeological Survey, Fayetteville.</w:t>
      </w:r>
    </w:p>
    <w:bookmarkEnd w:id="230"/>
    <w:bookmarkStart w:id="231"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231"/>
    <w:bookmarkStart w:id="233" w:name="ref-nei_1973"/>
    <w:p>
      <w:pPr>
        <w:pStyle w:val="Bibliography"/>
      </w:pPr>
      <w:r>
        <w:t xml:space="preserve">Nei, Masatoshi. 1973. Analysis of Gene Diversity in Subdivided Populations.</w:t>
      </w:r>
      <w:r>
        <w:t xml:space="preserve"> </w:t>
      </w:r>
      <w:r>
        <w:rPr>
          <w:i/>
          <w:iCs/>
        </w:rPr>
        <w:t xml:space="preserve">Proceedings of the National Academy of Sciences</w:t>
      </w:r>
      <w:r>
        <w:t xml:space="preserve"> </w:t>
      </w:r>
      <w:r>
        <w:t xml:space="preserve">70(12):3321–3323.</w:t>
      </w:r>
      <w:r>
        <w:t xml:space="preserve"> </w:t>
      </w:r>
      <w:hyperlink r:id="rId232">
        <w:r>
          <w:rPr>
            <w:rStyle w:val="Hyperlink"/>
          </w:rPr>
          <w:t xml:space="preserve">https://doi.org/10.1073/pnas.70.12.3321</w:t>
        </w:r>
      </w:hyperlink>
      <w:r>
        <w:t xml:space="preserve">.</w:t>
      </w:r>
    </w:p>
    <w:bookmarkEnd w:id="233"/>
    <w:bookmarkStart w:id="234"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234"/>
    <w:bookmarkStart w:id="236"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235">
        <w:r>
          <w:rPr>
            <w:rStyle w:val="Hyperlink"/>
          </w:rPr>
          <w:t xml:space="preserve">https://doi.org/10.2307/279066</w:t>
        </w:r>
      </w:hyperlink>
      <w:r>
        <w:t xml:space="preserve">.</w:t>
      </w:r>
    </w:p>
    <w:bookmarkEnd w:id="236"/>
    <w:bookmarkStart w:id="238"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237">
        <w:r>
          <w:rPr>
            <w:rStyle w:val="Hyperlink"/>
          </w:rPr>
          <w:t xml:space="preserve">https://doi.org/10.1016/j.jas.2012.04.040</w:t>
        </w:r>
      </w:hyperlink>
      <w:r>
        <w:t xml:space="preserve">.</w:t>
      </w:r>
    </w:p>
    <w:bookmarkEnd w:id="238"/>
    <w:bookmarkStart w:id="240"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239">
        <w:r>
          <w:rPr>
            <w:rStyle w:val="Hyperlink"/>
          </w:rPr>
          <w:t xml:space="preserve">https://doi.org/10.1007/s10816-018-9364-4</w:t>
        </w:r>
      </w:hyperlink>
      <w:r>
        <w:t xml:space="preserve">.</w:t>
      </w:r>
    </w:p>
    <w:bookmarkEnd w:id="240"/>
    <w:bookmarkStart w:id="241"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241"/>
    <w:bookmarkStart w:id="242"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242"/>
    <w:bookmarkStart w:id="243"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243"/>
    <w:bookmarkStart w:id="245"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244">
        <w:r>
          <w:rPr>
            <w:rStyle w:val="Hyperlink"/>
          </w:rPr>
          <w:t xml:space="preserve">https://doi.org/10.1525/aa.1953.55.5.02a00030</w:t>
        </w:r>
      </w:hyperlink>
      <w:r>
        <w:t xml:space="preserve">.</w:t>
      </w:r>
    </w:p>
    <w:bookmarkEnd w:id="245"/>
    <w:bookmarkStart w:id="247"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246">
        <w:r>
          <w:rPr>
            <w:rStyle w:val="Hyperlink"/>
          </w:rPr>
          <w:t xml:space="preserve">https://doi.org/10.7183/0002-7316.81.4.605</w:t>
        </w:r>
      </w:hyperlink>
      <w:r>
        <w:t xml:space="preserve">.</w:t>
      </w:r>
    </w:p>
    <w:bookmarkEnd w:id="247"/>
    <w:bookmarkStart w:id="249"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248">
        <w:r>
          <w:rPr>
            <w:rStyle w:val="Hyperlink"/>
          </w:rPr>
          <w:t xml:space="preserve">https://doi.org/10.7183/0002-7316.76.1.163</w:t>
        </w:r>
      </w:hyperlink>
      <w:r>
        <w:t xml:space="preserve">.</w:t>
      </w:r>
    </w:p>
    <w:bookmarkEnd w:id="249"/>
    <w:bookmarkStart w:id="250"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250"/>
    <w:bookmarkStart w:id="252"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251">
        <w:r>
          <w:rPr>
            <w:rStyle w:val="Hyperlink"/>
          </w:rPr>
          <w:t xml:space="preserve">https://doi.org/10.1017/RDC.2020.41</w:t>
        </w:r>
      </w:hyperlink>
      <w:r>
        <w:t xml:space="preserve">.</w:t>
      </w:r>
    </w:p>
    <w:bookmarkEnd w:id="252"/>
    <w:bookmarkStart w:id="253"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53"/>
    <w:bookmarkStart w:id="254"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54"/>
    <w:bookmarkStart w:id="255"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55"/>
    <w:bookmarkStart w:id="257"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56">
        <w:r>
          <w:rPr>
            <w:rStyle w:val="Hyperlink"/>
          </w:rPr>
          <w:t xml:space="preserve">https://doi.org/10.1016/j.jtbi.2016.04.024</w:t>
        </w:r>
      </w:hyperlink>
      <w:r>
        <w:t xml:space="preserve">.</w:t>
      </w:r>
    </w:p>
    <w:bookmarkEnd w:id="257"/>
    <w:bookmarkStart w:id="259"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58">
        <w:r>
          <w:rPr>
            <w:rStyle w:val="Hyperlink"/>
          </w:rPr>
          <w:t xml:space="preserve">https://doi.org/10.1016/j.evolhumbehav.2014.09.006</w:t>
        </w:r>
      </w:hyperlink>
      <w:r>
        <w:t xml:space="preserve">.</w:t>
      </w:r>
    </w:p>
    <w:bookmarkEnd w:id="259"/>
    <w:bookmarkStart w:id="260"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60"/>
    <w:bookmarkStart w:id="261"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61"/>
    <w:bookmarkStart w:id="262"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62"/>
    <w:bookmarkStart w:id="263"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63"/>
    <w:bookmarkStart w:id="264"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64"/>
    <w:bookmarkStart w:id="265"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65"/>
    <w:bookmarkStart w:id="266" w:name="ref-williams_1954"/>
    <w:p>
      <w:pPr>
        <w:pStyle w:val="Bibliography"/>
      </w:pPr>
      <w:r>
        <w:t xml:space="preserve">Williams, Stephen. 1954. An Archeological Study of the Mississippian Culture in Southeast Missouri. PhD thesis, Yale University, New Haven.</w:t>
      </w:r>
    </w:p>
    <w:bookmarkEnd w:id="266"/>
    <w:bookmarkStart w:id="268"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67">
        <w:r>
          <w:rPr>
            <w:rStyle w:val="Hyperlink"/>
          </w:rPr>
          <w:t xml:space="preserve">https://doi.org/10.1093/genetics/28.2.114</w:t>
        </w:r>
      </w:hyperlink>
      <w:r>
        <w:t xml:space="preserve">.</w:t>
      </w:r>
    </w:p>
    <w:bookmarkEnd w:id="268"/>
    <w:bookmarkStart w:id="270"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69">
        <w:r>
          <w:rPr>
            <w:rStyle w:val="Hyperlink"/>
          </w:rPr>
          <w:t xml:space="preserve">https://doi.org/10.1111/j.1469-1809.1949.tb02451.x</w:t>
        </w:r>
      </w:hyperlink>
      <w:r>
        <w:t xml:space="preserve">.</w:t>
      </w:r>
    </w:p>
    <w:bookmarkEnd w:id="270"/>
    <w:bookmarkStart w:id="272"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71">
        <w:r>
          <w:rPr>
            <w:rStyle w:val="Hyperlink"/>
          </w:rPr>
          <w:t xml:space="preserve">https://doi.org/10.1017/ehs.2023.5</w:t>
        </w:r>
      </w:hyperlink>
      <w:r>
        <w:t xml:space="preserve">.</w:t>
      </w:r>
    </w:p>
    <w:bookmarkEnd w:id="272"/>
    <w:bookmarkEnd w:id="273"/>
    <w:bookmarkEnd w:id="274"/>
    <w:bookmarkEnd w:id="275"/>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50" Target="media/rId150.png" /><Relationship Type="http://schemas.openxmlformats.org/officeDocument/2006/relationships/image" Id="rId111" Target="media/rId111.png" /><Relationship Type="http://schemas.openxmlformats.org/officeDocument/2006/relationships/image" Id="rId117" Target="media/rId117.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hyperlink" Id="rId192" Target="https://doi.org/10.1002/arp.1477" TargetMode="External" /><Relationship Type="http://schemas.openxmlformats.org/officeDocument/2006/relationships/hyperlink" Id="rId215" Target="https://doi.org/10.1006/jaar.1997.0314" TargetMode="External" /><Relationship Type="http://schemas.openxmlformats.org/officeDocument/2006/relationships/hyperlink" Id="rId186" Target="https://doi.org/10.1007/s10814-007-9013-z" TargetMode="External" /><Relationship Type="http://schemas.openxmlformats.org/officeDocument/2006/relationships/hyperlink" Id="rId239" Target="https://doi.org/10.1007/s10816-018-9364-4" TargetMode="External" /><Relationship Type="http://schemas.openxmlformats.org/officeDocument/2006/relationships/hyperlink" Id="rId176" Target="https://doi.org/10.1007/s10816-022-09599-x" TargetMode="External" /><Relationship Type="http://schemas.openxmlformats.org/officeDocument/2006/relationships/hyperlink" Id="rId196" Target="https://doi.org/10.1016/S1090-5138(98)00018-X" TargetMode="External" /><Relationship Type="http://schemas.openxmlformats.org/officeDocument/2006/relationships/hyperlink" Id="rId258" Target="https://doi.org/10.1016/j.evolhumbehav.2014.09.006" TargetMode="External" /><Relationship Type="http://schemas.openxmlformats.org/officeDocument/2006/relationships/hyperlink" Id="rId184" Target="https://doi.org/10.1016/j.jaa.2005.08.001" TargetMode="External" /><Relationship Type="http://schemas.openxmlformats.org/officeDocument/2006/relationships/hyperlink" Id="rId237" Target="https://doi.org/10.1016/j.jas.2012.04.040" TargetMode="External" /><Relationship Type="http://schemas.openxmlformats.org/officeDocument/2006/relationships/hyperlink" Id="rId256" Target="https://doi.org/10.1016/j.jtbi.2016.04.024" TargetMode="External" /><Relationship Type="http://schemas.openxmlformats.org/officeDocument/2006/relationships/hyperlink" Id="rId251" Target="https://doi.org/10.1017/RDC.2020.41" TargetMode="External" /><Relationship Type="http://schemas.openxmlformats.org/officeDocument/2006/relationships/hyperlink" Id="rId199" Target="https://doi.org/10.1017/aap.2021.10" TargetMode="External" /><Relationship Type="http://schemas.openxmlformats.org/officeDocument/2006/relationships/hyperlink" Id="rId271" Target="https://doi.org/10.1017/ehs.2023.5" TargetMode="External" /><Relationship Type="http://schemas.openxmlformats.org/officeDocument/2006/relationships/hyperlink" Id="rId178" Target="https://doi.org/10.1038/srep39122" TargetMode="External" /><Relationship Type="http://schemas.openxmlformats.org/officeDocument/2006/relationships/hyperlink" Id="rId167" Target="https://doi.org/10.1073/pnas.0903232106" TargetMode="External" /><Relationship Type="http://schemas.openxmlformats.org/officeDocument/2006/relationships/hyperlink" Id="rId188" Target="https://doi.org/10.1073/pnas.2418106121" TargetMode="External" /><Relationship Type="http://schemas.openxmlformats.org/officeDocument/2006/relationships/hyperlink" Id="rId232" Target="https://doi.org/10.1073/pnas.70.12.3321" TargetMode="External" /><Relationship Type="http://schemas.openxmlformats.org/officeDocument/2006/relationships/hyperlink" Id="rId224" Target="https://doi.org/10.1080/20548923.2018.1504490" TargetMode="External" /><Relationship Type="http://schemas.openxmlformats.org/officeDocument/2006/relationships/hyperlink" Id="rId267" Target="https://doi.org/10.1093/genetics/28.2.114" TargetMode="External" /><Relationship Type="http://schemas.openxmlformats.org/officeDocument/2006/relationships/hyperlink" Id="rId169" Target="https://doi.org/10.1098/rspb.2004.2746" TargetMode="External" /><Relationship Type="http://schemas.openxmlformats.org/officeDocument/2006/relationships/hyperlink" Id="rId269" Target="https://doi.org/10.1111/j.1469-1809.1949.tb02451.x" TargetMode="External" /><Relationship Type="http://schemas.openxmlformats.org/officeDocument/2006/relationships/hyperlink" Id="rId205" Target="https://doi.org/10.1146/annurev-ecolsys-110512-135838" TargetMode="External" /><Relationship Type="http://schemas.openxmlformats.org/officeDocument/2006/relationships/hyperlink" Id="rId213" Target="https://doi.org/10.1371/journal.pone.0124942" TargetMode="External" /><Relationship Type="http://schemas.openxmlformats.org/officeDocument/2006/relationships/hyperlink" Id="rId210" Target="https://doi.org/10.1371/journal.pone.0250690" TargetMode="External" /><Relationship Type="http://schemas.openxmlformats.org/officeDocument/2006/relationships/hyperlink" Id="rId244" Target="https://doi.org/10.1525/aa.1953.55.5.02a00030" TargetMode="External" /><Relationship Type="http://schemas.openxmlformats.org/officeDocument/2006/relationships/hyperlink" Id="rId194" Target="https://doi.org/10.1525/aa.2001.103.4.992" TargetMode="External" /><Relationship Type="http://schemas.openxmlformats.org/officeDocument/2006/relationships/hyperlink" Id="rId171" Target="https://doi.org/10.2307/2694206" TargetMode="External" /><Relationship Type="http://schemas.openxmlformats.org/officeDocument/2006/relationships/hyperlink" Id="rId235" Target="https://doi.org/10.2307/279066" TargetMode="External" /><Relationship Type="http://schemas.openxmlformats.org/officeDocument/2006/relationships/hyperlink" Id="rId180" Target="https://doi.org/10.2307/279244" TargetMode="External" /><Relationship Type="http://schemas.openxmlformats.org/officeDocument/2006/relationships/hyperlink" Id="rId165" Target="https://doi.org/10.2307/3557066" TargetMode="External" /><Relationship Type="http://schemas.openxmlformats.org/officeDocument/2006/relationships/hyperlink" Id="rId248" Target="https://doi.org/10.7183/0002-7316.76.1.163" TargetMode="External" /><Relationship Type="http://schemas.openxmlformats.org/officeDocument/2006/relationships/hyperlink" Id="rId246"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92" Target="https://doi.org/10.1002/arp.1477" TargetMode="External" /><Relationship Type="http://schemas.openxmlformats.org/officeDocument/2006/relationships/hyperlink" Id="rId215" Target="https://doi.org/10.1006/jaar.1997.0314" TargetMode="External" /><Relationship Type="http://schemas.openxmlformats.org/officeDocument/2006/relationships/hyperlink" Id="rId186" Target="https://doi.org/10.1007/s10814-007-9013-z" TargetMode="External" /><Relationship Type="http://schemas.openxmlformats.org/officeDocument/2006/relationships/hyperlink" Id="rId239" Target="https://doi.org/10.1007/s10816-018-9364-4" TargetMode="External" /><Relationship Type="http://schemas.openxmlformats.org/officeDocument/2006/relationships/hyperlink" Id="rId176" Target="https://doi.org/10.1007/s10816-022-09599-x" TargetMode="External" /><Relationship Type="http://schemas.openxmlformats.org/officeDocument/2006/relationships/hyperlink" Id="rId196" Target="https://doi.org/10.1016/S1090-5138(98)00018-X" TargetMode="External" /><Relationship Type="http://schemas.openxmlformats.org/officeDocument/2006/relationships/hyperlink" Id="rId258" Target="https://doi.org/10.1016/j.evolhumbehav.2014.09.006" TargetMode="External" /><Relationship Type="http://schemas.openxmlformats.org/officeDocument/2006/relationships/hyperlink" Id="rId184" Target="https://doi.org/10.1016/j.jaa.2005.08.001" TargetMode="External" /><Relationship Type="http://schemas.openxmlformats.org/officeDocument/2006/relationships/hyperlink" Id="rId237" Target="https://doi.org/10.1016/j.jas.2012.04.040" TargetMode="External" /><Relationship Type="http://schemas.openxmlformats.org/officeDocument/2006/relationships/hyperlink" Id="rId256" Target="https://doi.org/10.1016/j.jtbi.2016.04.024" TargetMode="External" /><Relationship Type="http://schemas.openxmlformats.org/officeDocument/2006/relationships/hyperlink" Id="rId251" Target="https://doi.org/10.1017/RDC.2020.41" TargetMode="External" /><Relationship Type="http://schemas.openxmlformats.org/officeDocument/2006/relationships/hyperlink" Id="rId199" Target="https://doi.org/10.1017/aap.2021.10" TargetMode="External" /><Relationship Type="http://schemas.openxmlformats.org/officeDocument/2006/relationships/hyperlink" Id="rId271" Target="https://doi.org/10.1017/ehs.2023.5" TargetMode="External" /><Relationship Type="http://schemas.openxmlformats.org/officeDocument/2006/relationships/hyperlink" Id="rId178" Target="https://doi.org/10.1038/srep39122" TargetMode="External" /><Relationship Type="http://schemas.openxmlformats.org/officeDocument/2006/relationships/hyperlink" Id="rId167" Target="https://doi.org/10.1073/pnas.0903232106" TargetMode="External" /><Relationship Type="http://schemas.openxmlformats.org/officeDocument/2006/relationships/hyperlink" Id="rId188" Target="https://doi.org/10.1073/pnas.2418106121" TargetMode="External" /><Relationship Type="http://schemas.openxmlformats.org/officeDocument/2006/relationships/hyperlink" Id="rId232" Target="https://doi.org/10.1073/pnas.70.12.3321" TargetMode="External" /><Relationship Type="http://schemas.openxmlformats.org/officeDocument/2006/relationships/hyperlink" Id="rId224" Target="https://doi.org/10.1080/20548923.2018.1504490" TargetMode="External" /><Relationship Type="http://schemas.openxmlformats.org/officeDocument/2006/relationships/hyperlink" Id="rId267" Target="https://doi.org/10.1093/genetics/28.2.114" TargetMode="External" /><Relationship Type="http://schemas.openxmlformats.org/officeDocument/2006/relationships/hyperlink" Id="rId169" Target="https://doi.org/10.1098/rspb.2004.2746" TargetMode="External" /><Relationship Type="http://schemas.openxmlformats.org/officeDocument/2006/relationships/hyperlink" Id="rId269" Target="https://doi.org/10.1111/j.1469-1809.1949.tb02451.x" TargetMode="External" /><Relationship Type="http://schemas.openxmlformats.org/officeDocument/2006/relationships/hyperlink" Id="rId205" Target="https://doi.org/10.1146/annurev-ecolsys-110512-135838" TargetMode="External" /><Relationship Type="http://schemas.openxmlformats.org/officeDocument/2006/relationships/hyperlink" Id="rId213" Target="https://doi.org/10.1371/journal.pone.0124942" TargetMode="External" /><Relationship Type="http://schemas.openxmlformats.org/officeDocument/2006/relationships/hyperlink" Id="rId210" Target="https://doi.org/10.1371/journal.pone.0250690" TargetMode="External" /><Relationship Type="http://schemas.openxmlformats.org/officeDocument/2006/relationships/hyperlink" Id="rId244" Target="https://doi.org/10.1525/aa.1953.55.5.02a00030" TargetMode="External" /><Relationship Type="http://schemas.openxmlformats.org/officeDocument/2006/relationships/hyperlink" Id="rId194" Target="https://doi.org/10.1525/aa.2001.103.4.992" TargetMode="External" /><Relationship Type="http://schemas.openxmlformats.org/officeDocument/2006/relationships/hyperlink" Id="rId171" Target="https://doi.org/10.2307/2694206" TargetMode="External" /><Relationship Type="http://schemas.openxmlformats.org/officeDocument/2006/relationships/hyperlink" Id="rId235" Target="https://doi.org/10.2307/279066" TargetMode="External" /><Relationship Type="http://schemas.openxmlformats.org/officeDocument/2006/relationships/hyperlink" Id="rId180" Target="https://doi.org/10.2307/279244" TargetMode="External" /><Relationship Type="http://schemas.openxmlformats.org/officeDocument/2006/relationships/hyperlink" Id="rId165" Target="https://doi.org/10.2307/3557066" TargetMode="External" /><Relationship Type="http://schemas.openxmlformats.org/officeDocument/2006/relationships/hyperlink" Id="rId248" Target="https://doi.org/10.7183/0002-7316.76.1.163" TargetMode="External" /><Relationship Type="http://schemas.openxmlformats.org/officeDocument/2006/relationships/hyperlink" Id="rId246"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2026-09-30T10:52:26Z</dcterms:created>
  <dcterms:modified xsi:type="dcterms:W3CDTF">2026-09-30T10:52:26Z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