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26.png" ContentType="image/png"/>
  <Override PartName="/word/media/rId129.png" ContentType="image/png"/>
  <Override PartName="/word/media/rId132.png" ContentType="image/png"/>
  <Override PartName="/word/media/rId135.png" ContentType="image/png"/>
  <Override PartName="/word/media/rId138.png" ContentType="image/png"/>
  <Override PartName="/word/media/rId149.png" ContentType="image/png"/>
  <Override PartName="/word/media/rId111.png" ContentType="image/png"/>
  <Override PartName="/word/media/rId117.png" ContentType="image/png"/>
  <Override PartName="/word/media/rId142.png" ContentType="image/png"/>
  <Override PartName="/word/media/rId1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0" w:name="X8bf6248c9f3f97f4894a761f3e01800d2c2c84f"/>
    <w:p>
      <w:pPr>
        <w:pStyle w:val="Heading1"/>
      </w:pPr>
      <w:r>
        <w:t xml:space="preserve">Explaining the Spatial Structure of Phases: An Example from the Lower Mississippi River Valley</w:t>
      </w:r>
    </w:p>
    <w:p>
      <w:pPr>
        <w:pStyle w:val="FirstParagraph"/>
      </w:pPr>
      <w:r>
        <w:rPr>
          <w:b/>
          <w:bCs/>
        </w:rPr>
        <w:t xml:space="preserve">Carl P. Lipo, Beau J. DiNapoli, and Mark E. Madsen</w:t>
      </w:r>
    </w:p>
    <w:bookmarkStart w:id="109" w:name="abstract"/>
    <w:p>
      <w:pPr>
        <w:pStyle w:val="Heading2"/>
      </w:pPr>
      <w:r>
        <w:t xml:space="preserve">Abstract</w:t>
      </w:r>
    </w:p>
    <w:p>
      <w:pPr>
        <w:pStyle w:val="FirstParagraph"/>
      </w:pPr>
      <w:r>
        <w:t xml:space="preserve">Archaeologists group assemblages into phases and then treat the phases as groups, giving them the qualities of communities or polities. Earlier studies, including our own, showed that the phases of the Lower Mississippi River Valley do not separate cleanly, but not what the phases are. We explain them with cultural transmission theory. Potters copy near neighbors more than distant ones, so neutral drift makes nearby assemblages alike whether or not groups exist. Settlement is clumped, and a smooth gradient sampled at clumps and sorted by resemblance and proximity looks like a set of groups. A phase is a group only if its frequencies show what distance-limited copying cannot produce: learning concentrated inside and divergence across its edge. We test this on the decorated-type frequencies of the Late Mississippian St. Francis basin in northeastern Arkansas, including the Parkin phase, long read as a polity. The site map alone recovers the phases, arbitrary lines separate the pottery better than the phase lines do, and pottery simulated with no groups sorts into the phases as readily as the real pottery. The Parkin phase differs from the rest of the basin no more than copying without groups produces and no more than arbitrary divisions of the map. The pottery does vary over shorter distances than our copying model predicts, but that variation does not follow the phase lines.</w:t>
      </w:r>
    </w:p>
    <w:p>
      <w:pPr>
        <w:pStyle w:val="BodyText"/>
      </w:pPr>
      <w:r>
        <w:rPr>
          <w:b/>
          <w:bCs/>
        </w:rPr>
        <w:t xml:space="preserve">Keywords:</w:t>
      </w:r>
      <w:r>
        <w:t xml:space="preserve"> </w:t>
      </w:r>
      <w:r>
        <w:t xml:space="preserve">cultural transmission, neutral models, frequency seriation, isolation by distance, Mississippian archaeology, Parkin phase</w:t>
      </w:r>
    </w:p>
    <w:bookmarkEnd w:id="109"/>
    <w:bookmarkStart w:id="110" w:name="resumen"/>
    <w:p>
      <w:pPr>
        <w:pStyle w:val="Heading2"/>
      </w:pPr>
      <w:r>
        <w:t xml:space="preserve">Resumen</w:t>
      </w:r>
    </w:p>
    <w:p>
      <w:pPr>
        <w:pStyle w:val="FirstParagraph"/>
      </w:pPr>
      <w:r>
        <w:t xml:space="preserve">Los arqueólogos agrupan los conjuntos cerámicos en fases y luego tratan esas fases como grupos, atribuyéndoles las cualidades de comunidades o entidades políticas. Estudios anteriores, incluidos los nuestros, mostraron que las fases del valle bajo del río Misisipi no se separan con nitidez, pero no qué son las fases. Las explicamos con la teoría de la transmisión cultural. Los alfareros copian a sus vecinos cercanos más que a los lejanos, de modo que la deriva neutral hace que los conjuntos cercanos se parezcan, existan o no grupos. Los asentamientos están agrupados, y un gradiente continuo muestreado en esos agrupamientos y ordenado por semejanza y proximidad parece un conjunto de grupos. Una fase es un grupo solo si sus frecuencias muestran lo que la copia limitada por la distancia no puede producir: aprendizaje concentrado en su interior y divergencia a través de su límite. Ponemos esto a prueba con las frecuencias de los tipos decorados del Misisipiano tardío en la cuenca del río St. Francis, en el noreste de Arkansas, incluida la fase Parkin, interpretada durante mucho tiempo como una entidad política. El mapa de sitios por sí solo recupera las fases, líneas arbitrarias separan la cerámica mejor que las líneas de las fases, y la cerámica simulada sin grupos se clasifica en las fases con la misma facilidad que la cerámica real. La fase Parkin no difiere del resto de la cuenca más de lo que produce la copia sin grupos, ni más que divisiones arbitrarias del mapa. La cerámica sí varía a distancias más cortas de lo que predice nuestro modelo de copia, pero esa variación no sigue las líneas de las fases.</w:t>
      </w:r>
    </w:p>
    <w:p>
      <w:pPr>
        <w:pStyle w:val="BodyText"/>
      </w:pPr>
      <w:r>
        <w:rPr>
          <w:b/>
          <w:bCs/>
        </w:rPr>
        <w:t xml:space="preserve">Palabras clave:</w:t>
      </w:r>
      <w:r>
        <w:t xml:space="preserve"> </w:t>
      </w:r>
      <w:r>
        <w:t xml:space="preserve">transmisión cultural, modelos neutrales, seriación de frecuencias, aislamiento por distancia, arqueología misisipiana, fase Parkin</w:t>
      </w:r>
    </w:p>
    <w:bookmarkEnd w:id="110"/>
    <w:bookmarkStart w:id="114" w:name="introduction"/>
    <w:p>
      <w:pPr>
        <w:pStyle w:val="Heading2"/>
      </w:pPr>
      <w:r>
        <w:t xml:space="preserve">Introduction</w:t>
      </w:r>
    </w:p>
    <w:p>
      <w:pPr>
        <w:pStyle w:val="FirstParagraph"/>
      </w:pPr>
      <w:r>
        <w:t xml:space="preserve">Archaeologists divide the late pre-contact record of the Lower Mississippi River Valley into spatially and temporally bounded units known as phases (Figure 1). These include the Kent</w:t>
      </w:r>
      <w:r>
        <w:t xml:space="preserve"> </w:t>
      </w:r>
      <w:r>
        <w:t xml:space="preserve">(House 1991)</w:t>
      </w:r>
      <w:r>
        <w:t xml:space="preserve">, Nodena</w:t>
      </w:r>
      <w:r>
        <w:t xml:space="preserve"> </w:t>
      </w:r>
      <w:r>
        <w:t xml:space="preserve">(Dan F. Morse 1990)</w:t>
      </w:r>
      <w:r>
        <w:t xml:space="preserve">, Parchman</w:t>
      </w:r>
      <w:r>
        <w:t xml:space="preserve"> </w:t>
      </w:r>
      <w:r>
        <w:t xml:space="preserve">(Starr 1984)</w:t>
      </w:r>
      <w:r>
        <w:t xml:space="preserve">, Tipton</w:t>
      </w:r>
      <w:r>
        <w:t xml:space="preserve"> </w:t>
      </w:r>
      <w:r>
        <w:t xml:space="preserve">(Smith 1990)</w:t>
      </w:r>
      <w:r>
        <w:t xml:space="preserve">, Walls</w:t>
      </w:r>
      <w:r>
        <w:t xml:space="preserve"> </w:t>
      </w:r>
      <w:r>
        <w:t xml:space="preserve">(Smith 1990)</w:t>
      </w:r>
      <w:r>
        <w:t xml:space="preserve">, Jones Bayou</w:t>
      </w:r>
      <w:r>
        <w:t xml:space="preserve"> </w:t>
      </w:r>
      <w:r>
        <w:t xml:space="preserve">(Smith 1990)</w:t>
      </w:r>
      <w:r>
        <w:t xml:space="preserve">, and Parkin</w:t>
      </w:r>
      <w:r>
        <w:t xml:space="preserve"> </w:t>
      </w:r>
      <w:r>
        <w:t xml:space="preserve">(Phyllis A. Morse 1990)</w:t>
      </w:r>
      <w:r>
        <w:t xml:space="preserve"> </w:t>
      </w:r>
      <w:r>
        <w:t xml:space="preserve">phases. The Parkin phase stands out because it contains the Parkin site, the largest moated and palisaded town in the St. Francis basin of northeastern Arkansas. Reconstructions of the route of the Hernando de Soto expedition identify it as Casqui, the seat of a paramount chief the expedition met in 1541</w:t>
      </w:r>
      <w:r>
        <w:t xml:space="preserve"> </w:t>
      </w:r>
      <w:r>
        <w:t xml:space="preserve">(Hudson et al. 1990; Mitchem et al. 2017; Phyllis A. Morse 1990:125–129)</w:t>
      </w:r>
      <w:r>
        <w:t xml:space="preserve">. Because of its size, fortification, platform mound, and ethnohistoric identification, Parkin is routinely read as the center of a Mississippian polity, following the long-standing expectation that a ranked society leaves a hierarchy of settlement types and sizes with its center at the top</w:t>
      </w:r>
      <w:r>
        <w:t xml:space="preserve"> </w:t>
      </w:r>
      <w:r>
        <w:t xml:space="preserve">(Peebles and Kus 1977:431)</w:t>
      </w:r>
      <w:r>
        <w:t xml:space="preserve">. That reading makes a specific claim: the Parkin phase was a bounded, hierarchically organized society with Parkin at its head.</w:t>
      </w:r>
    </w:p>
    <w:p>
      <w:pPr>
        <w:pStyle w:val="CaptionedFigure"/>
      </w:pPr>
      <w:r>
        <w:drawing>
          <wp:inline>
            <wp:extent cx="4114800" cy="8037789"/>
            <wp:effectExtent b="0" l="0" r="0" t="0"/>
            <wp:docPr descr="Figure 1. Decorated-ceramic assemblages of the lower Mississippi Valley and the culture-historical phase scheme this paper tests. Five of the seven Late Mississippian phases (Parkin, Nodena, Kent, Walls, and Parchman) are drawn as territories; Jones Bayou and Tipton, in western Tennessee, have no assemblage with decorated counts in this study’s matrix and appear only in the legend. Assemblages without a phase assignment are not drawn. Each territory is built by assigning every point on the map to its nearest assemblage and then merging those areas according to the phase Mainfort (1996) assigns each assemblage, with a gap drawn between adjacent territories for legibility. Territories are drawn over the HydroRIVERS river network (Lehner and Grill 2013), with line width scaled by flow order. Markers show each assemblage’s phase, and Parkin is starred. The bounded territories illustrate the premise under test, that each hosted a distinct, internally interacting society. The mapped assemblages fall in Arkansas, Tennessee, and Mississippi; Missouri lies just north of the frame. Inset: location in North America." title="" id="112" name="Picture"/>
            <a:graphic>
              <a:graphicData uri="http://schemas.openxmlformats.org/drawingml/2006/picture">
                <pic:pic>
                  <pic:nvPicPr>
                    <pic:cNvPr descr="../../figures/fig1_phases.png" id="113" name="Picture"/>
                    <pic:cNvPicPr>
                      <a:picLocks noChangeArrowheads="1" noChangeAspect="1"/>
                    </pic:cNvPicPr>
                  </pic:nvPicPr>
                  <pic:blipFill>
                    <a:blip r:embed="rId111"/>
                    <a:stretch>
                      <a:fillRect/>
                    </a:stretch>
                  </pic:blipFill>
                  <pic:spPr bwMode="auto">
                    <a:xfrm>
                      <a:off x="0" y="0"/>
                      <a:ext cx="4114800" cy="8037789"/>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Decorated-ceramic assemblages of the lower Mississippi Valley and the culture-historical phase scheme this paper tests. Five of the seven Late Mississippian phases (Parkin, Nodena, Kent, Walls, and Parchman) are drawn as territories; Jones Bayou and Tipton, in western Tennessee, have no assemblage with decorated counts in this study’s matrix and appear only in the legend. Assemblages without a phase assignment are not drawn. Each territory is built by assigning every point on the map to its nearest assemblage and then merging those areas according to the phase Mainfort</w:t>
      </w:r>
      <w:r>
        <w:t xml:space="preserve"> </w:t>
      </w:r>
      <w:r>
        <w:t xml:space="preserve">(1996)</w:t>
      </w:r>
      <w:r>
        <w:t xml:space="preserve"> </w:t>
      </w:r>
      <w:r>
        <w:t xml:space="preserve">assigns each assemblage, with a gap drawn between adjacent territories for legibility. Territories are drawn over the HydroRIVERS river network</w:t>
      </w:r>
      <w:r>
        <w:t xml:space="preserve"> </w:t>
      </w:r>
      <w:r>
        <w:t xml:space="preserve">(Lehner and Grill 2013)</w:t>
      </w:r>
      <w:r>
        <w:t xml:space="preserve">, with line width scaled by flow order. Markers show each assemblage’s phase, and Parkin is starred. The bounded territories illustrate the premise under test, that each hosted a distinct, internally interacting society. The mapped assemblages fall in Arkansas, Tennessee, and Mississippi; Missouri lies just north of the frame. Inset: location in North America.</w:t>
      </w:r>
    </w:p>
    <w:p>
      <w:pPr>
        <w:pStyle w:val="BodyText"/>
      </w:pPr>
      <w:r>
        <w:t xml:space="preserve">A phase is a culture-history construct: a set of assemblages grouped together because their decorated-class frequencies seriate, meaning they can be placed in one sequence of gradually changing frequencies, and because the sites lie near one another. In the Willey-Phillips framework the phase is</w:t>
      </w:r>
      <w:r>
        <w:t xml:space="preserve"> </w:t>
      </w:r>
      <w:r>
        <w:t xml:space="preserve">“the practicable and intelligible unit”</w:t>
      </w:r>
      <w:r>
        <w:t xml:space="preserve"> </w:t>
      </w:r>
      <w:r>
        <w:t xml:space="preserve">of archaeological study, defined by traits in space and time with no social criterion</w:t>
      </w:r>
      <w:r>
        <w:t xml:space="preserve"> </w:t>
      </w:r>
      <w:r>
        <w:t xml:space="preserve">(Phillips and Willey 1953; Willey and Phillips 1958:22)</w:t>
      </w:r>
      <w:r>
        <w:t xml:space="preserve">, and the lower-valley phases tested here were formulated in that framework by Phillips</w:t>
      </w:r>
      <w:r>
        <w:t xml:space="preserve"> </w:t>
      </w:r>
      <w:r>
        <w:t xml:space="preserve">(1970)</w:t>
      </w:r>
      <w:r>
        <w:t xml:space="preserve">. In practice, however, researchers have treated phases as societies, and the survey phases of the lower valley were built as units</w:t>
      </w:r>
      <w:r>
        <w:t xml:space="preserve"> </w:t>
      </w:r>
      <w:r>
        <w:t xml:space="preserve">“which were also spatial and intended to elucidate sociopolitical boundaries”</w:t>
      </w:r>
      <w:r>
        <w:t xml:space="preserve"> </w:t>
      </w:r>
      <w:r>
        <w:t xml:space="preserve">(Haley 2014)</w:t>
      </w:r>
      <w:r>
        <w:t xml:space="preserve">. Willey and Phillips</w:t>
      </w:r>
      <w:r>
        <w:t xml:space="preserve"> </w:t>
      </w:r>
      <w:r>
        <w:t xml:space="preserve">(1958:48–50)</w:t>
      </w:r>
      <w:r>
        <w:t xml:space="preserve"> </w:t>
      </w:r>
      <w:r>
        <w:t xml:space="preserve">set out the reasoning that equates phase with society, conceded that</w:t>
      </w:r>
      <w:r>
        <w:t xml:space="preserve"> </w:t>
      </w:r>
      <w:r>
        <w:t xml:space="preserve">“in practice it does not work,”</w:t>
      </w:r>
      <w:r>
        <w:t xml:space="preserve"> </w:t>
      </w:r>
      <w:r>
        <w:t xml:space="preserve">and then proposed that archaeologists</w:t>
      </w:r>
      <w:r>
        <w:t xml:space="preserve"> </w:t>
      </w:r>
      <w:r>
        <w:t xml:space="preserve">“may act as if”</w:t>
      </w:r>
      <w:r>
        <w:t xml:space="preserve"> </w:t>
      </w:r>
      <w:r>
        <w:t xml:space="preserve">phases had social reality. Williams, defining the southeast-Missouri phases, wrote that</w:t>
      </w:r>
      <w:r>
        <w:t xml:space="preserve"> </w:t>
      </w:r>
      <w:r>
        <w:t xml:space="preserve">“in most cases, phase probably equals</w:t>
      </w:r>
      <w:r>
        <w:t xml:space="preserve"> </w:t>
      </w:r>
      <w:r>
        <w:t xml:space="preserve">‘society’</w:t>
      </w:r>
      <w:r>
        <w:t xml:space="preserve">”</w:t>
      </w:r>
      <w:r>
        <w:t xml:space="preserve"> </w:t>
      </w:r>
      <w:r>
        <w:t xml:space="preserve">(Williams 1954:25; quoted in Fox 1998:33)</w:t>
      </w:r>
      <w:r>
        <w:t xml:space="preserve">. The premise underneath is rarely stated. It holds that assemblages more similar to one another than to their neighbors record a bounded group of people who interacted mainly with each other. Once such a group is paired with a dominant center, the phase becomes a polity, and the social unit has been assumed before any evidence for it has been weighed</w:t>
      </w:r>
      <w:r>
        <w:t xml:space="preserve"> </w:t>
      </w:r>
      <w:r>
        <w:t xml:space="preserve">(Fox 1998)</w:t>
      </w:r>
      <w:r>
        <w:t xml:space="preserve">.</w:t>
      </w:r>
    </w:p>
    <w:p>
      <w:pPr>
        <w:pStyle w:val="BodyText"/>
      </w:pPr>
      <w:r>
        <w:t xml:space="preserve">The phases have been questioned on this ground before. Fox</w:t>
      </w:r>
      <w:r>
        <w:t xml:space="preserve"> </w:t>
      </w:r>
      <w:r>
        <w:t xml:space="preserve">(1998)</w:t>
      </w:r>
      <w:r>
        <w:t xml:space="preserve"> </w:t>
      </w:r>
      <w:r>
        <w:t xml:space="preserve">used cluster analysis and ordination to show that the southeast-Missouri phases fail as both groups and classes, with member assemblages falling into statistical clusters at random rather than by phase. Mainfort</w:t>
      </w:r>
      <w:r>
        <w:t xml:space="preserve"> </w:t>
      </w:r>
      <w:r>
        <w:t xml:space="preserve">(2003)</w:t>
      </w:r>
      <w:r>
        <w:t xml:space="preserve"> </w:t>
      </w:r>
      <w:r>
        <w:t xml:space="preserve">put the same question to very nearly the record we use, ordinating ten decorated types from 39 sites and finding</w:t>
      </w:r>
      <w:r>
        <w:t xml:space="preserve"> </w:t>
      </w:r>
      <w:r>
        <w:t xml:space="preserve">“little evidence for the integrity of the traditional late period phases,”</w:t>
      </w:r>
      <w:r>
        <w:t xml:space="preserve"> </w:t>
      </w:r>
      <w:r>
        <w:t xml:space="preserve">with no clear grouping even though</w:t>
      </w:r>
      <w:r>
        <w:t xml:space="preserve"> </w:t>
      </w:r>
      <w:r>
        <w:t xml:space="preserve">“most sites assigned to most phases are located in the general vicinity of each other in ordination space”</w:t>
      </w:r>
      <w:r>
        <w:t xml:space="preserve"> </w:t>
      </w:r>
      <w:r>
        <w:t xml:space="preserve">(Mainfort 2003:180)</w:t>
      </w:r>
      <w:r>
        <w:t xml:space="preserve">. Lipo</w:t>
      </w:r>
      <w:r>
        <w:t xml:space="preserve"> </w:t>
      </w:r>
      <w:r>
        <w:t xml:space="preserve">(2001)</w:t>
      </w:r>
      <w:r>
        <w:t xml:space="preserve"> </w:t>
      </w:r>
      <w:r>
        <w:t xml:space="preserve">reached a similar view through frequency seriation, suggesting that</w:t>
      </w:r>
      <w:r>
        <w:t xml:space="preserve"> </w:t>
      </w:r>
      <w:r>
        <w:t xml:space="preserve">“the phases themselves might be simply arbitrary spatial and temporal slices of a single interacting population that is much larger in size”</w:t>
      </w:r>
      <w:r>
        <w:t xml:space="preserve"> </w:t>
      </w:r>
      <w:r>
        <w:t xml:space="preserve">(Lipo 2001:60)</w:t>
      </w:r>
      <w:r>
        <w:t xml:space="preserve">. These studies show that the phases do not separate cleanly. None of them explains what the phases are, or why they looked real to the people who drew them, and an ordination alone cannot, because loosely clustered assemblages are what both bounded groups and unbounded copying across distance would produce.</w:t>
      </w:r>
    </w:p>
    <w:p>
      <w:pPr>
        <w:pStyle w:val="BodyText"/>
      </w:pPr>
      <w:r>
        <w:t xml:space="preserve">That explanation is what this paper provides. We ask two questions. First, what explains the phases? We argue that they follow from how people learn: potters copy near neighbors more than distant ones, settlement is clumped, and a smooth gradient in style sampled at those clumps looks like a set of groups. Second, does the Parkin phase, the one most often treated as a polity, show anything in its decorated-type frequencies that sets it apart as one? Both questions turn on the same test. Copying across space produces spatial structure in stylistic frequencies whatever else is happening, so a phase has the qualities of a group only if its frequencies show properties that spatially structured drift cannot produce. In brief, the phases are what copying across distance looks like when it is sampled at clumped settlements, and the Parkin phase shows nothing in its pottery that sets it apart as a polity.</w:t>
      </w:r>
    </w:p>
    <w:p>
      <w:pPr>
        <w:pStyle w:val="BodyText"/>
      </w:pPr>
      <w:r>
        <w:t xml:space="preserve">The late pre-contact St. Francis basin suits the test. Its decorated assemblages are well documented, the decorated classes are the long-established Phillips-Ford-Griffin types, and European contact and the demographic collapse that followed ended the sequence before any later reorganization could overwrite it</w:t>
      </w:r>
      <w:r>
        <w:t xml:space="preserve"> </w:t>
      </w:r>
      <w:r>
        <w:t xml:space="preserve">(Lipo 2001; Morse and Morse 1996)</w:t>
      </w:r>
      <w:r>
        <w:t xml:space="preserve">. Its assemblages are time-averaged surface collections, built up over many years of use and discard. We treat them as the accumulated product of copying across a population, to be measured and explained as they are, rather than as degraded snapshots of a single moment</w:t>
      </w:r>
      <w:r>
        <w:t xml:space="preserve"> </w:t>
      </w:r>
      <w:r>
        <w:t xml:space="preserve">(Dunnell 1995; Holdaway and Wandsnider 2008; Lipo et al. 2015; Neiman 1995; Perreault 2019; Schiffer 1972)</w:t>
      </w:r>
      <w:r>
        <w:t xml:space="preserve">. Their coarse resolution limits which questions they can answer but does not disqualify them.</w:t>
      </w:r>
    </w:p>
    <w:bookmarkEnd w:id="114"/>
    <w:bookmarkStart w:id="115" w:name="why-phases-look-like-groups"/>
    <w:p>
      <w:pPr>
        <w:pStyle w:val="Heading2"/>
      </w:pPr>
      <w:r>
        <w:t xml:space="preserve">Why phases look like groups</w:t>
      </w:r>
    </w:p>
    <w:p>
      <w:pPr>
        <w:pStyle w:val="FirstParagraph"/>
      </w:pPr>
      <w:r>
        <w:t xml:space="preserve">The explanation rests on the theory of cultural transmission, and it is simple. Potters learned how to decorate pots from other people, and the decorations they made reflect whom they learned from. Under the neutral model of cultural transmission, decorative variants that make no difference to how a pot performs change in frequency through innovation and chance copying in a finite population of learners, much as selectively neutral alleles do</w:t>
      </w:r>
      <w:r>
        <w:t xml:space="preserve"> </w:t>
      </w:r>
      <w:r>
        <w:t xml:space="preserve">(Bentley et al. 2004; Dunnell 1978; Eerkens and Lipo 2005, 2007; Fogarty et al. 2024; Neiman 1995)</w:t>
      </w:r>
      <w:r>
        <w:t xml:space="preserve">. Four expectations follow, three about what copying does on its own and one about what a group would add.</w:t>
      </w:r>
    </w:p>
    <w:p>
      <w:pPr>
        <w:pStyle w:val="BodyText"/>
      </w:pPr>
      <w:r>
        <w:rPr>
          <w:i/>
          <w:iCs/>
        </w:rPr>
        <w:t xml:space="preserve">Copying falls off with distance.</w:t>
      </w:r>
      <w:r>
        <w:t xml:space="preserve"> </w:t>
      </w:r>
      <w:r>
        <w:t xml:space="preserve">People learn from those they live near and see often, so a potter is more likely to copy a neighbor than someone a day’s travel away. Under neutral drift, that alone makes nearby assemblages more alike than distant ones, and similarity fades smoothly with distance. Population geneticists call this isolation by distance</w:t>
      </w:r>
      <w:r>
        <w:t xml:space="preserve"> </w:t>
      </w:r>
      <w:r>
        <w:t xml:space="preserve">(Wright 1943)</w:t>
      </w:r>
      <w:r>
        <w:t xml:space="preserve">, and it has long been expected of stylistic frequencies</w:t>
      </w:r>
      <w:r>
        <w:t xml:space="preserve"> </w:t>
      </w:r>
      <w:r>
        <w:t xml:space="preserve">(Neiman 1995; Shennan et al. 2015)</w:t>
      </w:r>
      <w:r>
        <w:t xml:space="preserve">. It requires no groups. It is what copying produces across any landscape where interaction is local, and it produces between-place differences on its own, because small or poorly connected places drift toward depleted, idiosyncratic repertoires</w:t>
      </w:r>
      <w:r>
        <w:t xml:space="preserve"> </w:t>
      </w:r>
      <w:r>
        <w:t xml:space="preserve">(Lipo et al. 2021)</w:t>
      </w:r>
      <w:r>
        <w:t xml:space="preserve">.</w:t>
      </w:r>
    </w:p>
    <w:p>
      <w:pPr>
        <w:pStyle w:val="BodyText"/>
      </w:pPr>
      <w:r>
        <w:rPr>
          <w:i/>
          <w:iCs/>
        </w:rPr>
        <w:t xml:space="preserve">Settlement is clumped.</w:t>
      </w:r>
      <w:r>
        <w:t xml:space="preserve"> </w:t>
      </w:r>
      <w:r>
        <w:t xml:space="preserve">People did not live evenly across the basin. Sites concentrate on particular reaches of river, with stretches of less occupied country between them. The smooth gradient in style is therefore sampled unevenly, densely in some places and sparsely or not at all in others.</w:t>
      </w:r>
    </w:p>
    <w:p>
      <w:pPr>
        <w:pStyle w:val="BodyText"/>
      </w:pPr>
      <w:r>
        <w:rPr>
          <w:i/>
          <w:iCs/>
        </w:rPr>
        <w:t xml:space="preserve">A gradient sampled at clumps looks like groups.</w:t>
      </w:r>
      <w:r>
        <w:t xml:space="preserve"> </w:t>
      </w:r>
      <w:r>
        <w:t xml:space="preserve">Seriation and ordination sort assemblages by resemblance, and the culture historians who drew the phases also sorted them by proximity. On a smooth gradient sampled at clumps, both criteria gather the assemblages of each clump together and draw the lines between clumps. The result looks like a set of distinct groups with boundaries, although nothing in the process that made the pottery has a boundary anywhere</w:t>
      </w:r>
      <w:r>
        <w:t xml:space="preserve"> </w:t>
      </w:r>
      <w:r>
        <w:t xml:space="preserve">(Lipo et al. 1997, 2021)</w:t>
      </w:r>
      <w:r>
        <w:t xml:space="preserve">. This is the difference between typological and population thinking</w:t>
      </w:r>
      <w:r>
        <w:t xml:space="preserve"> </w:t>
      </w:r>
      <w:r>
        <w:t xml:space="preserve">(Dunnell 1980; Mayr 1959)</w:t>
      </w:r>
      <w:r>
        <w:t xml:space="preserve">. Read typologically, a cluster of similar assemblages is a unit with members and an edge. Read as a population, it is a place where a continuous field of copying happened to be sampled.</w:t>
      </w:r>
    </w:p>
    <w:p>
      <w:pPr>
        <w:pStyle w:val="BodyText"/>
      </w:pPr>
      <w:r>
        <w:rPr>
          <w:i/>
          <w:iCs/>
        </w:rPr>
        <w:t xml:space="preserve">A group requires more.</w:t>
      </w:r>
      <w:r>
        <w:t xml:space="preserve"> </w:t>
      </w:r>
      <w:r>
        <w:t xml:space="preserve">A bounded group, whether a community or a polity, concentrates learning inside itself and restricts it across its edge. That leaves properties in stylistic frequencies that spatially structured drift does not produce: differences between groups larger than copying across the same map generates, a step in similarity at the group’s edge, beyond what distance predicts; and boundaries where the pottery changes fastest, so that the pottery rather than the map recovers them</w:t>
      </w:r>
      <w:r>
        <w:t xml:space="preserve"> </w:t>
      </w:r>
      <w:r>
        <w:t xml:space="preserve">(Crema et al. 2016; Henrich 2001; Henrich and Boyd 1998)</w:t>
      </w:r>
      <w:r>
        <w:t xml:space="preserve">. Divergence that grows as interaction narrows would be a further sign, but this record’s chronology cannot test it well (Supplemental Text). Each of these has to be judged against copying with no groups on the real geography, not against zero, and against other lines drawn across the same map, because any line cut through a gradient separates some difference.</w:t>
      </w:r>
    </w:p>
    <w:p>
      <w:pPr>
        <w:pStyle w:val="BodyText"/>
      </w:pPr>
      <w:r>
        <w:t xml:space="preserve">These expectations give the Parkin phase a clear test. If the phase was a polity whose members learned from, married into, and exchanged with one another more than with outsiders, its pottery should stand apart from the rest of the basin by more than copying across distance produces and by more than an arbitrary line drawn across the same sites would separate, with a step in similarity at its edge that other lines do not show. The alternative readings of the late pre-contact valley do not require any of that. On those readings, polities in this part of the valley never achieved regional integration</w:t>
      </w:r>
      <w:r>
        <w:t xml:space="preserve"> </w:t>
      </w:r>
      <w:r>
        <w:t xml:space="preserve">(Rees 2001)</w:t>
      </w:r>
      <w:r>
        <w:t xml:space="preserve">, consistent with models in which Mississippian polities were weakly consolidated, cycling, and short-lived</w:t>
      </w:r>
      <w:r>
        <w:t xml:space="preserve"> </w:t>
      </w:r>
      <w:r>
        <w:t xml:space="preserve">(Anderson 1996; Beck 2003; Blitz 1999; King and Freer 1995)</w:t>
      </w:r>
      <w:r>
        <w:t xml:space="preserve">. In the chronicles, Casqui and its neighbor Pacaha appear in open conflict, as peers would, although the same sources have also been read as ranking Casqui below Pacaha</w:t>
      </w:r>
      <w:r>
        <w:t xml:space="preserve"> </w:t>
      </w:r>
      <w:r>
        <w:t xml:space="preserve">(Hudson et al. 1990; Mitchem 2001; Phyllis A. Morse 1990)</w:t>
      </w:r>
      <w:r>
        <w:t xml:space="preserve">. Settlement form cannot decide between these readings, because a large center with a palisade and a platform mound is as compatible with competing peer communities as with a consolidated hierarchy</w:t>
      </w:r>
      <w:r>
        <w:t xml:space="preserve"> </w:t>
      </w:r>
      <w:r>
        <w:t xml:space="preserve">(King and Freer 1995; Rees 2001)</w:t>
      </w:r>
      <w:r>
        <w:t xml:space="preserve">.</w:t>
      </w:r>
    </w:p>
    <w:bookmarkEnd w:id="115"/>
    <w:bookmarkStart w:id="124" w:name="materials-and-methods"/>
    <w:p>
      <w:pPr>
        <w:pStyle w:val="Heading2"/>
      </w:pPr>
      <w:r>
        <w:t xml:space="preserve">Materials and methods</w:t>
      </w:r>
    </w:p>
    <w:bookmarkStart w:id="116" w:name="data"/>
    <w:p>
      <w:pPr>
        <w:pStyle w:val="Heading3"/>
      </w:pPr>
      <w:r>
        <w:t xml:space="preserve">Data</w:t>
      </w:r>
    </w:p>
    <w:p>
      <w:pPr>
        <w:pStyle w:val="FirstParagraph"/>
      </w:pPr>
      <w:r>
        <w:t xml:space="preserve">The ceramic data are decorated-class counts from the Lower Mississippi Valley Survey collections of Phillips, Ford, and Griffin</w:t>
      </w:r>
      <w:r>
        <w:t xml:space="preserve"> </w:t>
      </w:r>
      <w:r>
        <w:t xml:space="preserve">(1951)</w:t>
      </w:r>
      <w:r>
        <w:t xml:space="preserve">, as compiled by Lipo</w:t>
      </w:r>
      <w:r>
        <w:t xml:space="preserve"> </w:t>
      </w:r>
      <w:r>
        <w:t xml:space="preserve">(2001)</w:t>
      </w:r>
      <w:r>
        <w:t xml:space="preserve">. We use decorated classes only, because the neutral model applies to stylistic variation, variants whose frequencies change through copying and chance rather than through how a pot performs</w:t>
      </w:r>
      <w:r>
        <w:t xml:space="preserve"> </w:t>
      </w:r>
      <w:r>
        <w:t xml:space="preserve">(Dunnell 1978; Neiman 1995)</w:t>
      </w:r>
      <w:r>
        <w:t xml:space="preserve">. Plain wares track vessel function, paste, and the activities carried out at a site, none of which a copying model represents; Mississippi Plain and Bell Plain make up 87 percent of the typed sherds in the one published table for the region that reports them</w:t>
      </w:r>
      <w:r>
        <w:t xml:space="preserve"> </w:t>
      </w:r>
      <w:r>
        <w:t xml:space="preserve">(Mainfort 2003)</w:t>
      </w:r>
      <w:r>
        <w:t xml:space="preserve">. Ten decorated classes remain, one pooling Barton Incised, Kent Incised, and Mound Place Incised and one pooling the painted types Old Town Red, Nodena Red and White, and Avenue Polychrome. Each class is a culture-history type, a unit of measurement built by analysts, not a category assumed to have existed in the past.</w:t>
      </w:r>
    </w:p>
    <w:p>
      <w:pPr>
        <w:pStyle w:val="BodyText"/>
      </w:pPr>
      <w:r>
        <w:t xml:space="preserve">Each assemblage takes its counts from a single source, and no counts are summed across sources. Of the 38 assemblages in the matrix, 20 come from Lipo’s compilation, which adds controlled surface collections and limited excavation in 1996 and 1997 at seven sites</w:t>
      </w:r>
      <w:r>
        <w:t xml:space="preserve"> </w:t>
      </w:r>
      <w:r>
        <w:t xml:space="preserve">(Lipo 2001)</w:t>
      </w:r>
      <w:r>
        <w:t xml:space="preserve">, and 18 carry the original survey counts alone. Mainfort</w:t>
      </w:r>
      <w:r>
        <w:t xml:space="preserve"> </w:t>
      </w:r>
      <w:r>
        <w:t xml:space="preserve">(2003)</w:t>
      </w:r>
      <w:r>
        <w:t xml:space="preserve"> </w:t>
      </w:r>
      <w:r>
        <w:t xml:space="preserve">compiled a separate table of 39 sites, each with at least 800 sherds, drawn largely from the same survey files with additional sources</w:t>
      </w:r>
      <w:r>
        <w:t xml:space="preserve"> </w:t>
      </w:r>
      <w:r>
        <w:t xml:space="preserve">(Mainfort 2003:182)</w:t>
      </w:r>
      <w:r>
        <w:t xml:space="preserve">. Because his counts are not independent of ours, we never combine them; we use his table only for a second, separate test under his own phase assignments.</w:t>
      </w:r>
    </w:p>
    <w:p>
      <w:pPr>
        <w:pStyle w:val="BodyText"/>
      </w:pPr>
      <w:r>
        <w:t xml:space="preserve">An assemblage enters the analysis when Mainfort</w:t>
      </w:r>
      <w:r>
        <w:t xml:space="preserve"> </w:t>
      </w:r>
      <w:r>
        <w:t xml:space="preserve">(1996)</w:t>
      </w:r>
      <w:r>
        <w:t xml:space="preserve"> </w:t>
      </w:r>
      <w:r>
        <w:t xml:space="preserve">assigns it to one of the basin’s phases, or when it falls inside the territory his assignments define. The Parchman phase is excluded on geography, because its three assemblages lie across the Mississippi in Coahoma County, 30 to 46 km from the nearest other assemblage. An assemblage also needs at least 75 decorated sherds, the smallest count at which sampling alone rarely produces a difference between two assemblages as large as those the comparisons below turn on (Supplemental Text). These rules leave 28 assemblages holding 14,101 decorated sherds (median 251 per assemblage, range 79 to 1,709) in three phases: Parkin with 11 assemblages, Kent with 8, and Walls with 9. Twenty-five carry Mainfort’s assignment and three the territory’s. Nodena keeps only one assemblage above the minimum, and Jones Bayou and Tipton have decorated counts only in Mainfort’s table, so the three phases tested are the ones the survey sampled well enough for a between-group measure to mean something.</w:t>
      </w:r>
    </w:p>
    <w:p>
      <w:pPr>
        <w:pStyle w:val="BodyText"/>
      </w:pPr>
      <w:r>
        <w:t xml:space="preserve">We georeferenced each assemblage from the Lower Mississippi Survey site files. Where a location derives from a survey coordinate, we read it in the survey’s original 1927 datum (Supplemental Text). Settlement attributes come from a regional database</w:t>
      </w:r>
      <w:r>
        <w:t xml:space="preserve"> </w:t>
      </w:r>
      <w:r>
        <w:t xml:space="preserve">(Lipo and Dunnell 2007)</w:t>
      </w:r>
      <w:r>
        <w:t xml:space="preserve">.</w:t>
      </w:r>
    </w:p>
    <w:p>
      <w:pPr>
        <w:pStyle w:val="BodyText"/>
      </w:pPr>
      <w:r>
        <w:t xml:space="preserve">Two properties of the data limit what any transmission analysis can claim. The assemblages are time-averaged, so sherds made at different times are counted together, which distorts diversity and neutrality measures in proportion to how long variants remain in use</w:t>
      </w:r>
      <w:r>
        <w:t xml:space="preserve"> </w:t>
      </w:r>
      <w:r>
        <w:t xml:space="preserve">(Madsen 2012; Miller-Atkins and Premo 2018)</w:t>
      </w:r>
      <w:r>
        <w:t xml:space="preserve">. The neutral model also describes people copying one another, whereas an assemblage counts durable objects, so its expectations apply to this record only approximately</w:t>
      </w:r>
      <w:r>
        <w:t xml:space="preserve"> </w:t>
      </w:r>
      <w:r>
        <w:t xml:space="preserve">(Crema et al. 2024)</w:t>
      </w:r>
      <w:r>
        <w:t xml:space="preserve">.</w:t>
      </w:r>
    </w:p>
    <w:bookmarkEnd w:id="116"/>
    <w:bookmarkStart w:id="120" w:name="chronology"/>
    <w:p>
      <w:pPr>
        <w:pStyle w:val="Heading3"/>
      </w:pPr>
      <w:r>
        <w:t xml:space="preserve">Chronology</w:t>
      </w:r>
    </w:p>
    <w:p>
      <w:pPr>
        <w:pStyle w:val="FirstParagraph"/>
      </w:pPr>
      <w:r>
        <w:t xml:space="preserve">Radiocarbon determinations compiled by Mainfort</w:t>
      </w:r>
      <w:r>
        <w:t xml:space="preserve"> </w:t>
      </w:r>
      <w:r>
        <w:t xml:space="preserve">(2001)</w:t>
      </w:r>
      <w:r>
        <w:t xml:space="preserve">, calibrated against IntCal20</w:t>
      </w:r>
      <w:r>
        <w:t xml:space="preserve"> </w:t>
      </w:r>
      <w:r>
        <w:t xml:space="preserve">(</w:t>
      </w:r>
      <w:r>
        <w:t xml:space="preserve">Reimer et al.</w:t>
      </w:r>
      <w:r>
        <w:t xml:space="preserve"> </w:t>
      </w:r>
      <w:r>
        <w:t xml:space="preserve">2020)</w:t>
      </w:r>
      <w:r>
        <w:t xml:space="preserve">, place the basin occupation in the fourteenth to sixteenth centuries (summed-probability median AD 1428; Parkin, AD 1483), with a decline across the contact interval (Supplemental Text). A calibration plateau across that interval prevents year-scale resolution</w:t>
      </w:r>
      <w:r>
        <w:t xml:space="preserve"> </w:t>
      </w:r>
      <w:r>
        <w:t xml:space="preserve">(Holland-Lulewicz and Ritchison 2021)</w:t>
      </w:r>
      <w:r>
        <w:t xml:space="preserve">, and only four dated proveniences match our assemblages. We therefore order the assemblages by the first axis of a correspondence analysis of their decorated-class frequencies (Figure 2)</w:t>
      </w:r>
      <w:r>
        <w:t xml:space="preserve"> </w:t>
      </w:r>
      <w:r>
        <w:t xml:space="preserve">(Baxter 1994; Peeples and Schachner 2012; Smith and Neiman 2007)</w:t>
      </w:r>
      <w:r>
        <w:t xml:space="preserve">. That axis follows geography more closely than time. Its rank correlation with latitude is +0.77, and latitude and longitude together account for 62 percent of its variance. Kent Place and Hollywood, the two earliest dated sites, lie at the same end as Clay Hill, the latest</w:t>
      </w:r>
      <w:r>
        <w:t xml:space="preserve"> </w:t>
      </w:r>
      <w:r>
        <w:t xml:space="preserve">(Haley 2014; House 1993:23)</w:t>
      </w:r>
      <w:r>
        <w:t xml:space="preserve"> </w:t>
      </w:r>
      <w:r>
        <w:t xml:space="preserve">(Supplemental Text). An order along the axis is an order in space at least as much as in time, and none of the tests of the phase lines depends on it.</w:t>
      </w:r>
    </w:p>
    <w:p>
      <w:pPr>
        <w:pStyle w:val="CaptionedFigure"/>
      </w:pPr>
      <w:r>
        <w:drawing>
          <wp:inline>
            <wp:extent cx="5334000" cy="3639186"/>
            <wp:effectExtent b="0" l="0" r="0" t="0"/>
            <wp:docPr descr="Figure 2. Correspondence-analysis seriation of the 28 decorated assemblages, plotted on the first two dimensions and colored by rank on the first (oriented, as in every analysis, in the direction the pooled calibrated medians of the four radiocarbon-dated assemblages weakly favor; they do not establish it). Parkin is starred. The assemblages form a continuum rather than discrete clusters, echoing Mainfort’s (2003) independent ordination." title="" id="118" name="Picture"/>
            <a:graphic>
              <a:graphicData uri="http://schemas.openxmlformats.org/drawingml/2006/picture">
                <pic:pic>
                  <pic:nvPicPr>
                    <pic:cNvPr descr="../../figures/fig4_ca_ordination.png" id="119" name="Picture"/>
                    <pic:cNvPicPr>
                      <a:picLocks noChangeArrowheads="1" noChangeAspect="1"/>
                    </pic:cNvPicPr>
                  </pic:nvPicPr>
                  <pic:blipFill>
                    <a:blip r:embed="rId117"/>
                    <a:stretch>
                      <a:fillRect/>
                    </a:stretch>
                  </pic:blipFill>
                  <pic:spPr bwMode="auto">
                    <a:xfrm>
                      <a:off x="0" y="0"/>
                      <a:ext cx="5334000" cy="3639186"/>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Correspondence-analysis seriation of the 28 decorated assemblages, plotted on the first two dimensions and colored by rank on the first (oriented, as in every analysis, in the direction the pooled calibrated medians of the four radiocarbon-dated assemblages weakly favor; they do not establish it). Parkin is starred. The assemblages form a continuum rather than discrete clusters, echoing Mainfort’s (2003) independent ordination.</w:t>
      </w:r>
    </w:p>
    <w:bookmarkEnd w:id="120"/>
    <w:bookmarkStart w:id="121" w:name="measures"/>
    <w:p>
      <w:pPr>
        <w:pStyle w:val="Heading3"/>
      </w:pPr>
      <w:r>
        <w:t xml:space="preserve">Measures</w:t>
      </w:r>
    </w:p>
    <w:p>
      <w:pPr>
        <w:pStyle w:val="FirstParagraph"/>
      </w:pPr>
      <w:r>
        <w:t xml:space="preserve">Two measures carry the tests. The first is a cultural version of Wright’s</w:t>
      </w:r>
      <w:r>
        <w:t xml:space="preserve"> </w:t>
      </w:r>
      <m:oMath>
        <m:sSub>
          <m:e>
            <m:r>
              <m:t>F</m:t>
            </m:r>
          </m:e>
          <m:sub>
            <m:r>
              <m:t>S</m:t>
            </m:r>
            <m:r>
              <m:t>T</m:t>
            </m:r>
          </m:sub>
        </m:sSub>
      </m:oMath>
      <w:r>
        <w:t xml:space="preserve"> </w:t>
      </w:r>
      <w:r>
        <w:t xml:space="preserve">(Bell et al. 2009; Wright 1951)</w:t>
      </w:r>
      <w:r>
        <w:t xml:space="preserve">, which says how much of the variation in decoration lies between groups rather than within them. We measure decorated diversity with the Gini-Simpson index, the probability that two sherds drawn at random belong to different classes, and cultural</w:t>
      </w:r>
      <w:r>
        <w:t xml:space="preserve"> </w:t>
      </w:r>
      <m:oMath>
        <m:sSub>
          <m:e>
            <m:r>
              <m:t>F</m:t>
            </m:r>
          </m:e>
          <m:sub>
            <m:r>
              <m:t>S</m:t>
            </m:r>
            <m:r>
              <m:t>T</m:t>
            </m:r>
          </m:sub>
        </m:sSub>
      </m:oMath>
      <w:r>
        <w:t xml:space="preserve"> </w:t>
      </w:r>
      <w:r>
        <w:t xml:space="preserve">is how much more diverse the pooled assemblages are than the average group, as a fraction of the pooled diversity, weighted by assemblage size. This is Nei’s</w:t>
      </w:r>
      <w:r>
        <w:t xml:space="preserve"> </w:t>
      </w:r>
      <w:r>
        <w:t xml:space="preserve">(1973)</w:t>
      </w:r>
      <w:r>
        <w:t xml:space="preserve"> </w:t>
      </w:r>
      <w:r>
        <w:t xml:space="preserve">diversity form of the index. When all groups draw on one shared pool it sits near zero, and as groups come to favor distinct repertoires it climbs. The second measure is the boundary excess: similarity between assemblages, measured with the Brainerd-Robinson coefficient</w:t>
      </w:r>
      <w:r>
        <w:t xml:space="preserve"> </w:t>
      </w:r>
      <w:r>
        <w:t xml:space="preserve">(Brainerd 1951; Robinson 1951)</w:t>
      </w:r>
      <w:r>
        <w:t xml:space="preserve">, normally fades smoothly with distance, and the step in similarity at a line, which we measure as a boundary excess, is how much more similarity is lost across the line than distance predicts.</w:t>
      </w:r>
    </w:p>
    <w:p>
      <w:pPr>
        <w:pStyle w:val="BodyText"/>
      </w:pPr>
      <w:r>
        <w:t xml:space="preserve">We established before looking at the phases that cultural</w:t>
      </w:r>
      <w:r>
        <w:t xml:space="preserve"> </w:t>
      </w:r>
      <m:oMath>
        <m:sSub>
          <m:e>
            <m:r>
              <m:t>F</m:t>
            </m:r>
          </m:e>
          <m:sub>
            <m:r>
              <m:t>S</m:t>
            </m:r>
            <m:r>
              <m:t>T</m:t>
            </m:r>
          </m:sub>
        </m:sSub>
      </m:oMath>
      <w:r>
        <w:t xml:space="preserve"> </w:t>
      </w:r>
      <w:r>
        <w:t xml:space="preserve">can detect a boundary on a record like this one. On synthetic assemblages built to match the real record, at its real sample sizes, positions, and time-averaging, with groups of known strength imposed, cultural</w:t>
      </w:r>
      <w:r>
        <w:t xml:space="preserve"> </w:t>
      </w:r>
      <m:oMath>
        <m:sSub>
          <m:e>
            <m:r>
              <m:t>F</m:t>
            </m:r>
          </m:e>
          <m:sub>
            <m:r>
              <m:t>S</m:t>
            </m:r>
            <m:r>
              <m:t>T</m:t>
            </m:r>
          </m:sub>
        </m:sSub>
      </m:oMath>
      <w:r>
        <w:t xml:space="preserve"> </w:t>
      </w:r>
      <w:r>
        <w:t xml:space="preserve">tracked the imposed groups steadily. Three other measures often used for the purpose, the departure from unbiased copying</w:t>
      </w:r>
      <w:r>
        <w:t xml:space="preserve"> </w:t>
      </w:r>
      <w:r>
        <w:t xml:space="preserve">(Neiman 1995; Shennan and Wilkinson 2001)</w:t>
      </w:r>
      <w:r>
        <w:t xml:space="preserve">, the breakdown of a single seriation into several</w:t>
      </w:r>
      <w:r>
        <w:t xml:space="preserve"> </w:t>
      </w:r>
      <w:r>
        <w:t xml:space="preserve">(Lipo et al. 2015)</w:t>
      </w:r>
      <w:r>
        <w:t xml:space="preserve">, and the boundary excess, did not (Supplemental Text, Figures S1 to S3). We therefore draw inferences about groups from cultural</w:t>
      </w:r>
      <w:r>
        <w:t xml:space="preserve"> </w:t>
      </w:r>
      <m:oMath>
        <m:sSub>
          <m:e>
            <m:r>
              <m:t>F</m:t>
            </m:r>
          </m:e>
          <m:sub>
            <m:r>
              <m:t>S</m:t>
            </m:r>
            <m:r>
              <m:t>T</m:t>
            </m:r>
          </m:sub>
        </m:sSub>
      </m:oMath>
      <w:r>
        <w:t xml:space="preserve">, and use the step in similarity to describe what the copying model misses and to ask whether the phase lines show more of it than other lines do.</w:t>
      </w:r>
    </w:p>
    <w:p>
      <w:pPr>
        <w:pStyle w:val="BodyText"/>
      </w:pPr>
      <w:r>
        <w:t xml:space="preserve">Spatial divisions of the basin other than the phases are formed by</w:t>
      </w:r>
      <w:r>
        <w:t xml:space="preserve"> </w:t>
      </w:r>
      <w:r>
        <w:rPr>
          <w:i/>
          <w:iCs/>
        </w:rPr>
        <w:t xml:space="preserve">k</w:t>
      </w:r>
      <w:r>
        <w:t xml:space="preserve">-means on the assemblage coordinates. The site layout is best described by two clusters, judged by the silhouette score, which rewards clusters that are compact and well separated. Because cultural</w:t>
      </w:r>
      <w:r>
        <w:t xml:space="preserve"> </w:t>
      </w:r>
      <m:oMath>
        <m:sSub>
          <m:e>
            <m:r>
              <m:t>F</m:t>
            </m:r>
          </m:e>
          <m:sub>
            <m:r>
              <m:t>S</m:t>
            </m:r>
            <m:r>
              <m:t>T</m:t>
            </m:r>
          </m:sub>
        </m:sSub>
      </m:oMath>
      <w:r>
        <w:t xml:space="preserve"> </w:t>
      </w:r>
      <w:r>
        <w:t xml:space="preserve">depends on how many pieces the basin is cut into, we also fit a model that uses no divisions at all. It treats decorated-class composition as a continuous surface over the map, with a separate term for whatever is specific to each site, and asks how much of the variation among assemblages follows location and how much belongs to individual sites. Bounded groups would leave site-specific character that location does not explain.</w:t>
      </w:r>
    </w:p>
    <w:bookmarkEnd w:id="121"/>
    <w:bookmarkStart w:id="122" w:name="neutral-copying-on-the-real-map"/>
    <w:p>
      <w:pPr>
        <w:pStyle w:val="Heading3"/>
      </w:pPr>
      <w:r>
        <w:t xml:space="preserve">Neutral copying on the real map</w:t>
      </w:r>
    </w:p>
    <w:p>
      <w:pPr>
        <w:pStyle w:val="FirstParagraph"/>
      </w:pPr>
      <w:r>
        <w:t xml:space="preserve">The central comparison runs a model of copying with no groups on the real geography of the assemblages and asks whether it reproduces the record. The model follows the finite-population network model of Lipo, DiNapoli, Madsen, and Hunt</w:t>
      </w:r>
      <w:r>
        <w:t xml:space="preserve"> </w:t>
      </w:r>
      <w:r>
        <w:t xml:space="preserve">(2021)</w:t>
      </w:r>
      <w:r>
        <w:t xml:space="preserve">. Each assemblage is a node holding a finite population of learners, who copy decorated classes mostly within their node and occasionally from other nodes, with a probability that falls off with distance along the rivers. New variants enter at a constant rate, in proportion to each class’s share of the region’s pooled counts, which reflects that the types lump unequal numbers of decorative variants. We call this the copying model; it contains no groups. Deposition is pooled over a trailing window of eight time steps to reproduce time-averaging, and the simulated assemblages are subsampled to each real assemblage’s sherd count.</w:t>
      </w:r>
    </w:p>
    <w:p>
      <w:pPr>
        <w:pStyle w:val="BodyText"/>
      </w:pPr>
      <w:r>
        <w:t xml:space="preserve">A copying model’s predictions about differences between groups depend on population size, innovation rate, and mixing rate together, so we first tune those three to reproduce the diversity within the real assemblages: mean within-assemblage diversity, mean number of classes present, and the diversity of all assemblages pooled. None of these involves the groups being tested. We search a grid of 297 combinations and keep those whose simulations match all three summaries within 10 percent, confirmed by rerunning each fifty times (Supplemental Text). Among the confirmed combinations we use the one that produces the most between-group difference, so the comparison is as favorable to the no-groups model as the grid allows, and we repeat the key comparisons at the next five. For each comparison we report the share of simulated datasets that reach the observed value, a predictive check of the model against the record.</w:t>
      </w:r>
    </w:p>
    <w:p>
      <w:pPr>
        <w:pStyle w:val="BodyText"/>
      </w:pPr>
      <w:r>
        <w:t xml:space="preserve">To give the phases a fair chance to be groups, we also ran the model with both properties a bounded group would have: copying across the phase lines weakened to between half and three percent of its strength, and new variants in each phase drawn from a partly reordered version of the regional profile, so that new styles arise locally. The 16 combinations of those settings were each run 300 times, and an approximate Bayesian posterior over them says which the record favors (Supplemental Text).</w:t>
      </w:r>
    </w:p>
    <w:bookmarkEnd w:id="122"/>
    <w:bookmarkStart w:id="123" w:name="X3bf400f88ac4cd19518a893400b8bcdfe3bddf5"/>
    <w:p>
      <w:pPr>
        <w:pStyle w:val="Heading3"/>
      </w:pPr>
      <w:r>
        <w:t xml:space="preserve">Tests of the phase lines and of the Parkin phase</w:t>
      </w:r>
    </w:p>
    <w:p>
      <w:pPr>
        <w:pStyle w:val="FirstParagraph"/>
      </w:pPr>
      <w:r>
        <w:t xml:space="preserve">Five tests ask whether the phase lines behave as the edges of groups would. First, we compare the between-group</w:t>
      </w:r>
      <w:r>
        <w:t xml:space="preserve"> </w:t>
      </w:r>
      <m:oMath>
        <m:sSub>
          <m:e>
            <m:r>
              <m:t>F</m:t>
            </m:r>
          </m:e>
          <m:sub>
            <m:r>
              <m:t>S</m:t>
            </m:r>
            <m:r>
              <m:t>T</m:t>
            </m:r>
          </m:sub>
        </m:sSub>
      </m:oMath>
      <w:r>
        <w:t xml:space="preserve"> </w:t>
      </w:r>
      <w:r>
        <w:t xml:space="preserve">and boundary excess under the phase assignments with alternative divisions of the same assemblages into groups of the same sizes, drawn either around randomly placed centers or to be as spatially compact as possible. We state each comparison as the posterior probability that the phase lines separate the pottery better than an alternative, drawing each assemblage’s class proportions from their posterior (2,000 times for</w:t>
      </w:r>
      <w:r>
        <w:t xml:space="preserve"> </w:t>
      </w:r>
      <m:oMath>
        <m:sSub>
          <m:e>
            <m:r>
              <m:t>F</m:t>
            </m:r>
          </m:e>
          <m:sub>
            <m:r>
              <m:t>S</m:t>
            </m:r>
            <m:r>
              <m:t>T</m:t>
            </m:r>
          </m:sub>
        </m:sSub>
      </m:oMath>
      <w:r>
        <w:t xml:space="preserve">, 500 for the step in similarity) so that the uncertainty in the counts is carried through. Simulations with copying restricted at the phase lines show whether this comparison could detect such a restriction. Second, we cluster the assemblages using site coordinates and decorated-class composition together, varying how much weight composition carries, and measure agreement with Mainfort’s assignments with the adjusted Rand index, which is zero on average for unrelated divisions and one for identical ones. Third, we map the local rate at which composition changes and ask whether the phase lines fall where it changes fastest. Fourth, we run the copying model on the real map and cluster its simulated pottery exactly as we cluster the real pottery. Fifth, we ask whether the phase lines run through gaps in late-period settlement, using sites independent of the analyzed assemblages.</w:t>
      </w:r>
    </w:p>
    <w:p>
      <w:pPr>
        <w:pStyle w:val="BodyText"/>
      </w:pPr>
      <w:r>
        <w:t xml:space="preserve">The Parkin phase is tested the same way, as a division of the basin into the Parkin phase and the rest, against the copying model and against arbitrary divisions of the same sizes. A polity should also leave traces outside the pottery. We examine the distribution of maximum mound height within the basin, the one attribute recorded the same way at every site, to ask whether sites form the hierarchy of settlement types and sizes that Peebles and Kus</w:t>
      </w:r>
      <w:r>
        <w:t xml:space="preserve"> </w:t>
      </w:r>
      <w:r>
        <w:t xml:space="preserve">(1977:431)</w:t>
      </w:r>
      <w:r>
        <w:t xml:space="preserve"> </w:t>
      </w:r>
      <w:r>
        <w:t xml:space="preserve">take as a correlate of ranked society, and we draw on Cobb’s</w:t>
      </w:r>
      <w:r>
        <w:t xml:space="preserve"> </w:t>
      </w:r>
      <w:r>
        <w:t xml:space="preserve">(2000)</w:t>
      </w:r>
      <w:r>
        <w:t xml:space="preserve"> </w:t>
      </w:r>
      <w:r>
        <w:t xml:space="preserve">analysis of the production and distribution of Mill Creek chert hoes, goods whose control would mark economic centralization.</w:t>
      </w:r>
    </w:p>
    <w:bookmarkEnd w:id="123"/>
    <w:bookmarkEnd w:id="124"/>
    <w:bookmarkStart w:id="153" w:name="results"/>
    <w:p>
      <w:pPr>
        <w:pStyle w:val="Heading2"/>
      </w:pPr>
      <w:r>
        <w:t xml:space="preserve">Results</w:t>
      </w:r>
    </w:p>
    <w:bookmarkStart w:id="125" w:name="what-spatially-structured-drift-explains"/>
    <w:p>
      <w:pPr>
        <w:pStyle w:val="Heading3"/>
      </w:pPr>
      <w:r>
        <w:t xml:space="preserve">What spatially structured drift explains</w:t>
      </w:r>
    </w:p>
    <w:p>
      <w:pPr>
        <w:pStyle w:val="FirstParagraph"/>
      </w:pPr>
      <w:r>
        <w:t xml:space="preserve">Neutral copying on the real map accounts for most of what the basin’s decorated-type frequencies show. Tuning the model to the record’s diversity matched 50 of the 297 combinations on the six-run screen, and 45 still matched when rerun fifty times (Supplemental Text, Figure S7). At the matched combination most favorable to it (2,000 learners per node, an innovation rate of 0.001, and a mixing rate of 0.02), copying with no groups reproduces the fading of similarity with distance (observed rank correlation -0.20, against a simulated 95 percent range of -0.53 to +0.04) and the difference between the two spatial clusters the site layout supports (Table 1).</w:t>
      </w:r>
    </w:p>
    <w:p>
      <w:pPr>
        <w:pStyle w:val="BodyText"/>
      </w:pPr>
      <w:r>
        <w:t xml:space="preserve">A model with no divisions at all gives the same picture. It assigns 99.6 percent of the variation in composition among assemblages to location (95 percent credible interval 97.2 to 100 percent), leaving almost none of the site-specific character that bounded groups would produce, and it reproduces the observed between-cluster</w:t>
      </w:r>
      <w:r>
        <w:t xml:space="preserve"> </w:t>
      </w:r>
      <m:oMath>
        <m:sSub>
          <m:e>
            <m:r>
              <m:t>F</m:t>
            </m:r>
          </m:e>
          <m:sub>
            <m:r>
              <m:t>S</m:t>
            </m:r>
            <m:r>
              <m:t>T</m:t>
            </m:r>
          </m:sub>
        </m:sSub>
      </m:oMath>
      <w:r>
        <w:t xml:space="preserve"> </w:t>
      </w:r>
      <w:r>
        <w:t xml:space="preserve">at three clusters, the fading of similarity with distance, and the spread of diversity among assemblages (Supplemental Text). Composition changes across the basin as a broad, continuous gradient. This model describes the pattern rather than a mechanism, and its surface can bend over short distances, so it also carries variation that the copying model, taken next, does not produce.</w:t>
      </w:r>
    </w:p>
    <w:p>
      <w:pPr>
        <w:pStyle w:val="BodyText"/>
      </w:pPr>
      <w:r>
        <w:rPr>
          <w:b/>
          <w:bCs/>
        </w:rPr>
        <w:t xml:space="preserve">Table 1.</w:t>
      </w:r>
      <w:r>
        <w:t xml:space="preserve"> </w:t>
      </w:r>
      <w:r>
        <w:t xml:space="preserve">Observed between-group cultural</w:t>
      </w:r>
      <w:r>
        <w:t xml:space="preserve"> </w:t>
      </w:r>
      <m:oMath>
        <m:sSub>
          <m:e>
            <m:r>
              <m:t>F</m:t>
            </m:r>
          </m:e>
          <m:sub>
            <m:r>
              <m:t>S</m:t>
            </m:r>
            <m:r>
              <m:t>T</m:t>
            </m:r>
          </m:sub>
        </m:sSub>
      </m:oMath>
      <w:r>
        <w:t xml:space="preserve"> </w:t>
      </w:r>
      <w:r>
        <w:t xml:space="preserve">against the neutral copying model, which contains no groups. Model values are the median and 95 percent range over 300 runs at the matched combination most favorable to the model; the last column gives the share of runs reaching the observed value there and, in parentheses, the range of that share across the six most favorable combinations that passed the confirmation. Radius is the root-mean-square distance from an assemblage to its group’s center. At five or more clusters at least one cluster holds a single assemblage, so finer divisions are reported only in the Supplemental Text.</w:t>
      </w:r>
    </w:p>
    <w:tbl>
      <w:tblPr>
        <w:tblStyle w:val="Table"/>
        <w:tblW w:type="pct" w:w="5000"/>
        <w:tblLayout w:type="fixed"/>
        <w:tblLook w:firstRow="1" w:lastRow="0" w:firstColumn="0" w:lastColumn="0" w:noHBand="0" w:noVBand="0" w:val="0020"/>
      </w:tblPr>
      <w:tblGrid>
        <w:gridCol w:w="1131"/>
        <w:gridCol w:w="1508"/>
        <w:gridCol w:w="1508"/>
        <w:gridCol w:w="1508"/>
        <w:gridCol w:w="1131"/>
        <w:gridCol w:w="1131"/>
      </w:tblGrid>
      <w:tr>
        <w:trPr>
          <w:tblHeader w:val="on"/>
        </w:trPr>
        <w:tc>
          <w:tcPr/>
          <w:p>
            <w:pPr>
              <w:pStyle w:val="Compact"/>
            </w:pPr>
            <w:r>
              <w:t xml:space="preserve">Division</w:t>
            </w:r>
          </w:p>
        </w:tc>
        <w:tc>
          <w:tcPr/>
          <w:p>
            <w:pPr>
              <w:pStyle w:val="Compact"/>
              <w:jc w:val="right"/>
            </w:pPr>
            <w:r>
              <w:t xml:space="preserve">Groups</w:t>
            </w:r>
          </w:p>
        </w:tc>
        <w:tc>
          <w:tcPr/>
          <w:p>
            <w:pPr>
              <w:pStyle w:val="Compact"/>
              <w:jc w:val="right"/>
            </w:pPr>
            <w:r>
              <w:t xml:space="preserve">Radius (km)</w:t>
            </w:r>
          </w:p>
        </w:tc>
        <w:tc>
          <w:tcPr/>
          <w:p>
            <w:pPr>
              <w:pStyle w:val="Compact"/>
              <w:jc w:val="right"/>
            </w:pPr>
            <w:r>
              <w:t xml:space="preserve">Observed</w:t>
            </w:r>
          </w:p>
        </w:tc>
        <w:tc>
          <w:tcPr/>
          <w:p>
            <w:pPr>
              <w:pStyle w:val="Compact"/>
            </w:pPr>
            <w:r>
              <w:t xml:space="preserve">Model median (95 percent range)</w:t>
            </w:r>
          </w:p>
        </w:tc>
        <w:tc>
          <w:tcPr/>
          <w:p>
            <w:pPr>
              <w:pStyle w:val="Compact"/>
            </w:pPr>
            <w:r>
              <w:t xml:space="preserve">Runs reaching observed</w:t>
            </w:r>
          </w:p>
        </w:tc>
      </w:tr>
      <w:tr>
        <w:tc>
          <w:tcPr/>
          <w:p>
            <w:pPr>
              <w:pStyle w:val="Compact"/>
            </w:pPr>
            <w:r>
              <w:t xml:space="preserve">Two spatial clusters (the Parkin phase against the rest)</w:t>
            </w:r>
          </w:p>
        </w:tc>
        <w:tc>
          <w:tcPr/>
          <w:p>
            <w:pPr>
              <w:pStyle w:val="Compact"/>
              <w:jc w:val="right"/>
            </w:pPr>
            <w:r>
              <w:t xml:space="preserve">2</w:t>
            </w:r>
          </w:p>
        </w:tc>
        <w:tc>
          <w:tcPr/>
          <w:p>
            <w:pPr>
              <w:pStyle w:val="Compact"/>
              <w:jc w:val="right"/>
            </w:pPr>
            <w:r>
              <w:t xml:space="preserve">17.6</w:t>
            </w:r>
          </w:p>
        </w:tc>
        <w:tc>
          <w:tcPr/>
          <w:p>
            <w:pPr>
              <w:pStyle w:val="Compact"/>
              <w:jc w:val="right"/>
            </w:pPr>
            <w:r>
              <w:t xml:space="preserve">0.0062</w:t>
            </w:r>
          </w:p>
        </w:tc>
        <w:tc>
          <w:tcPr/>
          <w:p>
            <w:pPr>
              <w:pStyle w:val="Compact"/>
            </w:pPr>
            <w:r>
              <w:t xml:space="preserve">0.0019 (0.0002 to 0.0124)</w:t>
            </w:r>
          </w:p>
        </w:tc>
        <w:tc>
          <w:tcPr/>
          <w:p>
            <w:pPr>
              <w:pStyle w:val="Compact"/>
            </w:pPr>
            <w:r>
              <w:t xml:space="preserve">13% (4 to 16%)</w:t>
            </w:r>
          </w:p>
        </w:tc>
      </w:tr>
      <w:tr>
        <w:tc>
          <w:tcPr/>
          <w:p>
            <w:pPr>
              <w:pStyle w:val="Compact"/>
            </w:pPr>
            <w:r>
              <w:t xml:space="preserve">The published phases</w:t>
            </w:r>
          </w:p>
        </w:tc>
        <w:tc>
          <w:tcPr/>
          <w:p>
            <w:pPr>
              <w:pStyle w:val="Compact"/>
              <w:jc w:val="right"/>
            </w:pPr>
            <w:r>
              <w:t xml:space="preserve">3</w:t>
            </w:r>
          </w:p>
        </w:tc>
        <w:tc>
          <w:tcPr/>
          <w:p>
            <w:pPr>
              <w:pStyle w:val="Compact"/>
              <w:jc w:val="right"/>
            </w:pPr>
            <w:r>
              <w:t xml:space="preserve">13.8</w:t>
            </w:r>
          </w:p>
        </w:tc>
        <w:tc>
          <w:tcPr/>
          <w:p>
            <w:pPr>
              <w:pStyle w:val="Compact"/>
              <w:jc w:val="right"/>
            </w:pPr>
            <w:r>
              <w:t xml:space="preserve">0.0110</w:t>
            </w:r>
          </w:p>
        </w:tc>
        <w:tc>
          <w:tcPr/>
          <w:p>
            <w:pPr>
              <w:pStyle w:val="Compact"/>
            </w:pPr>
            <w:r>
              <w:t xml:space="preserve">0.0034 (0.0008 to 0.0138)</w:t>
            </w:r>
          </w:p>
        </w:tc>
        <w:tc>
          <w:tcPr/>
          <w:p>
            <w:pPr>
              <w:pStyle w:val="Compact"/>
            </w:pPr>
            <w:r>
              <w:t xml:space="preserve">5% (1 to 12%)</w:t>
            </w:r>
          </w:p>
        </w:tc>
      </w:tr>
      <w:tr>
        <w:tc>
          <w:tcPr/>
          <w:p>
            <w:pPr>
              <w:pStyle w:val="Compact"/>
            </w:pPr>
            <w:r>
              <w:t xml:space="preserve">Three spatial clusters</w:t>
            </w:r>
          </w:p>
        </w:tc>
        <w:tc>
          <w:tcPr/>
          <w:p>
            <w:pPr>
              <w:pStyle w:val="Compact"/>
              <w:jc w:val="right"/>
            </w:pPr>
            <w:r>
              <w:t xml:space="preserve">3</w:t>
            </w:r>
          </w:p>
        </w:tc>
        <w:tc>
          <w:tcPr/>
          <w:p>
            <w:pPr>
              <w:pStyle w:val="Compact"/>
              <w:jc w:val="right"/>
            </w:pPr>
            <w:r>
              <w:t xml:space="preserve">13.6</w:t>
            </w:r>
          </w:p>
        </w:tc>
        <w:tc>
          <w:tcPr/>
          <w:p>
            <w:pPr>
              <w:pStyle w:val="Compact"/>
              <w:jc w:val="right"/>
            </w:pPr>
            <w:r>
              <w:t xml:space="preserve">0.0156</w:t>
            </w:r>
          </w:p>
        </w:tc>
        <w:tc>
          <w:tcPr/>
          <w:p>
            <w:pPr>
              <w:pStyle w:val="Compact"/>
            </w:pPr>
            <w:r>
              <w:t xml:space="preserve">0.0035 (0.0007 to 0.0135)</w:t>
            </w:r>
          </w:p>
        </w:tc>
        <w:tc>
          <w:tcPr/>
          <w:p>
            <w:pPr>
              <w:pStyle w:val="Compact"/>
            </w:pPr>
            <w:r>
              <w:t xml:space="preserve">1% (1 to 6%)</w:t>
            </w:r>
          </w:p>
        </w:tc>
      </w:tr>
      <w:tr>
        <w:tc>
          <w:tcPr/>
          <w:p>
            <w:pPr>
              <w:pStyle w:val="Compact"/>
            </w:pPr>
            <w:r>
              <w:t xml:space="preserve">Four spatial clusters</w:t>
            </w:r>
          </w:p>
        </w:tc>
        <w:tc>
          <w:tcPr/>
          <w:p>
            <w:pPr>
              <w:pStyle w:val="Compact"/>
              <w:jc w:val="right"/>
            </w:pPr>
            <w:r>
              <w:t xml:space="preserve">4</w:t>
            </w:r>
          </w:p>
        </w:tc>
        <w:tc>
          <w:tcPr/>
          <w:p>
            <w:pPr>
              <w:pStyle w:val="Compact"/>
              <w:jc w:val="right"/>
            </w:pPr>
            <w:r>
              <w:t xml:space="preserve">11.7</w:t>
            </w:r>
          </w:p>
        </w:tc>
        <w:tc>
          <w:tcPr/>
          <w:p>
            <w:pPr>
              <w:pStyle w:val="Compact"/>
              <w:jc w:val="right"/>
            </w:pPr>
            <w:r>
              <w:t xml:space="preserve">0.0186</w:t>
            </w:r>
          </w:p>
        </w:tc>
        <w:tc>
          <w:tcPr/>
          <w:p>
            <w:pPr>
              <w:pStyle w:val="Compact"/>
            </w:pPr>
            <w:r>
              <w:t xml:space="preserve">0.0041 (0.0010 to 0.0146)</w:t>
            </w:r>
          </w:p>
        </w:tc>
        <w:tc>
          <w:tcPr/>
          <w:p>
            <w:pPr>
              <w:pStyle w:val="Compact"/>
            </w:pPr>
            <w:r>
              <w:t xml:space="preserve">1% (0 to 4%)</w:t>
            </w:r>
          </w:p>
        </w:tc>
      </w:tr>
    </w:tbl>
    <w:p>
      <w:pPr>
        <w:pStyle w:val="BodyText"/>
      </w:pPr>
      <w:r>
        <w:t xml:space="preserve">The model does not account for everything. Between the phases, it reaches the observed difference in 5 percent of runs at the most favorable combination, and at three and four spatial clusters it reaches the observed value in 0 to 6 percent of runs at every one of the six (Table 1). The pottery varies over shorter distances than calibrated copying makes it vary. The step in similarity across the phase lines exceeds the model as well: the boundary excess is +10.0, against a simulated median of +1.5 (95 percent range -6.0 to +7.8), and 1 of 300 runs reaches it. This additional variation is not a sampling effect. Redrawing every assemblage from the basin’s pooled profile at its own sherd count gives between-cluster differences near zero (Supplemental Text).</w:t>
      </w:r>
    </w:p>
    <w:p>
      <w:pPr>
        <w:pStyle w:val="BodyText"/>
      </w:pPr>
      <w:r>
        <w:t xml:space="preserve">The next section asks whether that additional variation follows the phase lines. What produces it is a separate question, and the model can narrow it without settling it (Table 2). Of the ways we tried to make the model less simple, only one reproduces the observed differences while keeping the record’s diversity matched: letting new styles arise somewhat locally, each area drawing its new variants from a slightly different version of the regional profile. With the areas defined as the two spatial clusters and a quarter of the classes reordered, the median between-cluster</w:t>
      </w:r>
      <w:r>
        <w:t xml:space="preserve"> </w:t>
      </w:r>
      <m:oMath>
        <m:sSub>
          <m:e>
            <m:r>
              <m:t>F</m:t>
            </m:r>
          </m:e>
          <m:sub>
            <m:r>
              <m:t>S</m:t>
            </m:r>
            <m:r>
              <m:t>T</m:t>
            </m:r>
          </m:sub>
        </m:sSub>
      </m:oMath>
      <w:r>
        <w:t xml:space="preserve"> </w:t>
      </w:r>
      <w:r>
        <w:t xml:space="preserve">is 0.0073 against the observed 0.0062 (1,200 runs); with the areas defined as the phases and a fifth reordered, the between-phase median is 0.0077 and 39 percent of runs reach the observed value. This is still neutral copying, and nothing in it restricts who copies whom. The test cannot tell whether such local innovation followed the phases or any other division of the basin. Restricting copying across the phase lines, the property that would make the phases groups, also raises both statistics: with copying across the lines cut to 3 percent of its strength, 40 percent of runs reach the observed between-phase</w:t>
      </w:r>
      <w:r>
        <w:t xml:space="preserve"> </w:t>
      </w:r>
      <m:oMath>
        <m:sSub>
          <m:e>
            <m:r>
              <m:t>F</m:t>
            </m:r>
          </m:e>
          <m:sub>
            <m:r>
              <m:t>S</m:t>
            </m:r>
            <m:r>
              <m:t>T</m:t>
            </m:r>
          </m:sub>
        </m:sSub>
      </m:oMath>
      <w:r>
        <w:t xml:space="preserve"> </w:t>
      </w:r>
      <w:r>
        <w:t xml:space="preserve">and 34 percent the observed step at the lines. The copying model does not tell the two apart. The posterior probability of a copying boundary at the phase lines is 0.79, against a prior of 0.75, just below the median of 0.81 to 0.95 the design returns on test data with a boundary built in (40 test runs per setting) and above the median of 0.66 it returns without one: the record leans slightly toward a boundary without resolving it. That lean is not specific to the phases: run on three arbitrary divisions with the phases’ group sizes, the same analysis gives 0.78 to 0.92. Where the lines fall decides the question, taken up next.</w:t>
      </w:r>
    </w:p>
    <w:p>
      <w:pPr>
        <w:pStyle w:val="BodyText"/>
      </w:pPr>
      <w:r>
        <w:rPr>
          <w:b/>
          <w:bCs/>
        </w:rPr>
        <w:t xml:space="preserve">Table 2.</w:t>
      </w:r>
      <w:r>
        <w:t xml:space="preserve"> </w:t>
      </w:r>
      <w:r>
        <w:t xml:space="preserve">The accounts of the basin’s decorated-type frequencies tested here, what each predicts, and how it fared. An account meets the standard only if it reaches the observed between-group</w:t>
      </w:r>
      <w:r>
        <w:t xml:space="preserve"> </w:t>
      </w:r>
      <m:oMath>
        <m:sSub>
          <m:e>
            <m:r>
              <m:t>F</m:t>
            </m:r>
          </m:e>
          <m:sub>
            <m:r>
              <m:t>S</m:t>
            </m:r>
            <m:r>
              <m:t>T</m:t>
            </m:r>
          </m:sub>
        </m:sSub>
      </m:oMath>
      <w:r>
        <w:t xml:space="preserve"> </w:t>
      </w:r>
      <w:r>
        <w:rPr>
          <w:i/>
          <w:iCs/>
        </w:rPr>
        <w:t xml:space="preserve">and</w:t>
      </w:r>
      <w:r>
        <w:t xml:space="preserve"> </w:t>
      </w:r>
      <w:r>
        <w:t xml:space="preserve">keeps all three within-assemblage diversity summaries within 10 percent of the observed values. Full grids and diagnostics are in the Supplemental Text.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Account</w:t>
            </w:r>
          </w:p>
        </w:tc>
        <w:tc>
          <w:tcPr/>
          <w:p>
            <w:pPr>
              <w:pStyle w:val="Compact"/>
            </w:pPr>
            <w:r>
              <w:t xml:space="preserve">What it predicts</w:t>
            </w:r>
          </w:p>
        </w:tc>
        <w:tc>
          <w:tcPr/>
          <w:p>
            <w:pPr>
              <w:pStyle w:val="Compact"/>
            </w:pPr>
            <w:r>
              <w:t xml:space="preserve">Outcome</w:t>
            </w:r>
          </w:p>
        </w:tc>
      </w:tr>
      <w:tr>
        <w:tc>
          <w:tcPr/>
          <w:p>
            <w:pPr>
              <w:pStyle w:val="Compact"/>
            </w:pPr>
            <w:r>
              <w:t xml:space="preserve">Neutral copying across space (baseline)</w:t>
            </w:r>
          </w:p>
        </w:tc>
        <w:tc>
          <w:tcPr/>
          <w:p>
            <w:pPr>
              <w:pStyle w:val="Compact"/>
            </w:pPr>
            <w:r>
              <w:t xml:space="preserve">Differences among assemblages and the fade of similarity with distance, with no group anywhere</w:t>
            </w:r>
          </w:p>
        </w:tc>
        <w:tc>
          <w:tcPr/>
          <w:p>
            <w:pPr>
              <w:pStyle w:val="Compact"/>
            </w:pPr>
            <w:r>
              <w:rPr>
                <w:b/>
                <w:bCs/>
              </w:rPr>
              <w:t xml:space="preserve">Explains most of the record.</w:t>
            </w:r>
            <w:r>
              <w:t xml:space="preserve"> </w:t>
            </w:r>
            <w:r>
              <w:t xml:space="preserve">Reproduces the fade with distance and the two-cluster difference; the phases and finer divisions differ more than it produces</w:t>
            </w:r>
          </w:p>
        </w:tc>
      </w:tr>
      <w:tr>
        <w:tc>
          <w:tcPr/>
          <w:p>
            <w:pPr>
              <w:pStyle w:val="Compact"/>
            </w:pPr>
            <w:r>
              <w:t xml:space="preserve">Bounded groups, judged by where the lines fall</w:t>
            </w:r>
          </w:p>
        </w:tc>
        <w:tc>
          <w:tcPr/>
          <w:p>
            <w:pPr>
              <w:pStyle w:val="Compact"/>
            </w:pPr>
            <w:r>
              <w:t xml:space="preserve">Lines where the pottery changes; lines the pottery recovers better than the map; lines that separate the pottery better than other lines</w:t>
            </w:r>
          </w:p>
        </w:tc>
        <w:tc>
          <w:tcPr/>
          <w:p>
            <w:pPr>
              <w:pStyle w:val="Compact"/>
            </w:pPr>
            <w:r>
              <w:rPr>
                <w:b/>
                <w:bCs/>
              </w:rPr>
              <w:t xml:space="preserve">Not supported.</w:t>
            </w:r>
            <w:r>
              <w:t xml:space="preserve"> </w:t>
            </w:r>
            <w:r>
              <w:t xml:space="preserve">The map recovers the lines; arbitrary lines separate the pottery better, which restricted copying at the lines would reverse</w:t>
            </w:r>
          </w:p>
        </w:tc>
      </w:tr>
      <w:tr>
        <w:tc>
          <w:tcPr/>
          <w:p>
            <w:pPr>
              <w:pStyle w:val="Compact"/>
            </w:pPr>
            <w:r>
              <w:t xml:space="preserve">Bounded groups, judged by the copying model</w:t>
            </w:r>
          </w:p>
        </w:tc>
        <w:tc>
          <w:tcPr/>
          <w:p>
            <w:pPr>
              <w:pStyle w:val="Compact"/>
            </w:pPr>
            <w:r>
              <w:t xml:space="preserve">Higher between-group</w:t>
            </w:r>
            <w:r>
              <w:t xml:space="preserve"> </w:t>
            </w:r>
            <m:oMath>
              <m:sSub>
                <m:e>
                  <m:r>
                    <m:t>F</m:t>
                  </m:r>
                </m:e>
                <m:sub>
                  <m:r>
                    <m:t>S</m:t>
                  </m:r>
                  <m:r>
                    <m:t>T</m:t>
                  </m:r>
                </m:sub>
              </m:sSub>
            </m:oMath>
            <w:r>
              <w:t xml:space="preserve"> </w:t>
            </w:r>
            <w:r>
              <w:t xml:space="preserve">and a step in similarity at the lines</w:t>
            </w:r>
          </w:p>
        </w:tc>
        <w:tc>
          <w:tcPr/>
          <w:p>
            <w:pPr>
              <w:pStyle w:val="Compact"/>
            </w:pPr>
            <w:r>
              <w:rPr>
                <w:b/>
                <w:bCs/>
              </w:rPr>
              <w:t xml:space="preserve">Not distinguished</w:t>
            </w:r>
            <w:r>
              <w:t xml:space="preserve"> </w:t>
            </w:r>
            <w:r>
              <w:t xml:space="preserve">from local innovation; posterior 0.79 against a prior of 0.75</w:t>
            </w:r>
          </w:p>
        </w:tc>
      </w:tr>
      <w:tr>
        <w:tc>
          <w:tcPr/>
          <w:p>
            <w:pPr>
              <w:pStyle w:val="Compact"/>
            </w:pPr>
            <w:r>
              <w:t xml:space="preserve">Unequal site populations, a different transport geography, or unequal accumulation spans</w:t>
            </w:r>
          </w:p>
        </w:tc>
        <w:tc>
          <w:tcPr/>
          <w:p>
            <w:pPr>
              <w:pStyle w:val="Compact"/>
            </w:pPr>
            <w:r>
              <w:t xml:space="preserve">Faster drift at small or isolated sites, or more distinct narrow deposits</w:t>
            </w:r>
          </w:p>
        </w:tc>
        <w:tc>
          <w:tcPr/>
          <w:p>
            <w:pPr>
              <w:pStyle w:val="Compact"/>
            </w:pPr>
            <w:r>
              <w:rPr>
                <w:b/>
                <w:bCs/>
              </w:rPr>
              <w:t xml:space="preserve">Fail.</w:t>
            </w:r>
            <w:r>
              <w:t xml:space="preserve"> </w:t>
            </w:r>
            <w:r>
              <w:t xml:space="preserve">Reach the observed value only by breaking the diversity match, or not at all</w:t>
            </w:r>
          </w:p>
        </w:tc>
      </w:tr>
      <w:tr>
        <w:tc>
          <w:tcPr/>
          <w:p>
            <w:pPr>
              <w:pStyle w:val="Compact"/>
            </w:pPr>
            <w:r>
              <w:t xml:space="preserve">New styles arising locally, with neutral copying otherwise</w:t>
            </w:r>
          </w:p>
        </w:tc>
        <w:tc>
          <w:tcPr/>
          <w:p>
            <w:pPr>
              <w:pStyle w:val="Compact"/>
            </w:pPr>
            <w:r>
              <w:t xml:space="preserve">Higher differentiation with no change in diversity</w:t>
            </w:r>
          </w:p>
        </w:tc>
        <w:tc>
          <w:tcPr/>
          <w:p>
            <w:pPr>
              <w:pStyle w:val="Compact"/>
            </w:pPr>
            <w:r>
              <w:rPr>
                <w:b/>
                <w:bCs/>
              </w:rPr>
              <w:t xml:space="preserve">Meets the standard</w:t>
            </w:r>
            <w:r>
              <w:t xml:space="preserve">, with widely spread simulations</w:t>
            </w:r>
          </w:p>
        </w:tc>
      </w:tr>
    </w:tbl>
    <w:bookmarkEnd w:id="125"/>
    <w:bookmarkStart w:id="141" w:name="where-the-phase-lines-fall"/>
    <w:p>
      <w:pPr>
        <w:pStyle w:val="Heading3"/>
      </w:pPr>
      <w:r>
        <w:t xml:space="preserve">Where the phase lines fall</w:t>
      </w:r>
    </w:p>
    <w:p>
      <w:pPr>
        <w:pStyle w:val="FirstParagraph"/>
      </w:pPr>
      <w:r>
        <w:t xml:space="preserve">If the phases were groups, their lines should be where the pottery changes. They are not.</w:t>
      </w:r>
    </w:p>
    <w:p>
      <w:pPr>
        <w:pStyle w:val="BodyText"/>
      </w:pPr>
      <w:r>
        <w:t xml:space="preserve">Arbitrary lines separate the pottery better than the phase lines do. With the uncertainty in every assemblage’s counts carried through, the between-phase</w:t>
      </w:r>
      <w:r>
        <w:t xml:space="preserve"> </w:t>
      </w:r>
      <m:oMath>
        <m:sSub>
          <m:e>
            <m:r>
              <m:t>F</m:t>
            </m:r>
          </m:e>
          <m:sub>
            <m:r>
              <m:t>S</m:t>
            </m:r>
            <m:r>
              <m:t>T</m:t>
            </m:r>
          </m:sub>
        </m:sSub>
      </m:oMath>
      <w:r>
        <w:t xml:space="preserve"> </w:t>
      </w:r>
      <w:r>
        <w:t xml:space="preserve">has a posterior median of 0.0109 (95 percent credible interval 0.0091 to 0.0128). Divisions of the same assemblages into groups of the same sizes around randomly placed centers give a median of 0.0145, and divisions drawn to be as compact as possible give 0.0165. The probability that the phase lines separate the pottery better than a division around random centers is 0.20, and better than a compact division 0.05 (Figure 3B, C). The step in similarity at the lines tells the same story. The boundary excess at the phase lines (posterior median +9.4, 95 percent credible interval +4.6 to +13.9) exceeds what copying alone produces, but arbitrary divisions of the map show the same step, with a median of +6.9 around random centers and +4.6 for compact divisions, and the probability that the phase lines show more is 0.59 and 0.61. The shorter-range variation the copying model misses is a property of the basin’s pottery wherever it is divided, not of the phase lines.</w:t>
      </w:r>
    </w:p>
    <w:p>
      <w:pPr>
        <w:pStyle w:val="BodyText"/>
      </w:pPr>
      <w:r>
        <w:t xml:space="preserve">This comparison can detect lines that mark restricted copying. In simulations with copying across the phase lines cut to 3 percent of its strength, the phase lines separate the simulated pottery better than a median 90 percent of same-size divisions around random centers and 74 percent of compact ones, against 62 and 41 percent with no restriction. The real phase lines, scored the same way, beat 30 and 4 percent (the posterior probabilities above, which carry the uncertainty in the counts, are 0.20 and 0.05). On the step in similarity the picture is less clear: the real lines beat 72 and 68 percent of the alternatives (posterior probabilities 0.59 and 0.61), above the simulations without restriction (56 and 27 percent) and within the range of those with copying restricted (76 to 90 and 58 to 78 percent). On the measure the record can use, the phase lines behave as lines with no restriction behind them.</w:t>
      </w:r>
    </w:p>
    <w:p>
      <w:pPr>
        <w:pStyle w:val="BodyText"/>
      </w:pPr>
      <w:r>
        <w:t xml:space="preserve">What the phase lines do follow is the map. Their within-group spread, 189.9 km² per assemblage, is the tightest three-way division of these assemblages at these group sizes that our search found. A search that minimizes spatial spread and never sees a potsherd returned the phase division exactly in 156 of 1,000 random starts and found nothing tighter in any of them. The phases are the most compact way to divide the sites into groups of those sizes.</w:t>
      </w:r>
    </w:p>
    <w:p>
      <w:pPr>
        <w:pStyle w:val="CaptionedFigure"/>
      </w:pPr>
      <w:r>
        <w:drawing>
          <wp:inline>
            <wp:extent cx="5334000" cy="2584123"/>
            <wp:effectExtent b="0" l="0" r="0" t="0"/>
            <wp:docPr descr="Figure 3. Scale and boundaries. (A) Observed between-cluster cultural F_{ST} against the neutral copying model as the basin is divided into two through six clusters. The observed value lies inside the model’s range at two clusters and above it from three. (B) Within-group spatial spread against cultural F_{ST} for divisions with the phases’ group sizes around randomly placed centers (light) and drawn to minimize spread (dark); the star is the phase division. Differentiation is unrelated to compactness among the random divisions (Spearman -0.02) and moderately related among the compact ones (+0.45), and no division in either set is tighter than the phases. (C) The phase division’s F_{ST} (solid line) against the compact divisions, near the bottom of their range." title="" id="127" name="Picture"/>
            <a:graphic>
              <a:graphicData uri="http://schemas.openxmlformats.org/drawingml/2006/picture">
                <pic:pic>
                  <pic:nvPicPr>
                    <pic:cNvPr descr="../../figures/fig12_phase_partition.png" id="128" name="Picture"/>
                    <pic:cNvPicPr>
                      <a:picLocks noChangeArrowheads="1" noChangeAspect="1"/>
                    </pic:cNvPicPr>
                  </pic:nvPicPr>
                  <pic:blipFill>
                    <a:blip r:embed="rId126"/>
                    <a:stretch>
                      <a:fillRect/>
                    </a:stretch>
                  </pic:blipFill>
                  <pic:spPr bwMode="auto">
                    <a:xfrm>
                      <a:off x="0" y="0"/>
                      <a:ext cx="5334000" cy="2584123"/>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Scale and boundaries. (A) Observed between-cluster cultural</w:t>
      </w:r>
      <w:r>
        <w:t xml:space="preserve"> </w:t>
      </w:r>
      <m:oMath>
        <m:sSub>
          <m:e>
            <m:r>
              <m:t>F</m:t>
            </m:r>
          </m:e>
          <m:sub>
            <m:r>
              <m:t>S</m:t>
            </m:r>
            <m:r>
              <m:t>T</m:t>
            </m:r>
          </m:sub>
        </m:sSub>
      </m:oMath>
      <w:r>
        <w:t xml:space="preserve"> </w:t>
      </w:r>
      <w:r>
        <w:t xml:space="preserve">against the neutral copying model as the basin is divided into two through six clusters. The observed value lies inside the model’s range at two clusters and above it from three. (B) Within-group spatial spread against cultural</w:t>
      </w:r>
      <w:r>
        <w:t xml:space="preserve"> </w:t>
      </w:r>
      <m:oMath>
        <m:sSub>
          <m:e>
            <m:r>
              <m:t>F</m:t>
            </m:r>
          </m:e>
          <m:sub>
            <m:r>
              <m:t>S</m:t>
            </m:r>
            <m:r>
              <m:t>T</m:t>
            </m:r>
          </m:sub>
        </m:sSub>
      </m:oMath>
      <w:r>
        <w:t xml:space="preserve"> </w:t>
      </w:r>
      <w:r>
        <w:t xml:space="preserve">for divisions with the phases’ group sizes around randomly placed centers (light) and drawn to minimize spread (dark); the star is the phase division. Differentiation is unrelated to compactness among the random divisions (Spearman -0.02) and moderately related among the compact ones (+0.45), and no division in either set is tighter than the phases. (C) The phase division’s</w:t>
      </w:r>
      <w:r>
        <w:t xml:space="preserve"> </w:t>
      </w:r>
      <m:oMath>
        <m:sSub>
          <m:e>
            <m:r>
              <m:t>F</m:t>
            </m:r>
          </m:e>
          <m:sub>
            <m:r>
              <m:t>S</m:t>
            </m:r>
            <m:r>
              <m:t>T</m:t>
            </m:r>
          </m:sub>
        </m:sSub>
      </m:oMath>
      <w:r>
        <w:t xml:space="preserve"> </w:t>
      </w:r>
      <w:r>
        <w:t xml:space="preserve">(solid line) against the compact divisions, near the bottom of their range.</w:t>
      </w:r>
    </w:p>
    <w:p>
      <w:pPr>
        <w:pStyle w:val="BodyText"/>
      </w:pPr>
      <w:r>
        <w:t xml:space="preserve">The lines also fall where composition changes slowly. Mapping the local rate at which composition changes across the basin (Figure 4A), an edge between communities should appear as a ridge of fast change. The phase lines do not follow ridges. Median change along them is 0.0105 per kilometer, against 0.0124 along lines built the same way from 200 same-size divisions around randomly placed centers, and none of those 200 runs through slower-changing country than the phase lines do (Figure 4B).</w:t>
      </w:r>
    </w:p>
    <w:p>
      <w:pPr>
        <w:pStyle w:val="CaptionedFigure"/>
      </w:pPr>
      <w:r>
        <w:drawing>
          <wp:inline>
            <wp:extent cx="5334000" cy="3028550"/>
            <wp:effectExtent b="0" l="0" r="0" t="0"/>
            <wp:docPr descr="Figure 4. Composition as a continuous surface. (A) The local rate of change in the ten decorated-class proportions, computed on a 220 by 220 grid with a 15 km Gaussian bandwidth and masked where fewer than two assemblages support the estimate. Circles are assemblages. (B) The same surface with the published phase boundaries overlaid; the rate of change along them is lower than along the boundaries of any of 200 same-size divisions around randomly placed centers. (C) Observed cultural F_{ST} against cluster radius in kilometers, with the neutral copying model’s range behind it, from coarse to fine. The observed value lies inside the range at an 18 km radius and above it from 14 km. Below a radius of about 10 km the clusters begin to isolate single assemblages, so the finest divisions should not be read as structure." title="" id="130" name="Picture"/>
            <a:graphic>
              <a:graphicData uri="http://schemas.openxmlformats.org/drawingml/2006/picture">
                <pic:pic>
                  <pic:nvPicPr>
                    <pic:cNvPr descr="../../figures/fig13_groupness_surface.png" id="131" name="Picture"/>
                    <pic:cNvPicPr>
                      <a:picLocks noChangeArrowheads="1" noChangeAspect="1"/>
                    </pic:cNvPicPr>
                  </pic:nvPicPr>
                  <pic:blipFill>
                    <a:blip r:embed="rId129"/>
                    <a:stretch>
                      <a:fillRect/>
                    </a:stretch>
                  </pic:blipFill>
                  <pic:spPr bwMode="auto">
                    <a:xfrm>
                      <a:off x="0" y="0"/>
                      <a:ext cx="5334000" cy="3028550"/>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Composition as a continuous surface. (A) The local rate of change in the ten decorated-class proportions, computed on a 220 by 220 grid with a 15 km Gaussian bandwidth and masked where fewer than two assemblages support the estimate. Circles are assemblages. (B) The same surface with the published phase boundaries overlaid; the rate of change along them is lower than along the boundaries of any of 200 same-size divisions around randomly placed centers. (C) Observed cultural</w:t>
      </w:r>
      <w:r>
        <w:t xml:space="preserve"> </w:t>
      </w:r>
      <m:oMath>
        <m:sSub>
          <m:e>
            <m:r>
              <m:t>F</m:t>
            </m:r>
          </m:e>
          <m:sub>
            <m:r>
              <m:t>S</m:t>
            </m:r>
            <m:r>
              <m:t>T</m:t>
            </m:r>
          </m:sub>
        </m:sSub>
      </m:oMath>
      <w:r>
        <w:t xml:space="preserve"> </w:t>
      </w:r>
      <w:r>
        <w:t xml:space="preserve">against cluster radius in kilometers, with the neutral copying model’s range behind it, from coarse to fine. The observed value lies inside the range at an 18 km radius and above it from 14 km. Below a radius of about 10 km the clusters begin to isolate single assemblages, so the finest divisions should not be read as structure.</w:t>
      </w:r>
    </w:p>
    <w:p>
      <w:pPr>
        <w:pStyle w:val="BodyText"/>
      </w:pPr>
      <w:r>
        <w:t xml:space="preserve">The site map alone recovers the phases. Clustering the assemblages on their coordinates alone reproduces Mainfort’s assignments exactly, with an adjusted Rand index of 1.000 (Figure 5). Adding composition lowers the agreement at every weight: from a tenth of the coordinates’ weight up to equal weight it is 0.607, and composition alone reaches 0.204. Divisions with the phases’ group sizes around random centers reach 0.570, which is what three groups of these sizes produce by chance. The three assemblages placed by territory rather than by Mainfort are left out of this score, since measuring a geographic rule against geography would build in the agreement. The pottery, when it enters, moves the answer away from the published phases rather than toward them.</w:t>
      </w:r>
    </w:p>
    <w:p>
      <w:pPr>
        <w:pStyle w:val="CaptionedFigure"/>
      </w:pPr>
      <w:r>
        <w:drawing>
          <wp:inline>
            <wp:extent cx="3412944" cy="2730967"/>
            <wp:effectExtent b="0" l="0" r="0" t="0"/>
            <wp:docPr descr="Figure 5. What recovers the phases. Agreement with Mainfort’s phase assignments, measured by the adjusted Rand index over the 25 assemblages he assigned, as the median over 40 starting configurations, for clusterings on site coordinates and decorated-class composition as the weight on composition varies. Zero weight is the site map alone. Three transforms of composition are shown; the text quotes the chi-square transform, the only one with no free parameter. The dash-dotted line is the agreement reached by divisions with the phases’ group sizes around random centers. Agreement is complete with the site map alone and falls as composition enters." title="" id="133" name="Picture"/>
            <a:graphic>
              <a:graphicData uri="http://schemas.openxmlformats.org/drawingml/2006/picture">
                <pic:pic>
                  <pic:nvPicPr>
                    <pic:cNvPr descr="../../figures/fig14_phase_recovery.png" id="134" name="Picture"/>
                    <pic:cNvPicPr>
                      <a:picLocks noChangeArrowheads="1" noChangeAspect="1"/>
                    </pic:cNvPicPr>
                  </pic:nvPicPr>
                  <pic:blipFill>
                    <a:blip r:embed="rId132"/>
                    <a:stretch>
                      <a:fillRect/>
                    </a:stretch>
                  </pic:blipFill>
                  <pic:spPr bwMode="auto">
                    <a:xfrm>
                      <a:off x="0" y="0"/>
                      <a:ext cx="3412944" cy="2730967"/>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What recovers the phases. Agreement with Mainfort’s phase assignments, measured by the adjusted Rand index over the 25 assemblages he assigned, as the median over 40 starting configurations, for clusterings on site coordinates and decorated-class composition as the weight on composition varies. Zero weight is the site map alone. Three transforms of composition are shown; the text quotes the chi-square transform, the only one with no free parameter. The dash-dotted line is the agreement reached by divisions with the phases’ group sizes around random centers. Agreement is complete with the site map alone and falls as composition enters.</w:t>
      </w:r>
    </w:p>
    <w:p>
      <w:pPr>
        <w:pStyle w:val="BodyText"/>
      </w:pPr>
      <w:r>
        <w:t xml:space="preserve">Pottery made by copying with no groups sorts into the phases as readily as the real pottery. We ran the copying model on the real site map 300 times, sampled its pottery at the real sherd counts, and clustered each simulated record the same way as the real one (Figure 6). Wherever site location enters the clustering, the simulated pottery matches the phases at least as well as the real pottery does, and usually better: with a quarter weight on composition every simulated record agrees with the phases at least as well as the real one (simulated median 1.000, real 0.607), and at equal weight 74 percent do (median 0.765). With pottery alone, where location cannot help, the real record’s agreement of 0.204 sits at the simulated median of 0.176, and 46 percent of simulated records reach it. A culture historian sorting such pottery by resemblance and proximity would have found the same phases.</w:t>
      </w:r>
    </w:p>
    <w:p>
      <w:pPr>
        <w:pStyle w:val="CaptionedFigure"/>
      </w:pPr>
      <w:r>
        <w:drawing>
          <wp:inline>
            <wp:extent cx="3272267" cy="2715676"/>
            <wp:effectExtent b="0" l="0" r="0" t="0"/>
            <wp:docPr descr="Figure 6. Would a culture historian have found these phases in pottery made by copying with no groups? Agreement with Mainfort’s phase assignments, by adjusted Rand index over the 25 assemblages he assigned, as the weight on decorated-class composition relative to site coordinates varies from the map alone to pottery alone. The line with markers is the real record; the band is the 95 percent range over 300 runs of the neutral copying model, which contains no groups, sampled at the real sherd counts and clustered the same way. The zero-weight point is identical by construction." title="" id="136" name="Picture"/>
            <a:graphic>
              <a:graphicData uri="http://schemas.openxmlformats.org/drawingml/2006/picture">
                <pic:pic>
                  <pic:nvPicPr>
                    <pic:cNvPr descr="../../figures/fig15_phases_under_drift.png" id="137" name="Picture"/>
                    <pic:cNvPicPr>
                      <a:picLocks noChangeArrowheads="1" noChangeAspect="1"/>
                    </pic:cNvPicPr>
                  </pic:nvPicPr>
                  <pic:blipFill>
                    <a:blip r:embed="rId135"/>
                    <a:stretch>
                      <a:fillRect/>
                    </a:stretch>
                  </pic:blipFill>
                  <pic:spPr bwMode="auto">
                    <a:xfrm>
                      <a:off x="0" y="0"/>
                      <a:ext cx="3272267" cy="2715676"/>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Would a culture historian have found these phases in pottery made by copying with no groups? Agreement with Mainfort’s phase assignments, by adjusted Rand index over the 25 assemblages he assigned, as the weight on decorated-class composition relative to site coordinates varies from the map alone to pottery alone. The line with markers is the real record; the band is the 95 percent range over 300 runs of the neutral copying model, which contains no groups, sampled at the real sherd counts and clustered the same way. The zero-weight point is identical by construction.</w:t>
      </w:r>
    </w:p>
    <w:p>
      <w:pPr>
        <w:pStyle w:val="BodyText"/>
      </w:pPr>
      <w:r>
        <w:t xml:space="preserve">The lines fall between clumps of analyzed assemblages, but not through empty country. The settlement compilation records 83 sites with a late pre-contact component in the mapped area, and dropping the 28 within a kilometer of an analyzed assemblage leaves 55 whose positions are independent of the pottery. Measured at a 5 km scale, only 37 percent of same-size divisions around random centers and 14 percent of compact ones run through denser late-period settlement than the phase lines do (Figure 7); of the three scales tested (3, 5, and 8 km), only at 8 km do the phase lines run through emptier country than most. The clumps the phases gather are clumps of sampled sites, not settlements separated by vacant land. What makes settlement clumped is partly the rivers. Late-period sites lie a median 1.8 km from a major river, against 3.6 km for random points in the same area, but points placed as close to the rivers as the sites are come out randomly spaced (Clark-Evans ratio 0.99 against the sites’ 0.63), so the clumps form on particular reaches of river for reasons proximity alone does not supply.</w:t>
      </w:r>
    </w:p>
    <w:p>
      <w:pPr>
        <w:pStyle w:val="CaptionedFigure"/>
      </w:pPr>
      <w:r>
        <w:drawing>
          <wp:inline>
            <wp:extent cx="5238686" cy="3223336"/>
            <wp:effectExtent b="0" l="0" r="0" t="0"/>
            <wp:docPr descr="Figure 7. Do the phase boundaries follow gaps in settlement? (A) Density of the 55 late-period sites more than 1 km from any analyzed assemblage (5 km bandwidth), with the assemblages as open circles and the phase boundaries as points. (B) Median settlement density along the phase boundaries (vertical line) against the same quantity for the boundaries of 300 divisions with the phases’ group sizes, around random centers (light) and drawn to be compact (dark)." title="" id="139" name="Picture"/>
            <a:graphic>
              <a:graphicData uri="http://schemas.openxmlformats.org/drawingml/2006/picture">
                <pic:pic>
                  <pic:nvPicPr>
                    <pic:cNvPr descr="../../figures/fig16_settlement_gaps.png" id="140" name="Picture"/>
                    <pic:cNvPicPr>
                      <a:picLocks noChangeArrowheads="1" noChangeAspect="1"/>
                    </pic:cNvPicPr>
                  </pic:nvPicPr>
                  <pic:blipFill>
                    <a:blip r:embed="rId138"/>
                    <a:stretch>
                      <a:fillRect/>
                    </a:stretch>
                  </pic:blipFill>
                  <pic:spPr bwMode="auto">
                    <a:xfrm>
                      <a:off x="0" y="0"/>
                      <a:ext cx="5238686" cy="3223336"/>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Do the phase boundaries follow gaps in settlement? (A) Density of the 55 late-period sites more than 1 km from any analyzed assemblage (5 km bandwidth), with the assemblages as open circles and the phase boundaries as points. (B) Median settlement density along the phase boundaries (vertical line) against the same quantity for the boundaries of 300 divisions with the phases’ group sizes, around random centers (light) and drawn to be compact (dark).</w:t>
      </w:r>
    </w:p>
    <w:bookmarkEnd w:id="141"/>
    <w:bookmarkStart w:id="148" w:name="does-the-parkin-phase-stand-apart"/>
    <w:p>
      <w:pPr>
        <w:pStyle w:val="Heading3"/>
      </w:pPr>
      <w:r>
        <w:t xml:space="preserve">Does the Parkin phase stand apart?</w:t>
      </w:r>
    </w:p>
    <w:p>
      <w:pPr>
        <w:pStyle w:val="FirstParagraph"/>
      </w:pPr>
      <w:r>
        <w:t xml:space="preserve">The Parkin phase is, to the site, the northern of the two spatial clusters the site layout supports: the division of the basin into the Parkin phase and the rest is identical to the two-cluster division (adjusted Rand index 1.000). Its difference from the rest of the basin is therefore the two-cluster difference of Table 1, cultural</w:t>
      </w:r>
      <w:r>
        <w:t xml:space="preserve"> </w:t>
      </w:r>
      <m:oMath>
        <m:sSub>
          <m:e>
            <m:r>
              <m:t>F</m:t>
            </m:r>
          </m:e>
          <m:sub>
            <m:r>
              <m:t>S</m:t>
            </m:r>
            <m:r>
              <m:t>T</m:t>
            </m:r>
          </m:sub>
        </m:sSub>
      </m:oMath>
      <w:r>
        <w:t xml:space="preserve"> </w:t>
      </w:r>
      <w:r>
        <w:t xml:space="preserve">0.0062, which the copying model reaches in 13 percent of runs at the most favorable combination and 4 to 16 percent across the six. Of all the divisions tested, the one that sets the Parkin phase apart is the one the copying model reproduces most easily, partly because a division into two large groups yields a smaller</w:t>
      </w:r>
      <w:r>
        <w:t xml:space="preserve"> </w:t>
      </w:r>
      <m:oMath>
        <m:sSub>
          <m:e>
            <m:r>
              <m:t>F</m:t>
            </m:r>
          </m:e>
          <m:sub>
            <m:r>
              <m:t>S</m:t>
            </m:r>
            <m:r>
              <m:t>T</m:t>
            </m:r>
          </m:sub>
        </m:sSub>
      </m:oMath>
      <w:r>
        <w:t xml:space="preserve">.</w:t>
      </w:r>
    </w:p>
    <w:p>
      <w:pPr>
        <w:pStyle w:val="BodyText"/>
      </w:pPr>
      <w:r>
        <w:t xml:space="preserve">Arbitrary lines separate the pottery as well. With the uncertainty in the counts carried through, the Parkin-versus-rest</w:t>
      </w:r>
      <w:r>
        <w:t xml:space="preserve"> </w:t>
      </w:r>
      <m:oMath>
        <m:sSub>
          <m:e>
            <m:r>
              <m:t>F</m:t>
            </m:r>
          </m:e>
          <m:sub>
            <m:r>
              <m:t>S</m:t>
            </m:r>
            <m:r>
              <m:t>T</m:t>
            </m:r>
          </m:sub>
        </m:sSub>
      </m:oMath>
      <w:r>
        <w:t xml:space="preserve"> </w:t>
      </w:r>
      <w:r>
        <w:t xml:space="preserve">has a posterior median of 0.0061 (95 percent credible interval 0.0051 to 0.0074), against 0.0064 for same-size divisions around random centers and 0.0076 for compact ones. The probability that the Parkin line separates the pottery better is 0.27 and 0.00. The step in similarity across the Parkin line, a boundary excess of +13.7, exceeds what copying alone produces (simulated median +0.5, 95 percent range -6.5 to +7.5; no run reaches it), but it is the same shorter-range variation seen at arbitrary lines drawn across this map. Around random centers the median is +10.7 and the probability that the Parkin line shows more is 0.53; for compact divisions the median is +15.1 and the probability 0.05. The pottery sets the Parkin phase apart from its neighbors no more than it sets apart any comparably sized piece of the basin. This comparison has little power for a single line, however. In simulations with copying across the Parkin phase’s edge cut to 3 percent, the Parkin line beats a median 72 percent of random-center divisions, against 64 percent with no restriction. The record therefore cannot exclude restricted copying at the edge of the Parkin phase; it shows nothing that requires it.</w:t>
      </w:r>
    </w:p>
    <w:p>
      <w:pPr>
        <w:pStyle w:val="BodyText"/>
      </w:pPr>
      <w:r>
        <w:t xml:space="preserve">Nor is Parkin the center of the pattern. Deterministic seriation of the basin assemblages returns 34 maximal co-seriable groups at a continuity threshold of 0.1, none larger than four assemblages, and 18 of the 28 assemblages belong to more than one (Figure 8). Groups that had actually closed would give orderings that are incompatible and separate, whereas here most assemblages belong to several at once, which is what a continuous field too varied to fit one ordering produces. Parkin belongs to three groups, a bridge between orderings but not the most connected one: Barton Ranch, Rose Mound, and Williamson each belong to six. Lipo, Madsen, and Dunnell</w:t>
      </w:r>
      <w:r>
        <w:t xml:space="preserve"> </w:t>
      </w:r>
      <w:r>
        <w:t xml:space="preserve">(2015)</w:t>
      </w:r>
      <w:r>
        <w:t xml:space="preserve"> </w:t>
      </w:r>
      <w:r>
        <w:t xml:space="preserve">found the same position and read it as a possible sign of emerging hierarchy, but a bridge between orderings is not the center of one.</w:t>
      </w:r>
    </w:p>
    <w:p>
      <w:pPr>
        <w:pStyle w:val="CaptionedFigure"/>
      </w:pPr>
      <w:r>
        <w:drawing>
          <wp:inline>
            <wp:extent cx="5334000" cy="3603744"/>
            <wp:effectExtent b="0" l="0" r="0" t="0"/>
            <wp:docPr descr="Figure 8. Deterministic seriation structure of the basin assemblages. Left: the distribution of co-seriable group sizes, a fragmented structure of 34 maximal groups with a maximum size of four. Right: the most connected assemblages ranked by the number of groups they belong to, with Parkin highlighted as a bridge (member of three groups) between orderings rather than at the center of one." title="" id="143" name="Picture"/>
            <a:graphic>
              <a:graphicData uri="http://schemas.openxmlformats.org/drawingml/2006/picture">
                <pic:pic>
                  <pic:nvPicPr>
                    <pic:cNvPr descr="../../figures/fig7_idss_structure.png" id="144" name="Picture"/>
                    <pic:cNvPicPr>
                      <a:picLocks noChangeArrowheads="1" noChangeAspect="1"/>
                    </pic:cNvPicPr>
                  </pic:nvPicPr>
                  <pic:blipFill>
                    <a:blip r:embed="rId142"/>
                    <a:stretch>
                      <a:fillRect/>
                    </a:stretch>
                  </pic:blipFill>
                  <pic:spPr bwMode="auto">
                    <a:xfrm>
                      <a:off x="0" y="0"/>
                      <a:ext cx="5334000" cy="3603744"/>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Deterministic seriation structure of the basin assemblages. Left: the distribution of co-seriable group sizes, a fragmented structure of 34 maximal groups with a maximum size of four. Right: the most connected assemblages ranked by the number of groups they belong to, with Parkin highlighted as a bridge (member of three groups) between orderings rather than at the center of one.</w:t>
      </w:r>
    </w:p>
    <w:p>
      <w:pPr>
        <w:pStyle w:val="BodyText"/>
      </w:pPr>
      <w:r>
        <w:t xml:space="preserve">The settlement record points the same way. Parkin’s principal mound is a flat-topped platform 6.5 m (21.3 ft) high on the western edge of the site, overlooking the St. Francis River, with six smaller mounds near it; the site covers 17 acres (6.9 ha), is ditched on three sides, and its deposits rise 3 m above the floodplain</w:t>
      </w:r>
      <w:r>
        <w:t xml:space="preserve"> </w:t>
      </w:r>
      <w:r>
        <w:t xml:space="preserve">(Morse 1981, 1990)</w:t>
      </w:r>
      <w:r>
        <w:t xml:space="preserve">. Its mound is the second tallest of the 55 basin sites with a recorded height, behind one at 23 ft, and the tallest exceeds the second by a ratio of only 1.08 (Figure 9). Parkin’s height comes from excavation reports, whereas the others come from a regional compilation without per-site sources. Mound heights form a graded series with a prominent center, not a separate administrative tier. The chert-hoe economy agrees: Mill Creek hoes were made by autonomous workshops at the source and moved largely down the line, with elites at consuming centers gaining at most privileged access</w:t>
      </w:r>
      <w:r>
        <w:t xml:space="preserve"> </w:t>
      </w:r>
      <w:r>
        <w:t xml:space="preserve">(Cobb 2000:75, 154, 198)</w:t>
      </w:r>
      <w:r>
        <w:t xml:space="preserve">, although that evidence is regional rather than specific to the basin.</w:t>
      </w:r>
    </w:p>
    <w:p>
      <w:pPr>
        <w:pStyle w:val="CaptionedFigure"/>
      </w:pPr>
      <w:r>
        <w:drawing>
          <wp:inline>
            <wp:extent cx="5334000" cy="3332419"/>
            <wp:effectExtent b="0" l="0" r="0" t="0"/>
            <wp:docPr descr="Figure 9. Settlement cross-check. Main panel: maximum mound height ranked across the basin, the one attribute recorded the same way for every site (mound area is recorded as zero for Parkin and is not used). Parkin’s principal mound is 21.3 ft (6.5 m) after Morse (1981, 1990), second among the 55 basin sites with a recorded height; the compilation otherwise used gives Parkin 23 ft, and we substitute the excavated value. The distribution is graded, with no gap at the top (tallest-to-second ratio 1.08). Inset: the proportion of sites with a mound, a defensive ditch, and St. Francis-type fortification across the basin set (n = 92)." title="" id="146" name="Picture"/>
            <a:graphic>
              <a:graphicData uri="http://schemas.openxmlformats.org/drawingml/2006/picture">
                <pic:pic>
                  <pic:nvPicPr>
                    <pic:cNvPr descr="../../figures/fig8_ranksize.png" id="147" name="Picture"/>
                    <pic:cNvPicPr>
                      <a:picLocks noChangeArrowheads="1" noChangeAspect="1"/>
                    </pic:cNvPicPr>
                  </pic:nvPicPr>
                  <pic:blipFill>
                    <a:blip r:embed="rId145"/>
                    <a:stretch>
                      <a:fillRect/>
                    </a:stretch>
                  </pic:blipFill>
                  <pic:spPr bwMode="auto">
                    <a:xfrm>
                      <a:off x="0" y="0"/>
                      <a:ext cx="5334000" cy="3332419"/>
                    </a:xfrm>
                    <a:prstGeom prst="rect">
                      <a:avLst/>
                    </a:prstGeom>
                    <a:noFill/>
                    <a:ln w="9525">
                      <a:noFill/>
                      <a:headEnd/>
                      <a:tailEnd/>
                    </a:ln>
                  </pic:spPr>
                </pic:pic>
              </a:graphicData>
            </a:graphic>
          </wp:inline>
        </w:drawing>
      </w:r>
    </w:p>
    <w:p>
      <w:pPr>
        <w:pStyle w:val="ImageCaption"/>
      </w:pPr>
      <w:r>
        <w:rPr>
          <w:b/>
          <w:bCs/>
        </w:rPr>
        <w:t xml:space="preserve">Figure 9.</w:t>
      </w:r>
      <w:r>
        <w:t xml:space="preserve"> </w:t>
      </w:r>
      <w:r>
        <w:t xml:space="preserve">Settlement cross-check. Main panel: maximum mound height ranked across the basin, the one attribute recorded the same way for every site (mound area is recorded as zero for Parkin and is not used). Parkin’s principal mound is 21.3 ft (6.5 m) after Morse (1981, 1990), second among the 55 basin sites with a recorded height; the compilation otherwise used gives Parkin 23 ft, and we substitute the excavated value. The distribution is graded, with no gap at the top (tallest-to-second ratio 1.08). Inset: the proportion of sites with a mound, a defensive ditch, and St. Francis-type fortification across the basin set (n = 92).</w:t>
      </w:r>
    </w:p>
    <w:bookmarkEnd w:id="148"/>
    <w:bookmarkStart w:id="152" w:name="Xb4a0a395e221470d8befd6776e147cfdc236abc"/>
    <w:p>
      <w:pPr>
        <w:pStyle w:val="Heading3"/>
      </w:pPr>
      <w:r>
        <w:t xml:space="preserve">A second phase scheme drawn from the pottery</w:t>
      </w:r>
    </w:p>
    <w:p>
      <w:pPr>
        <w:pStyle w:val="FirstParagraph"/>
      </w:pPr>
      <w:r>
        <w:t xml:space="preserve">Mainfort</w:t>
      </w:r>
      <w:r>
        <w:t xml:space="preserve"> </w:t>
      </w:r>
      <w:r>
        <w:t xml:space="preserve">(2003)</w:t>
      </w:r>
      <w:r>
        <w:t xml:space="preserve"> </w:t>
      </w:r>
      <w:r>
        <w:t xml:space="preserve">redrew the phase lines through much the same sites after ordinating their pottery. He adopted Smith’s</w:t>
      </w:r>
      <w:r>
        <w:t xml:space="preserve"> </w:t>
      </w:r>
      <w:r>
        <w:t xml:space="preserve">(1990)</w:t>
      </w:r>
      <w:r>
        <w:t xml:space="preserve"> </w:t>
      </w:r>
      <w:r>
        <w:t xml:space="preserve">Horseshoe Lake phase, which gathers Beck, Belle Meade, Mound Place, and Young</w:t>
      </w:r>
      <w:r>
        <w:t xml:space="preserve"> </w:t>
      </w:r>
      <w:r>
        <w:t xml:space="preserve">(Mainfort 2003:177)</w:t>
      </w:r>
      <w:r>
        <w:t xml:space="preserve">, and his table also places Hollywood and Commerce in Kent rather than Walls, Castile Landing in Parkin rather than Kent, and Carson Lake in Walls rather than Nodena, although his text treats Carson Lake as a Nodena site</w:t>
      </w:r>
      <w:r>
        <w:t xml:space="preserve"> </w:t>
      </w:r>
      <w:r>
        <w:t xml:space="preserve">(Mainfort 2003:176–181)</w:t>
      </w:r>
      <w:r>
        <w:t xml:space="preserve">. A scheme drawn from the pottery is a useful check. If phases were groups, both schemes should track the same boundaries. If they are what a gradient looks like when sites are sorted, a scheme drawn by proximity and one drawn from the pottery should behave differently.</w:t>
      </w:r>
    </w:p>
    <w:p>
      <w:pPr>
        <w:pStyle w:val="BodyText"/>
      </w:pPr>
      <w:r>
        <w:t xml:space="preserve">We ran the phase-line tests on Mainfort’s own counts, using decorated types only and his assignments, with a minimum of 100 decorated sherds. That leaves 29 sites and 13,296 decorated sherds in five phases: Kent with 9 sites, Parkin with 7, Walls with 6, Horseshoe Lake with 4, and Jones Bayou with 3 (Figure 10). His table shares collections with ours at 21 sites, so this is a second tally of largely the same material rather than an independent record, and we do not repeat the copying model, which is tuned to our own matrix.</w:t>
      </w:r>
    </w:p>
    <w:p>
      <w:pPr>
        <w:pStyle w:val="BodyText"/>
      </w:pPr>
      <w:r>
        <w:t xml:space="preserve">Location again carries much of the scheme. The site map alone recovers Mainfort’s assignments with an adjusted Rand index of 0.54, the pottery alone 0.25, and same-size divisions around random centers 0.31. His lines, however, separate the pottery better than the earlier scheme’s do. The between-group</w:t>
      </w:r>
      <w:r>
        <w:t xml:space="preserve"> </w:t>
      </w:r>
      <m:oMath>
        <m:sSub>
          <m:e>
            <m:r>
              <m:t>F</m:t>
            </m:r>
          </m:e>
          <m:sub>
            <m:r>
              <m:t>S</m:t>
            </m:r>
            <m:r>
              <m:t>T</m:t>
            </m:r>
          </m:sub>
        </m:sSub>
      </m:oMath>
      <w:r>
        <w:t xml:space="preserve"> </w:t>
      </w:r>
      <w:r>
        <w:t xml:space="preserve">under his phases has a posterior median of 0.046 (95 percent credible interval 0.041 to 0.051), against 0.030 for same-size divisions around random centers and 0.032 for compact ones, and the posterior probability that his lines separate the pottery better than such a division is 0.96 and 0.94. The compactness search never returns his division, and giving composition half the weight of the coordinates raises the agreement with his scheme to 0.66, above the map alone. At six of the seven sites the two schemes assign differently, the pottery sides with Mainfort’s assignment, usually by a wide margin; Young is the exception (Supplemental Text). His scheme also shows that the comparison with arbitrary lines picks out lines that follow the pottery when there are any.</w:t>
      </w:r>
    </w:p>
    <w:p>
      <w:pPr>
        <w:pStyle w:val="BodyText"/>
      </w:pPr>
      <w:r>
        <w:t xml:space="preserve">That is what the two schemes’ origins predict. Phillips drew phases by inspection and proximity, and his lines divide the map. Mainfort redrew them after ordering the pottery, and a scheme drawn from the pottery will sit where the pottery differs. The comparison does not show that Mainfort’s phases are bounded groups: location still recovers much of them, and we have not tested his scheme against the copying model. It shows that phase lines can be made to follow the pottery if the pottery draws them, and that the inherited scheme was not drawn that way.</w:t>
      </w:r>
    </w:p>
    <w:p>
      <w:pPr>
        <w:pStyle w:val="CaptionedFigure"/>
      </w:pPr>
      <w:r>
        <w:drawing>
          <wp:inline>
            <wp:extent cx="5334000" cy="2684917"/>
            <wp:effectExtent b="0" l="0" r="0" t="0"/>
            <wp:docPr descr="Figure 10. The phase tests on Mainfort’s (2003) table, under his own phases. (A) Agreement with his assignments, by adjusted Rand index over the 29 sites with at least 100 decorated sherds, for clusterings on site coordinates and decorated-class composition as the weight on composition varies from the map alone to pottery alone; the band is the range over 40 starting configurations, and the dash-dotted line is the agreement reached by same-size divisions around random centers. (B) For the sites the two schemes assign differently, the chi-square distance from the site’s profile to the pooled profile of the phase Mainfort assigned (dark) and of the phase in Figure 1 (light), with the site itself left out of both." title="" id="150" name="Picture"/>
            <a:graphic>
              <a:graphicData uri="http://schemas.openxmlformats.org/drawingml/2006/picture">
                <pic:pic>
                  <pic:nvPicPr>
                    <pic:cNvPr descr="../../figures/fig17_mainfort_replication.png" id="151" name="Picture"/>
                    <pic:cNvPicPr>
                      <a:picLocks noChangeArrowheads="1" noChangeAspect="1"/>
                    </pic:cNvPicPr>
                  </pic:nvPicPr>
                  <pic:blipFill>
                    <a:blip r:embed="rId149"/>
                    <a:stretch>
                      <a:fillRect/>
                    </a:stretch>
                  </pic:blipFill>
                  <pic:spPr bwMode="auto">
                    <a:xfrm>
                      <a:off x="0" y="0"/>
                      <a:ext cx="5334000" cy="2684917"/>
                    </a:xfrm>
                    <a:prstGeom prst="rect">
                      <a:avLst/>
                    </a:prstGeom>
                    <a:noFill/>
                    <a:ln w="9525">
                      <a:noFill/>
                      <a:headEnd/>
                      <a:tailEnd/>
                    </a:ln>
                  </pic:spPr>
                </pic:pic>
              </a:graphicData>
            </a:graphic>
          </wp:inline>
        </w:drawing>
      </w:r>
    </w:p>
    <w:p>
      <w:pPr>
        <w:pStyle w:val="ImageCaption"/>
      </w:pPr>
      <w:r>
        <w:rPr>
          <w:b/>
          <w:bCs/>
        </w:rPr>
        <w:t xml:space="preserve">Figure 10.</w:t>
      </w:r>
      <w:r>
        <w:t xml:space="preserve"> </w:t>
      </w:r>
      <w:r>
        <w:t xml:space="preserve">The phase tests on Mainfort’s (2003) table, under his own phases. (A) Agreement with his assignments, by adjusted Rand index over the 29 sites with at least 100 decorated sherds, for clusterings on site coordinates and decorated-class composition as the weight on composition varies from the map alone to pottery alone; the band is the range over 40 starting configurations, and the dash-dotted line is the agreement reached by same-size divisions around random centers. (B) For the sites the two schemes assign differently, the chi-square distance from the site’s profile to the pooled profile of the phase Mainfort assigned (dark) and of the phase in Figure 1 (light), with the site itself left out of both.</w:t>
      </w:r>
    </w:p>
    <w:bookmarkEnd w:id="152"/>
    <w:bookmarkEnd w:id="153"/>
    <w:bookmarkStart w:id="158" w:name="discussion"/>
    <w:p>
      <w:pPr>
        <w:pStyle w:val="Heading2"/>
      </w:pPr>
      <w:r>
        <w:t xml:space="preserve">Discussion</w:t>
      </w:r>
    </w:p>
    <w:bookmarkStart w:id="154" w:name="what-explains-the-phases"/>
    <w:p>
      <w:pPr>
        <w:pStyle w:val="Heading3"/>
      </w:pPr>
      <w:r>
        <w:t xml:space="preserve">What explains the phases</w:t>
      </w:r>
    </w:p>
    <w:p>
      <w:pPr>
        <w:pStyle w:val="FirstParagraph"/>
      </w:pPr>
      <w:r>
        <w:t xml:space="preserve">The phases are what copying across distance looks like when it is sampled at clumped settlements and sorted by resemblance and proximity. Nearby potters copied one another more than distant ones, so decorated-class composition changes gradually across the basin, and a model with no groups assigns nearly all of the variation among assemblages to location. Settlement was clumped on particular reaches of the rivers. Sorting the assemblages in good faith by resemblance and proximity gathers each clump together and draws the lines between them. The tests bear this out from four directions. The site map alone reproduces the phase assignments. The phase lines fall where the pottery changes least. Arbitrary lines separate the pottery better than the phase lines do. And pottery made by copying with no groups sorts into the same phases. The culture historians who drew the phases were responding to something real, a gradient in style and a clumped settlement pattern, but not to a set of bounded societies.</w:t>
      </w:r>
    </w:p>
    <w:p>
      <w:pPr>
        <w:pStyle w:val="BodyText"/>
      </w:pPr>
      <w:r>
        <w:t xml:space="preserve">This explains the pattern Mainfort</w:t>
      </w:r>
      <w:r>
        <w:t xml:space="preserve"> </w:t>
      </w:r>
      <w:r>
        <w:t xml:space="preserve">(2003:180)</w:t>
      </w:r>
      <w:r>
        <w:t xml:space="preserve"> </w:t>
      </w:r>
      <w:r>
        <w:t xml:space="preserve">reported without being able to account for it, phase members lying</w:t>
      </w:r>
      <w:r>
        <w:t xml:space="preserve"> </w:t>
      </w:r>
      <w:r>
        <w:t xml:space="preserve">“in the general vicinity of each other in ordination space”</w:t>
      </w:r>
      <w:r>
        <w:t xml:space="preserve"> </w:t>
      </w:r>
      <w:r>
        <w:t xml:space="preserve">while forming no groups. Nearness in an ordination is nearness on the ground, seen through the pottery. His own redrawn phases make the same point from the other side: drawn after the ordination, they sit where the pottery differs and no longer form the tightest division of the map. The two schemes are one gradient read two ways, once by proximity and once by the pottery. A phase also folds time into space. McNutt, Franklin, and Henry</w:t>
      </w:r>
      <w:r>
        <w:t xml:space="preserve"> </w:t>
      </w:r>
      <w:r>
        <w:t xml:space="preserve">(2012:247)</w:t>
      </w:r>
      <w:r>
        <w:t xml:space="preserve"> </w:t>
      </w:r>
      <w:r>
        <w:t xml:space="preserve">describe the Walls phase as</w:t>
      </w:r>
      <w:r>
        <w:t xml:space="preserve"> </w:t>
      </w:r>
      <w:r>
        <w:t xml:space="preserve">“a developmental lineage”</w:t>
      </w:r>
      <w:r>
        <w:t xml:space="preserve"> </w:t>
      </w:r>
      <w:r>
        <w:t xml:space="preserve">spanning roughly two centuries, so the members of a phase need not even be contemporaneous. The reading is not new to the regional literature. McNutt</w:t>
      </w:r>
      <w:r>
        <w:t xml:space="preserve"> </w:t>
      </w:r>
      <w:r>
        <w:t xml:space="preserve">(1996:250)</w:t>
      </w:r>
      <w:r>
        <w:t xml:space="preserve"> </w:t>
      </w:r>
      <w:r>
        <w:t xml:space="preserve">wrote of the southern phases, Walls, Horseshoe Lake, Kent, and Parchman among them, that</w:t>
      </w:r>
      <w:r>
        <w:t xml:space="preserve"> </w:t>
      </w:r>
      <w:r>
        <w:t xml:space="preserve">“the distinctions that one tries so desperately to make between the phases involved are little more than comments on local elaborations—ceramic drift, if you will—of the basic pottery complexes possessed by peoples involved in this expansion.”</w:t>
      </w:r>
      <w:r>
        <w:t xml:space="preserve"> </w:t>
      </w:r>
      <w:r>
        <w:t xml:space="preserve">What the comparison adds is the mechanism, and a test that shows it describes the Parkin, Kent, and Walls phases.</w:t>
      </w:r>
    </w:p>
    <w:p>
      <w:pPr>
        <w:pStyle w:val="BodyText"/>
      </w:pPr>
      <w:r>
        <w:t xml:space="preserve">The pottery does carry one property the copying model does not produce. It varies over shorter distances than calibrated copying makes it vary, so that divisions into three or more groups differ more than the model predicts and every line drawn across the map shows a step in similarity. That variation is real, not a sampling effect, but it is not organized by the phase lines, and it is not centered on Parkin. The one change to the model that reproduces it while keeping the record’s diversity matched is new styles arising somewhat locally rather than at the same rates everywhere. That is still neutral copying, and it is itself geographic. We treat it as a mechanism the record is consistent with rather than one it demonstrates: the local innovation profiles in the test are random reorderings of the regional one, individual simulations are widely spread, and the test cannot say whether local innovation followed the phases or any other division. Part of the variation may also be chronological, a matter of age that an order derived from the same frequencies cannot separate from place. A restriction on copying at the phase lines would also raise these differences, but it would have made the phase lines separate the pottery better than most arbitrary lines, and they separate it worse.</w:t>
      </w:r>
    </w:p>
    <w:bookmarkEnd w:id="154"/>
    <w:bookmarkStart w:id="155" w:name="parkin-and-the-polity"/>
    <w:p>
      <w:pPr>
        <w:pStyle w:val="Heading3"/>
      </w:pPr>
      <w:r>
        <w:t xml:space="preserve">Parkin and the polity</w:t>
      </w:r>
    </w:p>
    <w:p>
      <w:pPr>
        <w:pStyle w:val="FirstParagraph"/>
      </w:pPr>
      <w:r>
        <w:t xml:space="preserve">Parkin was the basin’s largest town and had one of its tallest mounds, and its prominence was real. The polity that prominence is taken to imply does not appear in the decorated-type frequencies. The Parkin phase is exactly the northern of the two clusters the site map supports. Its difference from the rest of the basin is the one the copying model reproduces most easily, arbitrary lines separate the pottery as well as its boundary does, and the step in similarity at its edge is no larger than at comparable lines drawn across the same map. A single line gives these comparisons little power, so restricted copying at the phase’s edge cannot be excluded, but nothing in the frequencies requires it. Parkin links several seriation orderings rather than anchoring one, mound heights form a graded series with no separate top tier, and hoes reached their consumers largely down the line.</w:t>
      </w:r>
    </w:p>
    <w:p>
      <w:pPr>
        <w:pStyle w:val="BodyText"/>
      </w:pPr>
      <w:r>
        <w:t xml:space="preserve">The arguments usually offered for a Parkin polity do not supply the missing signal. The argument that Parkin, on poor soil, must have drawn tribute from productive neighbors</w:t>
      </w:r>
      <w:r>
        <w:t xml:space="preserve"> </w:t>
      </w:r>
      <w:r>
        <w:t xml:space="preserve">(Phyllis A. Morse 1990:124)</w:t>
      </w:r>
      <w:r>
        <w:t xml:space="preserve"> </w:t>
      </w:r>
      <w:r>
        <w:t xml:space="preserve">assumes the tribute it concludes, and Morse</w:t>
      </w:r>
      <w:r>
        <w:t xml:space="preserve"> </w:t>
      </w:r>
      <w:r>
        <w:t xml:space="preserve">(1990:123)</w:t>
      </w:r>
      <w:r>
        <w:t xml:space="preserve"> </w:t>
      </w:r>
      <w:r>
        <w:t xml:space="preserve">also notes that Parkin’s position below the confluence of the St. Francis and Tyronza gave it control of river travel, which accounts for its prominence as well as extraction does. Skeletal evidence that people at a mound center ate better than people at a nearby village comes from Hollywood, one of the assemblages analyzed here, compared with a village of fourteen individuals</w:t>
      </w:r>
      <w:r>
        <w:t xml:space="preserve"> </w:t>
      </w:r>
      <w:r>
        <w:t xml:space="preserve">(Ross-Stallings 2017)</w:t>
      </w:r>
      <w:r>
        <w:t xml:space="preserve">, and a difference in health between two sites need not arise from an extractive hierarchy. The region’s own history also offers a precedent for separating polity from ceramic phase. Coosa, the best-documented Mississippian paramountcy, spanned two ceramic traditions and site clusters that were separable at the phase level, and political affiliation rather than shared decoration bound them together</w:t>
      </w:r>
      <w:r>
        <w:t xml:space="preserve"> </w:t>
      </w:r>
      <w:r>
        <w:t xml:space="preserve">(Anderson 1996:250–251)</w:t>
      </w:r>
      <w:r>
        <w:t xml:space="preserve">. A polity need not coincide with a phase, and the reverse inference, from one phase to one polity, has no warrant on its own. If the polity the De Soto expedition met was at Parkin, it is registered in ceremony, fortification, and settlement size, not in a boundary written into the pottery.</w:t>
      </w:r>
    </w:p>
    <w:bookmarkEnd w:id="155"/>
    <w:bookmarkStart w:id="156" w:name="limits"/>
    <w:p>
      <w:pPr>
        <w:pStyle w:val="Heading3"/>
      </w:pPr>
      <w:r>
        <w:t xml:space="preserve">Limits</w:t>
      </w:r>
    </w:p>
    <w:p>
      <w:pPr>
        <w:pStyle w:val="FirstParagraph"/>
      </w:pPr>
      <w:r>
        <w:t xml:space="preserve">Four limits bound these conclusions. The first is resolution. On a record of this size only cultural</w:t>
      </w:r>
      <w:r>
        <w:t xml:space="preserve"> </w:t>
      </w:r>
      <m:oMath>
        <m:sSub>
          <m:e>
            <m:r>
              <m:t>F</m:t>
            </m:r>
          </m:e>
          <m:sub>
            <m:r>
              <m:t>S</m:t>
            </m:r>
            <m:r>
              <m:t>T</m:t>
            </m:r>
          </m:sub>
        </m:sSub>
      </m:oMath>
      <w:r>
        <w:t xml:space="preserve"> </w:t>
      </w:r>
      <w:r>
        <w:t xml:space="preserve">can detect groups, and only groups that follow geography closely enough to be captured by spatial divisions; social divisions that cut across the map, or closure carried purely by conformity within groups, would escape detection (Supplemental Text). The second is chronology. Radiocarbon dates match only four assemblages, and the seriation axis follows latitude more closely than age. The tests of the phase lines do not depend on it, and the copying-model comparison gives nearly the same answer when all assemblages are treated as contemporaneous, but the record cannot say whether any difference grew through time; within its limits it shows none (Supplemental Text). The third is time-averaging, which damps differences between assemblages</w:t>
      </w:r>
      <w:r>
        <w:t xml:space="preserve"> </w:t>
      </w:r>
      <w:r>
        <w:t xml:space="preserve">(Kidwell and Tomašových 2013; Perreault 2018; Tomašových and Kidwell 2009; Youngblood et al. 2023)</w:t>
      </w:r>
      <w:r>
        <w:t xml:space="preserve">. We built it into the copying model, so its cost is already in the reported ranges. The fourth is the copying model itself. Which combination is most favorable to it depends on the random seeds used to rank them, so we report the key comparisons across six (Table 1). And the model distinguishes a copying boundary at the phase lines from new styles arising locally only weakly, which is why the conclusion about the phases rests on where their lines fall and what could have drawn them rather than on the model’s failure to find restricted copying.</w:t>
      </w:r>
    </w:p>
    <w:bookmarkEnd w:id="156"/>
    <w:bookmarkStart w:id="157" w:name="what-this-approach-contributes"/>
    <w:p>
      <w:pPr>
        <w:pStyle w:val="Heading3"/>
      </w:pPr>
      <w:r>
        <w:t xml:space="preserve">What this approach contributes</w:t>
      </w:r>
    </w:p>
    <w:p>
      <w:pPr>
        <w:pStyle w:val="FirstParagraph"/>
      </w:pPr>
      <w:r>
        <w:t xml:space="preserve">The approach rests on two requirements that apply beyond this case. Before a similarity pattern is read as social, the record must be shown able to detect a social boundary; here that leaves one usable measure of four. Before a model of copying with no groups is credited with reproducing a record, it must be shown to fit that record’s own diversity. The second requirement changed our own results: calibrated, the model is narrower than an uncalibrated one and shows the shorter-range variation it misses. A model run at the wrong diversity is easily credited with structure it cannot produce, just as a localized neutral process is easily mistaken for biased copying when diversity is taken at face value</w:t>
      </w:r>
      <w:r>
        <w:t xml:space="preserve"> </w:t>
      </w:r>
      <w:r>
        <w:t xml:space="preserve">(Premo 2016; Premo and Scholnick 2011; Schneider et al. 2016)</w:t>
      </w:r>
      <w:r>
        <w:t xml:space="preserve">. The approach also asks a question of the phase scheme that ordination alone cannot: not whether the phases separate, but whether their lines separate the pottery better than other lines drawn across the same map. These are standards of measurement for an evolutionary archaeology that has long been clearer about what evolves than about how to measure it</w:t>
      </w:r>
      <w:r>
        <w:t xml:space="preserve"> </w:t>
      </w:r>
      <w:r>
        <w:t xml:space="preserve">(Dunnell 1995; Lipo et al. 2015; Neiman 1995)</w:t>
      </w:r>
      <w:r>
        <w:t xml:space="preserve">.</w:t>
      </w:r>
    </w:p>
    <w:p>
      <w:pPr>
        <w:pStyle w:val="BodyText"/>
      </w:pPr>
      <w:r>
        <w:t xml:space="preserve">The shorter-range variation and Parkin’s role would be better tested on stratified, excavated assemblages with independent radiocarbon dates, on compositional and petrographic evidence for where pottery was made, and on exchange, mortuary, and dietary records</w:t>
      </w:r>
      <w:r>
        <w:t xml:space="preserve"> </w:t>
      </w:r>
      <w:r>
        <w:t xml:space="preserve">(Cobb 2000; Ross-Stallings 2017)</w:t>
      </w:r>
      <w:r>
        <w:t xml:space="preserve">.</w:t>
      </w:r>
    </w:p>
    <w:bookmarkEnd w:id="157"/>
    <w:bookmarkEnd w:id="158"/>
    <w:bookmarkStart w:id="159" w:name="conclusion"/>
    <w:p>
      <w:pPr>
        <w:pStyle w:val="Heading2"/>
      </w:pPr>
      <w:r>
        <w:t xml:space="preserve">Conclusion</w:t>
      </w:r>
    </w:p>
    <w:p>
      <w:pPr>
        <w:pStyle w:val="FirstParagraph"/>
      </w:pPr>
      <w:r>
        <w:t xml:space="preserve">The phase is the unit on which lower Mississippi Valley culture history is built, and it carries an unstated claim: that assemblages grouped by seriation and proximity record a community, and at Parkin a polity. Earlier work showed that the phases do not separate cleanly. This paper explains what they are. Potters copied near neighbors more than distant ones, so style changed gradually across the basin; settlement was clumped; and sorting assemblages by resemblance and proximity turns that gradient into what looks like a set of groups. The site map alone recovers the phases, arbitrary lines separate the pottery better than the phase lines do, and pottery made by copying with no groups sorts into the same phases.</w:t>
      </w:r>
    </w:p>
    <w:p>
      <w:pPr>
        <w:pStyle w:val="BodyText"/>
      </w:pPr>
      <w:r>
        <w:t xml:space="preserve">The pottery does vary over shorter distances than calibrated copying produces, but arbitrary lines capture that variation as well as the phase lines do, and restricted copying at the phase lines would have made them capture it better. The Parkin phase has no evidence in its decorated-type frequencies that sets it apart as a polity. It is the northern half of the site map, its pottery differs from the rest of the basin no more than copying without groups produces and no more than arbitrary divisions separate, and comparable steps in similarity appear at arbitrary lines across the basin. A similarity cluster is not, by itself, a society. Before a phase is read as one, its frequencies must show what copying across distance cannot produce, and its lines must separate the pottery better than lines drawn anywhere else.</w:t>
      </w:r>
    </w:p>
    <w:bookmarkEnd w:id="159"/>
    <w:bookmarkStart w:id="160" w:name="data-and-code-availability"/>
    <w:p>
      <w:pPr>
        <w:pStyle w:val="Heading2"/>
      </w:pPr>
      <w:r>
        <w:t xml:space="preserve">Data and Code Availability</w:t>
      </w:r>
    </w:p>
    <w:p>
      <w:pPr>
        <w:pStyle w:val="FirstParagraph"/>
      </w:pPr>
      <w:r>
        <w:t xml:space="preserve">All data and code needed to reproduce the analyses and figures reported here are openly available at https://github.com/clipo/phases. Upon publication, we will release a versioned snapshot of the repository at https://doi.org/10.5281/zenodo.20796240. The repository includes the decorated-ceramic class counts, the georeferencing and radiocarbon data, the complete analysis procedure, and instructions for reproducing all results and figures. The neutral copying model is implemented in</w:t>
      </w:r>
      <w:r>
        <w:t xml:space="preserve"> </w:t>
      </w:r>
      <w:r>
        <w:rPr>
          <w:rStyle w:val="VerbatimChar"/>
        </w:rPr>
        <w:t xml:space="preserve">src/mls_emergence/transmission/spatial.py</w:t>
      </w:r>
      <w:r>
        <w:t xml:space="preserve"> </w:t>
      </w:r>
      <w:r>
        <w:t xml:space="preserve">and analyses 47 and 50, which write every simulation, the calibration series, and a configuration fingerprint. The code is released under the MIT License, and the data under a Creative Commons Attribution 4.0 International license.</w:t>
      </w:r>
    </w:p>
    <w:bookmarkEnd w:id="160"/>
    <w:bookmarkStart w:id="269" w:name="references"/>
    <w:p>
      <w:pPr>
        <w:pStyle w:val="Heading2"/>
      </w:pPr>
      <w:r>
        <w:t xml:space="preserve">References</w:t>
      </w:r>
    </w:p>
    <w:bookmarkStart w:id="268" w:name="refs"/>
    <w:bookmarkStart w:id="161" w:name="ref-anderson_1996"/>
    <w:p>
      <w:pPr>
        <w:pStyle w:val="Bibliography"/>
      </w:pPr>
      <w:r>
        <w:t xml:space="preserve">Anderson, David G. 1996. Fluctuations Between Simple and Complex Chiefdoms: Cycling in the Late Prehistoric Southeast. In</w:t>
      </w:r>
      <w:r>
        <w:t xml:space="preserve"> </w:t>
      </w:r>
      <w:r>
        <w:rPr>
          <w:i/>
          <w:iCs/>
        </w:rPr>
        <w:t xml:space="preserve">Political Structure and Change in the Prehistoric Southeastern United States</w:t>
      </w:r>
      <w:r>
        <w:t xml:space="preserve">, edited by John F. Scarry, pp. 231–252. University Press of Florida, Gainesville.</w:t>
      </w:r>
    </w:p>
    <w:bookmarkEnd w:id="161"/>
    <w:bookmarkStart w:id="162" w:name="ref-baxter_1994"/>
    <w:p>
      <w:pPr>
        <w:pStyle w:val="Bibliography"/>
      </w:pPr>
      <w:r>
        <w:t xml:space="preserve">Baxter, M. J. 1994.</w:t>
      </w:r>
      <w:r>
        <w:t xml:space="preserve"> </w:t>
      </w:r>
      <w:r>
        <w:rPr>
          <w:i/>
          <w:iCs/>
        </w:rPr>
        <w:t xml:space="preserve">Exploratory Multivariate Analysis in Archaeology</w:t>
      </w:r>
      <w:r>
        <w:t xml:space="preserve">. Edinburgh University Press, Edinburgh.</w:t>
      </w:r>
    </w:p>
    <w:bookmarkEnd w:id="162"/>
    <w:bookmarkStart w:id="164" w:name="ref-beck_2003"/>
    <w:p>
      <w:pPr>
        <w:pStyle w:val="Bibliography"/>
      </w:pPr>
      <w:r>
        <w:t xml:space="preserve">Beck, Jr., Robin A. 2003. Consolidation and Hierarchy: Chiefdom Variability in the</w:t>
      </w:r>
      <w:r>
        <w:t xml:space="preserve"> </w:t>
      </w:r>
      <w:r>
        <w:t xml:space="preserve">Mississippian</w:t>
      </w:r>
      <w:r>
        <w:t xml:space="preserve"> </w:t>
      </w:r>
      <w:r>
        <w:t xml:space="preserve">Southeast.</w:t>
      </w:r>
      <w:r>
        <w:t xml:space="preserve"> </w:t>
      </w:r>
      <w:r>
        <w:rPr>
          <w:i/>
          <w:iCs/>
        </w:rPr>
        <w:t xml:space="preserve">American Antiquity</w:t>
      </w:r>
      <w:r>
        <w:t xml:space="preserve"> </w:t>
      </w:r>
      <w:r>
        <w:t xml:space="preserve">68(4):641–661.</w:t>
      </w:r>
      <w:r>
        <w:t xml:space="preserve"> </w:t>
      </w:r>
      <w:hyperlink r:id="rId163">
        <w:r>
          <w:rPr>
            <w:rStyle w:val="Hyperlink"/>
          </w:rPr>
          <w:t xml:space="preserve">https://doi.org/10.2307/3557066</w:t>
        </w:r>
      </w:hyperlink>
      <w:r>
        <w:t xml:space="preserve">.</w:t>
      </w:r>
    </w:p>
    <w:bookmarkEnd w:id="164"/>
    <w:bookmarkStart w:id="166"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165">
        <w:r>
          <w:rPr>
            <w:rStyle w:val="Hyperlink"/>
          </w:rPr>
          <w:t xml:space="preserve">https://doi.org/10.1073/pnas.0903232106</w:t>
        </w:r>
      </w:hyperlink>
      <w:r>
        <w:t xml:space="preserve">.</w:t>
      </w:r>
    </w:p>
    <w:bookmarkEnd w:id="166"/>
    <w:bookmarkStart w:id="168"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167">
        <w:r>
          <w:rPr>
            <w:rStyle w:val="Hyperlink"/>
          </w:rPr>
          <w:t xml:space="preserve">https://doi.org/10.1098/rspb.2004.2746</w:t>
        </w:r>
      </w:hyperlink>
      <w:r>
        <w:t xml:space="preserve">.</w:t>
      </w:r>
    </w:p>
    <w:bookmarkEnd w:id="168"/>
    <w:bookmarkStart w:id="170" w:name="ref-blitz_1999"/>
    <w:p>
      <w:pPr>
        <w:pStyle w:val="Bibliography"/>
      </w:pPr>
      <w:r>
        <w:t xml:space="preserve">Blitz, John H. 1999.</w:t>
      </w:r>
      <w:r>
        <w:t xml:space="preserve"> </w:t>
      </w:r>
      <w:r>
        <w:t xml:space="preserve">Mississippian</w:t>
      </w:r>
      <w:r>
        <w:t xml:space="preserve"> </w:t>
      </w:r>
      <w:r>
        <w:t xml:space="preserve">Chiefdoms and the Fission-Fusion Process.</w:t>
      </w:r>
      <w:r>
        <w:t xml:space="preserve"> </w:t>
      </w:r>
      <w:r>
        <w:rPr>
          <w:i/>
          <w:iCs/>
        </w:rPr>
        <w:t xml:space="preserve">American Antiquity</w:t>
      </w:r>
      <w:r>
        <w:t xml:space="preserve"> </w:t>
      </w:r>
      <w:r>
        <w:t xml:space="preserve">64(4):577–592.</w:t>
      </w:r>
      <w:r>
        <w:t xml:space="preserve"> </w:t>
      </w:r>
      <w:hyperlink r:id="rId169">
        <w:r>
          <w:rPr>
            <w:rStyle w:val="Hyperlink"/>
          </w:rPr>
          <w:t xml:space="preserve">https://doi.org/10.2307/2694206</w:t>
        </w:r>
      </w:hyperlink>
      <w:r>
        <w:t xml:space="preserve">.</w:t>
      </w:r>
    </w:p>
    <w:bookmarkEnd w:id="170"/>
    <w:bookmarkStart w:id="171" w:name="ref-brainerd_1951"/>
    <w:p>
      <w:pPr>
        <w:pStyle w:val="Bibliography"/>
      </w:pPr>
      <w:r>
        <w:t xml:space="preserve">Brainerd, George W. 1951. The Place of Chronological Ordering in Archaeological Analysis.</w:t>
      </w:r>
      <w:r>
        <w:t xml:space="preserve"> </w:t>
      </w:r>
      <w:r>
        <w:rPr>
          <w:i/>
          <w:iCs/>
        </w:rPr>
        <w:t xml:space="preserve">American Antiquity</w:t>
      </w:r>
      <w:r>
        <w:t xml:space="preserve"> </w:t>
      </w:r>
      <w:r>
        <w:t xml:space="preserve">16(4):301–313.</w:t>
      </w:r>
    </w:p>
    <w:bookmarkEnd w:id="171"/>
    <w:bookmarkStart w:id="172" w:name="ref-cobb_2000"/>
    <w:p>
      <w:pPr>
        <w:pStyle w:val="Bibliography"/>
      </w:pPr>
      <w:r>
        <w:t xml:space="preserve">Cobb, Charles R. 2000.</w:t>
      </w:r>
      <w:r>
        <w:t xml:space="preserve"> </w:t>
      </w:r>
      <w:r>
        <w:rPr>
          <w:i/>
          <w:iCs/>
        </w:rPr>
        <w:t xml:space="preserve">From Quarry to Cornfield: The Political Economy of</w:t>
      </w:r>
      <w:r>
        <w:rPr>
          <w:i/>
          <w:iCs/>
        </w:rPr>
        <w:t xml:space="preserve"> </w:t>
      </w:r>
      <w:r>
        <w:rPr>
          <w:i/>
          <w:iCs/>
        </w:rPr>
        <w:t xml:space="preserve">Mississippian</w:t>
      </w:r>
      <w:r>
        <w:rPr>
          <w:i/>
          <w:iCs/>
        </w:rPr>
        <w:t xml:space="preserve"> </w:t>
      </w:r>
      <w:r>
        <w:rPr>
          <w:i/>
          <w:iCs/>
        </w:rPr>
        <w:t xml:space="preserve">Hoe Production</w:t>
      </w:r>
      <w:r>
        <w:t xml:space="preserve">. University of Alabama Press, Tuscaloosa.</w:t>
      </w:r>
    </w:p>
    <w:bookmarkEnd w:id="172"/>
    <w:bookmarkStart w:id="174" w:name="ref-crema_bortolini_lake_2023"/>
    <w:p>
      <w:pPr>
        <w:pStyle w:val="Bibliography"/>
      </w:pPr>
      <w:r>
        <w:t xml:space="preserve">Crema, Enrico R., Eugenio Bortolini, and Mark Lake. 2024. How Cultural Transmission Through Objects Impacts Inferences about Cultural Evolution.</w:t>
      </w:r>
      <w:r>
        <w:t xml:space="preserve"> </w:t>
      </w:r>
      <w:r>
        <w:rPr>
          <w:i/>
          <w:iCs/>
        </w:rPr>
        <w:t xml:space="preserve">Journal of Archaeological Method and Theory</w:t>
      </w:r>
      <w:r>
        <w:t xml:space="preserve"> </w:t>
      </w:r>
      <w:r>
        <w:t xml:space="preserve">31:202–226.</w:t>
      </w:r>
      <w:r>
        <w:t xml:space="preserve"> </w:t>
      </w:r>
      <w:hyperlink r:id="rId173">
        <w:r>
          <w:rPr>
            <w:rStyle w:val="Hyperlink"/>
          </w:rPr>
          <w:t xml:space="preserve">https://doi.org/10.1007/s10816-022-09599-x</w:t>
        </w:r>
      </w:hyperlink>
      <w:r>
        <w:t xml:space="preserve">.</w:t>
      </w:r>
    </w:p>
    <w:bookmarkEnd w:id="174"/>
    <w:bookmarkStart w:id="176"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175">
        <w:r>
          <w:rPr>
            <w:rStyle w:val="Hyperlink"/>
          </w:rPr>
          <w:t xml:space="preserve">https://doi.org/10.1038/srep39122</w:t>
        </w:r>
      </w:hyperlink>
      <w:r>
        <w:t xml:space="preserve">.</w:t>
      </w:r>
    </w:p>
    <w:bookmarkEnd w:id="176"/>
    <w:bookmarkStart w:id="178" w:name="ref-dunnell_1978"/>
    <w:p>
      <w:pPr>
        <w:pStyle w:val="Bibliography"/>
      </w:pPr>
      <w:r>
        <w:t xml:space="preserve">Dunnell, Robert C. 1978. Style and Function: A Fundamental Dichotomy.</w:t>
      </w:r>
      <w:r>
        <w:t xml:space="preserve"> </w:t>
      </w:r>
      <w:r>
        <w:rPr>
          <w:i/>
          <w:iCs/>
        </w:rPr>
        <w:t xml:space="preserve">American Antiquity</w:t>
      </w:r>
      <w:r>
        <w:t xml:space="preserve"> </w:t>
      </w:r>
      <w:r>
        <w:t xml:space="preserve">43(2):192–202.</w:t>
      </w:r>
      <w:r>
        <w:t xml:space="preserve"> </w:t>
      </w:r>
      <w:hyperlink r:id="rId177">
        <w:r>
          <w:rPr>
            <w:rStyle w:val="Hyperlink"/>
          </w:rPr>
          <w:t xml:space="preserve">https://doi.org/10.2307/279244</w:t>
        </w:r>
      </w:hyperlink>
      <w:r>
        <w:t xml:space="preserve">.</w:t>
      </w:r>
    </w:p>
    <w:bookmarkEnd w:id="178"/>
    <w:bookmarkStart w:id="179" w:name="ref-dunnell_1980"/>
    <w:p>
      <w:pPr>
        <w:pStyle w:val="Bibliography"/>
      </w:pPr>
      <w:r>
        <w:t xml:space="preserve">Dunnell, Robert C. 1980. Evolutionary Theory and Archaeology. In</w:t>
      </w:r>
      <w:r>
        <w:t xml:space="preserve"> </w:t>
      </w:r>
      <w:r>
        <w:rPr>
          <w:i/>
          <w:iCs/>
        </w:rPr>
        <w:t xml:space="preserve">Advances in Archaeological Method and Theory, Volume 3</w:t>
      </w:r>
      <w:r>
        <w:t xml:space="preserve">, edited by Michael B. Schiffer, pp. 35–99. Academic Press, New York.</w:t>
      </w:r>
    </w:p>
    <w:bookmarkEnd w:id="179"/>
    <w:bookmarkStart w:id="180" w:name="ref-dunnell_1995"/>
    <w:p>
      <w:pPr>
        <w:pStyle w:val="Bibliography"/>
      </w:pPr>
      <w:r>
        <w:t xml:space="preserve">Dunnell, Robert C. 1995. What Is It That Actually Evolves? In</w:t>
      </w:r>
      <w:r>
        <w:t xml:space="preserve"> </w:t>
      </w:r>
      <w:r>
        <w:rPr>
          <w:i/>
          <w:iCs/>
        </w:rPr>
        <w:t xml:space="preserve">Evolutionary Archaeology: Methodological Issues</w:t>
      </w:r>
      <w:r>
        <w:t xml:space="preserve">, edited by Patrice A. Teltser, pp. 33–50. University of Arizona Press, Tucson.</w:t>
      </w:r>
    </w:p>
    <w:bookmarkEnd w:id="180"/>
    <w:bookmarkStart w:id="182" w:name="ref-eerkens_lipo_2005"/>
    <w:p>
      <w:pPr>
        <w:pStyle w:val="Bibliography"/>
      </w:pPr>
      <w:r>
        <w:t xml:space="preserve">Eerkens, Jelmer W., and Carl P. Lipo. 2005. Cultural Transmission, Copying Errors, and the Generation of Variation in Material Culture and the Archaeological Record.</w:t>
      </w:r>
      <w:r>
        <w:t xml:space="preserve"> </w:t>
      </w:r>
      <w:r>
        <w:rPr>
          <w:i/>
          <w:iCs/>
        </w:rPr>
        <w:t xml:space="preserve">Journal of Anthropological Archaeology</w:t>
      </w:r>
      <w:r>
        <w:t xml:space="preserve"> </w:t>
      </w:r>
      <w:r>
        <w:t xml:space="preserve">24(4):316–334.</w:t>
      </w:r>
      <w:r>
        <w:t xml:space="preserve"> </w:t>
      </w:r>
      <w:hyperlink r:id="rId181">
        <w:r>
          <w:rPr>
            <w:rStyle w:val="Hyperlink"/>
          </w:rPr>
          <w:t xml:space="preserve">https://doi.org/10.1016/j.jaa.2005.08.001</w:t>
        </w:r>
      </w:hyperlink>
      <w:r>
        <w:t xml:space="preserve">.</w:t>
      </w:r>
    </w:p>
    <w:bookmarkEnd w:id="182"/>
    <w:bookmarkStart w:id="184" w:name="ref-eerkens_lipo_2007"/>
    <w:p>
      <w:pPr>
        <w:pStyle w:val="Bibliography"/>
      </w:pPr>
      <w:r>
        <w:t xml:space="preserve">Eerkens, Jelmer W., and Carl P. Lipo. 2007. Cultural Transmission Theory and the Archaeological Record: Providing Context to Understanding Variation and Temporal Changes in Material Culture.</w:t>
      </w:r>
      <w:r>
        <w:t xml:space="preserve"> </w:t>
      </w:r>
      <w:r>
        <w:rPr>
          <w:i/>
          <w:iCs/>
        </w:rPr>
        <w:t xml:space="preserve">Journal of Archaeological Research</w:t>
      </w:r>
      <w:r>
        <w:t xml:space="preserve"> </w:t>
      </w:r>
      <w:r>
        <w:t xml:space="preserve">15(3):239–274.</w:t>
      </w:r>
      <w:r>
        <w:t xml:space="preserve"> </w:t>
      </w:r>
      <w:hyperlink r:id="rId183">
        <w:r>
          <w:rPr>
            <w:rStyle w:val="Hyperlink"/>
          </w:rPr>
          <w:t xml:space="preserve">https://doi.org/10.1007/s10814-007-9013-z</w:t>
        </w:r>
      </w:hyperlink>
      <w:r>
        <w:t xml:space="preserve">.</w:t>
      </w:r>
    </w:p>
    <w:bookmarkEnd w:id="184"/>
    <w:bookmarkStart w:id="186" w:name="ref-fogarty_kandler_creanza_2024"/>
    <w:p>
      <w:pPr>
        <w:pStyle w:val="Bibliography"/>
      </w:pPr>
      <w:r>
        <w:t xml:space="preserve">Fogarty, Laurel, Anne Kandler, Nicole Creanza, and Marcus W. Feldman. 2024. Half a Century of Quantitative Cultural Evolution.</w:t>
      </w:r>
      <w:r>
        <w:t xml:space="preserve"> </w:t>
      </w:r>
      <w:r>
        <w:rPr>
          <w:i/>
          <w:iCs/>
        </w:rPr>
        <w:t xml:space="preserve">Proceedings of the National Academy of Sciences</w:t>
      </w:r>
      <w:r>
        <w:t xml:space="preserve"> </w:t>
      </w:r>
      <w:r>
        <w:t xml:space="preserve">121(48):e2418106121.</w:t>
      </w:r>
      <w:r>
        <w:t xml:space="preserve"> </w:t>
      </w:r>
      <w:hyperlink r:id="rId185">
        <w:r>
          <w:rPr>
            <w:rStyle w:val="Hyperlink"/>
          </w:rPr>
          <w:t xml:space="preserve">https://doi.org/10.1073/pnas.2418106121</w:t>
        </w:r>
      </w:hyperlink>
      <w:r>
        <w:t xml:space="preserve">.</w:t>
      </w:r>
    </w:p>
    <w:bookmarkEnd w:id="186"/>
    <w:bookmarkStart w:id="187"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187"/>
    <w:bookmarkStart w:id="189" w:name="ref-haley_2014"/>
    <w:p>
      <w:pPr>
        <w:pStyle w:val="Bibliography"/>
      </w:pPr>
      <w:r>
        <w:t xml:space="preserve">Haley, Bryan S. 2014. The Big Picture at</w:t>
      </w:r>
      <w:r>
        <w:t xml:space="preserve"> </w:t>
      </w:r>
      <w:r>
        <w:t xml:space="preserve">Hollywood</w:t>
      </w:r>
      <w:r>
        <w:t xml:space="preserve">: Geophysical and Archaeological Investigations at a</w:t>
      </w:r>
      <w:r>
        <w:t xml:space="preserve"> </w:t>
      </w:r>
      <w:r>
        <w:t xml:space="preserve">Mississippian</w:t>
      </w:r>
      <w:r>
        <w:t xml:space="preserve"> </w:t>
      </w:r>
      <w:r>
        <w:t xml:space="preserve">Mound Centre.</w:t>
      </w:r>
      <w:r>
        <w:t xml:space="preserve"> </w:t>
      </w:r>
      <w:r>
        <w:rPr>
          <w:i/>
          <w:iCs/>
        </w:rPr>
        <w:t xml:space="preserve">Archaeological Prospection</w:t>
      </w:r>
      <w:r>
        <w:t xml:space="preserve"> </w:t>
      </w:r>
      <w:r>
        <w:t xml:space="preserve">21(1):39–47.</w:t>
      </w:r>
      <w:r>
        <w:t xml:space="preserve"> </w:t>
      </w:r>
      <w:hyperlink r:id="rId188">
        <w:r>
          <w:rPr>
            <w:rStyle w:val="Hyperlink"/>
          </w:rPr>
          <w:t xml:space="preserve">https://doi.org/10.1002/arp.1477</w:t>
        </w:r>
      </w:hyperlink>
      <w:r>
        <w:t xml:space="preserve">.</w:t>
      </w:r>
    </w:p>
    <w:bookmarkEnd w:id="189"/>
    <w:bookmarkStart w:id="191"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190">
        <w:r>
          <w:rPr>
            <w:rStyle w:val="Hyperlink"/>
          </w:rPr>
          <w:t xml:space="preserve">https://doi.org/10.1525/aa.2001.103.4.992</w:t>
        </w:r>
      </w:hyperlink>
      <w:r>
        <w:t xml:space="preserve">.</w:t>
      </w:r>
    </w:p>
    <w:bookmarkEnd w:id="191"/>
    <w:bookmarkStart w:id="193" w:name="ref-henrich_boyd_1998"/>
    <w:p>
      <w:pPr>
        <w:pStyle w:val="Bibliography"/>
      </w:pPr>
      <w:r>
        <w:t xml:space="preserve">Henrich, Joseph, and Robert Boyd. 1998. The Evolution of Conformist Transmission and the Emergence of Between-Group Differences.</w:t>
      </w:r>
      <w:r>
        <w:t xml:space="preserve"> </w:t>
      </w:r>
      <w:r>
        <w:rPr>
          <w:i/>
          <w:iCs/>
        </w:rPr>
        <w:t xml:space="preserve">Evolution and Human Behavior</w:t>
      </w:r>
      <w:r>
        <w:t xml:space="preserve"> </w:t>
      </w:r>
      <w:r>
        <w:t xml:space="preserve">19(4):215–241.</w:t>
      </w:r>
      <w:r>
        <w:t xml:space="preserve"> </w:t>
      </w:r>
      <w:hyperlink r:id="rId192">
        <w:r>
          <w:rPr>
            <w:rStyle w:val="Hyperlink"/>
          </w:rPr>
          <w:t xml:space="preserve">https://doi.org/10.1016/S1090-5138(98)00018-X</w:t>
        </w:r>
      </w:hyperlink>
      <w:r>
        <w:t xml:space="preserve">.</w:t>
      </w:r>
    </w:p>
    <w:bookmarkEnd w:id="193"/>
    <w:bookmarkStart w:id="194" w:name="ref-holdaway_wandsnider_2008"/>
    <w:p>
      <w:pPr>
        <w:pStyle w:val="Bibliography"/>
      </w:pPr>
      <w:r>
        <w:t xml:space="preserve">Holdaway, Simon J., and LuAnn Wandsnider (editors). 2008.</w:t>
      </w:r>
      <w:r>
        <w:t xml:space="preserve"> </w:t>
      </w:r>
      <w:r>
        <w:rPr>
          <w:i/>
          <w:iCs/>
        </w:rPr>
        <w:t xml:space="preserve">Time in Archaeology: Time Perspectivism Revisited</w:t>
      </w:r>
      <w:r>
        <w:t xml:space="preserve">. University of Utah Press, Salt Lake City.</w:t>
      </w:r>
    </w:p>
    <w:bookmarkEnd w:id="194"/>
    <w:bookmarkStart w:id="196" w:name="ref-holland-lulewicz_ritchison_2021"/>
    <w:p>
      <w:pPr>
        <w:pStyle w:val="Bibliography"/>
      </w:pPr>
      <w:r>
        <w:t xml:space="preserve">Holland-Lulewicz, Jacob, and Brandon T. Ritchison. 2021. How Many Dates Do i Need? Using Simulations to Determine Robust Age Estimations of Archaeological Contexts.</w:t>
      </w:r>
      <w:r>
        <w:t xml:space="preserve"> </w:t>
      </w:r>
      <w:r>
        <w:rPr>
          <w:i/>
          <w:iCs/>
        </w:rPr>
        <w:t xml:space="preserve">Advances in Archaeological Practice</w:t>
      </w:r>
      <w:r>
        <w:t xml:space="preserve"> </w:t>
      </w:r>
      <w:r>
        <w:t xml:space="preserve">9(4):272–287.</w:t>
      </w:r>
      <w:r>
        <w:t xml:space="preserve"> </w:t>
      </w:r>
      <w:hyperlink r:id="rId195">
        <w:r>
          <w:rPr>
            <w:rStyle w:val="Hyperlink"/>
          </w:rPr>
          <w:t xml:space="preserve">https://doi.org/10.1017/aap.2021.10</w:t>
        </w:r>
      </w:hyperlink>
      <w:r>
        <w:t xml:space="preserve">.</w:t>
      </w:r>
    </w:p>
    <w:bookmarkEnd w:id="196"/>
    <w:bookmarkStart w:id="197" w:name="ref-house_1991"/>
    <w:p>
      <w:pPr>
        <w:pStyle w:val="Bibliography"/>
      </w:pPr>
      <w:r>
        <w:t xml:space="preserve">House, John H. 1991. Monitoring</w:t>
      </w:r>
      <w:r>
        <w:t xml:space="preserve"> </w:t>
      </w:r>
      <w:r>
        <w:t xml:space="preserve">Mississippian</w:t>
      </w:r>
      <w:r>
        <w:t xml:space="preserve"> </w:t>
      </w:r>
      <w:r>
        <w:t xml:space="preserve">Dynamics: Time, Settlement, and Ceramic Variation in the</w:t>
      </w:r>
      <w:r>
        <w:t xml:space="preserve"> </w:t>
      </w:r>
      <w:r>
        <w:t xml:space="preserve">Kent</w:t>
      </w:r>
      <w:r>
        <w:t xml:space="preserve"> </w:t>
      </w:r>
      <w:r>
        <w:t xml:space="preserve">Phase, Eastern</w:t>
      </w:r>
      <w:r>
        <w:t xml:space="preserve"> </w:t>
      </w:r>
      <w:r>
        <w:t xml:space="preserve">Arkansas</w:t>
      </w:r>
      <w:r>
        <w:t xml:space="preserve">. PhD thesis, Southern Illinois University at Carbondale, Carbondale.</w:t>
      </w:r>
    </w:p>
    <w:bookmarkEnd w:id="197"/>
    <w:bookmarkStart w:id="198" w:name="ref-house_1993"/>
    <w:p>
      <w:pPr>
        <w:pStyle w:val="Bibliography"/>
      </w:pPr>
      <w:r>
        <w:t xml:space="preserve">House, John H. 1993. Dating the Kent Phase.</w:t>
      </w:r>
      <w:r>
        <w:t xml:space="preserve"> </w:t>
      </w:r>
      <w:r>
        <w:rPr>
          <w:i/>
          <w:iCs/>
        </w:rPr>
        <w:t xml:space="preserve">Southeastern Archaeology</w:t>
      </w:r>
      <w:r>
        <w:t xml:space="preserve"> </w:t>
      </w:r>
      <w:r>
        <w:t xml:space="preserve">12(1):21–32.</w:t>
      </w:r>
    </w:p>
    <w:bookmarkEnd w:id="198"/>
    <w:bookmarkStart w:id="199" w:name="ref-hudson_smith_depratter_1990"/>
    <w:p>
      <w:pPr>
        <w:pStyle w:val="Bibliography"/>
      </w:pPr>
      <w:r>
        <w:t xml:space="preserve">Hudson, Charles, Marvin T. Smith, and Chester B. DePratter. 1990. The Hernando de Soto Expedition: From</w:t>
      </w:r>
      <w:r>
        <w:t xml:space="preserve"> </w:t>
      </w:r>
      <w:r>
        <w:t xml:space="preserve">Mabila</w:t>
      </w:r>
      <w:r>
        <w:t xml:space="preserve"> </w:t>
      </w:r>
      <w:r>
        <w:t xml:space="preserve">to the</w:t>
      </w:r>
      <w:r>
        <w:t xml:space="preserve"> </w:t>
      </w:r>
      <w:r>
        <w:t xml:space="preserve">Mississippi</w:t>
      </w:r>
      <w:r>
        <w:t xml:space="preserve"> </w:t>
      </w:r>
      <w:r>
        <w:t xml:space="preserve">River.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181–207. University of Alabama Press, Tuscaloosa.</w:t>
      </w:r>
    </w:p>
    <w:bookmarkEnd w:id="199"/>
    <w:bookmarkStart w:id="201" w:name="ref-kidwell_tomasovych_2013"/>
    <w:p>
      <w:pPr>
        <w:pStyle w:val="Bibliography"/>
      </w:pPr>
      <w:r>
        <w:t xml:space="preserve">Kidwell, Susan M., and Adam Tomašových. 2013. Implications of Time-Averaged Death Assemblages for Ecology and Conservation Biology.</w:t>
      </w:r>
      <w:r>
        <w:t xml:space="preserve"> </w:t>
      </w:r>
      <w:r>
        <w:rPr>
          <w:i/>
          <w:iCs/>
        </w:rPr>
        <w:t xml:space="preserve">Annual Review of Ecology, Evolution, and Systematics</w:t>
      </w:r>
      <w:r>
        <w:t xml:space="preserve"> </w:t>
      </w:r>
      <w:r>
        <w:t xml:space="preserve">44:539–563.</w:t>
      </w:r>
      <w:r>
        <w:t xml:space="preserve"> </w:t>
      </w:r>
      <w:hyperlink r:id="rId200">
        <w:r>
          <w:rPr>
            <w:rStyle w:val="Hyperlink"/>
          </w:rPr>
          <w:t xml:space="preserve">https://doi.org/10.1146/annurev-ecolsys-110512-135838</w:t>
        </w:r>
      </w:hyperlink>
      <w:r>
        <w:t xml:space="preserve">.</w:t>
      </w:r>
    </w:p>
    <w:bookmarkEnd w:id="201"/>
    <w:bookmarkStart w:id="202" w:name="ref-king_freer_1995"/>
    <w:p>
      <w:pPr>
        <w:pStyle w:val="Bibliography"/>
      </w:pPr>
      <w:r>
        <w:t xml:space="preserve">King, Adam, and Jennifer A. Freer. 1995. The</w:t>
      </w:r>
      <w:r>
        <w:t xml:space="preserve"> </w:t>
      </w:r>
      <w:r>
        <w:t xml:space="preserve">Mississippian</w:t>
      </w:r>
      <w:r>
        <w:t xml:space="preserve"> </w:t>
      </w:r>
      <w:r>
        <w:t xml:space="preserve">Southeast: A World-Systems Perspective. In</w:t>
      </w:r>
      <w:r>
        <w:t xml:space="preserve"> </w:t>
      </w:r>
      <w:r>
        <w:rPr>
          <w:i/>
          <w:iCs/>
        </w:rPr>
        <w:t xml:space="preserve">Native American Interactions: Multiscalar Analyses and Interpretations in the Eastern Woodlands</w:t>
      </w:r>
      <w:r>
        <w:t xml:space="preserve">, edited by Michael S. Nassaney and Kenneth E. Sassaman, pp. 266–288. University of Tennessee Press, Knoxville.</w:t>
      </w:r>
    </w:p>
    <w:bookmarkEnd w:id="202"/>
    <w:bookmarkStart w:id="203" w:name="ref-lehner_grill_2013"/>
    <w:p>
      <w:pPr>
        <w:pStyle w:val="Bibliography"/>
      </w:pPr>
      <w:r>
        <w:t xml:space="preserve">Lehner, Bernhard, and Günther Grill. 2013. Global River Hydrography and Network Routing: Baseline Data and New Approaches to Study the World’s Large River Systems.</w:t>
      </w:r>
      <w:r>
        <w:t xml:space="preserve"> </w:t>
      </w:r>
      <w:r>
        <w:rPr>
          <w:i/>
          <w:iCs/>
        </w:rPr>
        <w:t xml:space="preserve">Hydrological Processes</w:t>
      </w:r>
      <w:r>
        <w:t xml:space="preserve"> </w:t>
      </w:r>
      <w:r>
        <w:t xml:space="preserve">27(15):2171–2186.</w:t>
      </w:r>
    </w:p>
    <w:bookmarkEnd w:id="203"/>
    <w:bookmarkStart w:id="204" w:name="ref-lipo_2001"/>
    <w:p>
      <w:pPr>
        <w:pStyle w:val="Bibliography"/>
      </w:pPr>
      <w:r>
        <w:t xml:space="preserve">Lipo, Carl P. 2001.</w:t>
      </w:r>
      <w:r>
        <w:t xml:space="preserve"> </w:t>
      </w:r>
      <w:r>
        <w:rPr>
          <w:i/>
          <w:iCs/>
        </w:rPr>
        <w:t xml:space="preserve">Science, Style and the Study of Community Structure: An Example from the Central</w:t>
      </w:r>
      <w:r>
        <w:rPr>
          <w:i/>
          <w:iCs/>
        </w:rPr>
        <w:t xml:space="preserve"> </w:t>
      </w:r>
      <w:r>
        <w:rPr>
          <w:i/>
          <w:iCs/>
        </w:rPr>
        <w:t xml:space="preserve">Mississippi</w:t>
      </w:r>
      <w:r>
        <w:rPr>
          <w:i/>
          <w:iCs/>
        </w:rPr>
        <w:t xml:space="preserve"> </w:t>
      </w:r>
      <w:r>
        <w:rPr>
          <w:i/>
          <w:iCs/>
        </w:rPr>
        <w:t xml:space="preserve">River Valley</w:t>
      </w:r>
      <w:r>
        <w:t xml:space="preserve">. BAR International Series 918. Archaeopress, Oxford.</w:t>
      </w:r>
    </w:p>
    <w:bookmarkEnd w:id="204"/>
    <w:bookmarkStart w:id="206"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205">
        <w:r>
          <w:rPr>
            <w:rStyle w:val="Hyperlink"/>
          </w:rPr>
          <w:t xml:space="preserve">https://doi.org/10.1371/journal.pone.0250690</w:t>
        </w:r>
      </w:hyperlink>
      <w:r>
        <w:t xml:space="preserve">.</w:t>
      </w:r>
    </w:p>
    <w:bookmarkEnd w:id="206"/>
    <w:bookmarkStart w:id="207" w:name="ref-lipo_dunnell_2007"/>
    <w:p>
      <w:pPr>
        <w:pStyle w:val="Bibliography"/>
      </w:pPr>
      <w:r>
        <w:t xml:space="preserve">Lipo, Carl P., and Robert C. Dunnell. 2007. Prehistoric Settlement in the Lower</w:t>
      </w:r>
      <w:r>
        <w:t xml:space="preserve"> </w:t>
      </w:r>
      <w:r>
        <w:t xml:space="preserve">Mississippi</w:t>
      </w:r>
      <w:r>
        <w:t xml:space="preserve"> </w:t>
      </w:r>
      <w:r>
        <w:t xml:space="preserve">Valley: A Critical Review. In</w:t>
      </w:r>
      <w:r>
        <w:t xml:space="preserve"> </w:t>
      </w:r>
      <w:r>
        <w:rPr>
          <w:i/>
          <w:iCs/>
        </w:rPr>
        <w:t xml:space="preserve">Time’s River: Archaeological Syntheses from the Lower</w:t>
      </w:r>
      <w:r>
        <w:rPr>
          <w:i/>
          <w:iCs/>
        </w:rPr>
        <w:t xml:space="preserve"> </w:t>
      </w:r>
      <w:r>
        <w:rPr>
          <w:i/>
          <w:iCs/>
        </w:rPr>
        <w:t xml:space="preserve">Mississippi</w:t>
      </w:r>
      <w:r>
        <w:rPr>
          <w:i/>
          <w:iCs/>
        </w:rPr>
        <w:t xml:space="preserve"> </w:t>
      </w:r>
      <w:r>
        <w:rPr>
          <w:i/>
          <w:iCs/>
        </w:rPr>
        <w:t xml:space="preserve">Valley</w:t>
      </w:r>
      <w:r>
        <w:t xml:space="preserve">, edited by Janet Rafferty and Evan Peacock, pp. 125–167. University of Alabama Press, Tuscaloosa.</w:t>
      </w:r>
    </w:p>
    <w:bookmarkEnd w:id="207"/>
    <w:bookmarkStart w:id="209"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208">
        <w:r>
          <w:rPr>
            <w:rStyle w:val="Hyperlink"/>
          </w:rPr>
          <w:t xml:space="preserve">https://doi.org/10.1371/journal.pone.0124942</w:t>
        </w:r>
      </w:hyperlink>
      <w:r>
        <w:t xml:space="preserve">.</w:t>
      </w:r>
    </w:p>
    <w:bookmarkEnd w:id="209"/>
    <w:bookmarkStart w:id="211"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210">
        <w:r>
          <w:rPr>
            <w:rStyle w:val="Hyperlink"/>
          </w:rPr>
          <w:t xml:space="preserve">https://doi.org/10.1006/jaar.1997.0314</w:t>
        </w:r>
      </w:hyperlink>
      <w:r>
        <w:t xml:space="preserve">.</w:t>
      </w:r>
    </w:p>
    <w:bookmarkEnd w:id="211"/>
    <w:bookmarkStart w:id="212" w:name="ref-madsen_2012"/>
    <w:p>
      <w:pPr>
        <w:pStyle w:val="Bibliography"/>
      </w:pPr>
      <w:r>
        <w:t xml:space="preserve">Madsen, Mark E. 2012. Neutral Cultural Transmission in Time-Averaged Archaeological Assemblages. arXiv preprint arXiv:1204.2043 [physics.soc-ph].</w:t>
      </w:r>
    </w:p>
    <w:bookmarkEnd w:id="212"/>
    <w:bookmarkStart w:id="213" w:name="ref-mainfort_1996"/>
    <w:p>
      <w:pPr>
        <w:pStyle w:val="Bibliography"/>
      </w:pPr>
      <w:r>
        <w:t xml:space="preserve">Mainfort, Jr., Robert C. 1996. Late Period Chronology in the Central</w:t>
      </w:r>
      <w:r>
        <w:t xml:space="preserve"> </w:t>
      </w:r>
      <w:r>
        <w:t xml:space="preserve">Mississippi</w:t>
      </w:r>
      <w:r>
        <w:t xml:space="preserve"> </w:t>
      </w:r>
      <w:r>
        <w:t xml:space="preserve">Valley: A Western</w:t>
      </w:r>
      <w:r>
        <w:t xml:space="preserve"> </w:t>
      </w:r>
      <w:r>
        <w:t xml:space="preserve">Tennessee</w:t>
      </w:r>
      <w:r>
        <w:t xml:space="preserve"> </w:t>
      </w:r>
      <w:r>
        <w:t xml:space="preserve">Perspective.</w:t>
      </w:r>
      <w:r>
        <w:t xml:space="preserve"> </w:t>
      </w:r>
      <w:r>
        <w:rPr>
          <w:i/>
          <w:iCs/>
        </w:rPr>
        <w:t xml:space="preserve">Southeastern Archaeology</w:t>
      </w:r>
      <w:r>
        <w:t xml:space="preserve"> </w:t>
      </w:r>
      <w:r>
        <w:t xml:space="preserve">15(2):172–181.</w:t>
      </w:r>
    </w:p>
    <w:bookmarkEnd w:id="213"/>
    <w:bookmarkStart w:id="214"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214"/>
    <w:bookmarkStart w:id="215"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215"/>
    <w:bookmarkStart w:id="216" w:name="ref-mayr_1959"/>
    <w:p>
      <w:pPr>
        <w:pStyle w:val="Bibliography"/>
      </w:pPr>
      <w:r>
        <w:t xml:space="preserve">Mayr, Ernst. 1959. Typological Versus Population Thinking. In</w:t>
      </w:r>
      <w:r>
        <w:t xml:space="preserve"> </w:t>
      </w:r>
      <w:r>
        <w:rPr>
          <w:i/>
          <w:iCs/>
        </w:rPr>
        <w:t xml:space="preserve">Evolution and Anthropology: A Centennial Appraisal</w:t>
      </w:r>
      <w:r>
        <w:t xml:space="preserve">, edited by Betty J. Meggers, pp. 409–412. The Anthropological Society of Washington, Washington, D.C.</w:t>
      </w:r>
    </w:p>
    <w:bookmarkEnd w:id="216"/>
    <w:bookmarkStart w:id="217" w:name="ref-mcnutt_1996"/>
    <w:p>
      <w:pPr>
        <w:pStyle w:val="Bibliography"/>
      </w:pPr>
      <w:r>
        <w:t xml:space="preserve">McNutt, Charles H. 1996. The Central</w:t>
      </w:r>
      <w:r>
        <w:t xml:space="preserve"> </w:t>
      </w:r>
      <w:r>
        <w:t xml:space="preserve">Mississippi</w:t>
      </w:r>
      <w:r>
        <w:t xml:space="preserve"> </w:t>
      </w:r>
      <w:r>
        <w:t xml:space="preserve">Valley: A Summary. In</w:t>
      </w:r>
      <w:r>
        <w:t xml:space="preserve"> </w:t>
      </w:r>
      <w:r>
        <w:rPr>
          <w:i/>
          <w:iCs/>
        </w:rPr>
        <w:t xml:space="preserve">Prehistory of the Central</w:t>
      </w:r>
      <w:r>
        <w:rPr>
          <w:i/>
          <w:iCs/>
        </w:rPr>
        <w:t xml:space="preserve"> </w:t>
      </w:r>
      <w:r>
        <w:rPr>
          <w:i/>
          <w:iCs/>
        </w:rPr>
        <w:t xml:space="preserve">Mississippi</w:t>
      </w:r>
      <w:r>
        <w:rPr>
          <w:i/>
          <w:iCs/>
        </w:rPr>
        <w:t xml:space="preserve"> </w:t>
      </w:r>
      <w:r>
        <w:rPr>
          <w:i/>
          <w:iCs/>
        </w:rPr>
        <w:t xml:space="preserve">Valley</w:t>
      </w:r>
      <w:r>
        <w:t xml:space="preserve">, edited by Charles H. McNutt, pp. 187–. University of Alabama Press, Tuscaloosa.</w:t>
      </w:r>
    </w:p>
    <w:bookmarkEnd w:id="217"/>
    <w:bookmarkStart w:id="218" w:name="ref-mcnutt_franklin_henry_2012"/>
    <w:p>
      <w:pPr>
        <w:pStyle w:val="Bibliography"/>
      </w:pPr>
      <w:r>
        <w:t xml:space="preserve">McNutt, Charles H., Jay D. Franklin, and Edward R. Henry. 2012. New Perspectives on</w:t>
      </w:r>
      <w:r>
        <w:t xml:space="preserve"> </w:t>
      </w:r>
      <w:r>
        <w:t xml:space="preserve">Mississippian</w:t>
      </w:r>
      <w:r>
        <w:t xml:space="preserve"> </w:t>
      </w:r>
      <w:r>
        <w:t xml:space="preserve">Occupations in Western</w:t>
      </w:r>
      <w:r>
        <w:t xml:space="preserve"> </w:t>
      </w:r>
      <w:r>
        <w:t xml:space="preserve">Tennessee</w:t>
      </w:r>
      <w:r>
        <w:t xml:space="preserve"> </w:t>
      </w:r>
      <w:r>
        <w:t xml:space="preserve">and Northwestern</w:t>
      </w:r>
      <w:r>
        <w:t xml:space="preserve"> </w:t>
      </w:r>
      <w:r>
        <w:t xml:space="preserve">Mississippi</w:t>
      </w:r>
      <w:r>
        <w:t xml:space="preserve">: Recent Chronological and Geophysical Investigations at</w:t>
      </w:r>
      <w:r>
        <w:t xml:space="preserve"> </w:t>
      </w:r>
      <w:r>
        <w:t xml:space="preserve">Chucalissa</w:t>
      </w:r>
      <w:r>
        <w:t xml:space="preserve"> </w:t>
      </w:r>
      <w:r>
        <w:t xml:space="preserve">(40SY1),</w:t>
      </w:r>
      <w:r>
        <w:t xml:space="preserve"> </w:t>
      </w:r>
      <w:r>
        <w:t xml:space="preserve">Shelby</w:t>
      </w:r>
      <w:r>
        <w:t xml:space="preserve"> </w:t>
      </w:r>
      <w:r>
        <w:t xml:space="preserve">County</w:t>
      </w:r>
      <w:r>
        <w:t xml:space="preserve">,</w:t>
      </w:r>
      <w:r>
        <w:t xml:space="preserve"> </w:t>
      </w:r>
      <w:r>
        <w:t xml:space="preserve">Tennessee</w:t>
      </w:r>
      <w:r>
        <w:t xml:space="preserve">.</w:t>
      </w:r>
      <w:r>
        <w:t xml:space="preserve"> </w:t>
      </w:r>
      <w:r>
        <w:rPr>
          <w:i/>
          <w:iCs/>
        </w:rPr>
        <w:t xml:space="preserve">Southeastern Archaeology</w:t>
      </w:r>
      <w:r>
        <w:t xml:space="preserve"> </w:t>
      </w:r>
      <w:r>
        <w:t xml:space="preserve">31(2):231–250.</w:t>
      </w:r>
    </w:p>
    <w:bookmarkEnd w:id="218"/>
    <w:bookmarkStart w:id="220" w:name="ref-miller_atkins_premo_2018"/>
    <w:p>
      <w:pPr>
        <w:pStyle w:val="Bibliography"/>
      </w:pPr>
      <w:r>
        <w:t xml:space="preserve">Miller-Atkins, Galen, and L. S. Premo. 2018. Time-Averaging and the Spatial Scale of Regional Cultural Differentiation in Archaeological Assemblages.</w:t>
      </w:r>
      <w:r>
        <w:t xml:space="preserve"> </w:t>
      </w:r>
      <w:r>
        <w:rPr>
          <w:i/>
          <w:iCs/>
        </w:rPr>
        <w:t xml:space="preserve">STAR: Science and Technology of Archaeological Research</w:t>
      </w:r>
      <w:r>
        <w:t xml:space="preserve"> </w:t>
      </w:r>
      <w:r>
        <w:t xml:space="preserve">4(1):12–27.</w:t>
      </w:r>
      <w:r>
        <w:t xml:space="preserve"> </w:t>
      </w:r>
      <w:hyperlink r:id="rId219">
        <w:r>
          <w:rPr>
            <w:rStyle w:val="Hyperlink"/>
          </w:rPr>
          <w:t xml:space="preserve">https://doi.org/10.1080/20548923.2018.1504490</w:t>
        </w:r>
      </w:hyperlink>
      <w:r>
        <w:t xml:space="preserve">.</w:t>
      </w:r>
    </w:p>
    <w:bookmarkEnd w:id="220"/>
    <w:bookmarkStart w:id="221" w:name="ref-mitchem_2001"/>
    <w:p>
      <w:pPr>
        <w:pStyle w:val="Bibliography"/>
      </w:pPr>
      <w:r>
        <w:t xml:space="preserve">Mitchem, Jeffrey M. 2001. A Decade of Hypothesis Testing at the</w:t>
      </w:r>
      <w:r>
        <w:t xml:space="preserve"> </w:t>
      </w:r>
      <w:r>
        <w:t xml:space="preserve">Parkin</w:t>
      </w:r>
      <w:r>
        <w:t xml:space="preserve"> </w:t>
      </w:r>
      <w:r>
        <w:t xml:space="preserve">Site,</w:t>
      </w:r>
      <w:r>
        <w:t xml:space="preserve"> </w:t>
      </w:r>
      <w:r>
        <w:t xml:space="preserve">Arkansas</w:t>
      </w:r>
      <w:r>
        <w:t xml:space="preserve">.</w:t>
      </w:r>
    </w:p>
    <w:bookmarkEnd w:id="221"/>
    <w:bookmarkStart w:id="222" w:name="ref-mitchem_2017"/>
    <w:p>
      <w:pPr>
        <w:pStyle w:val="Bibliography"/>
      </w:pPr>
      <w:r>
        <w:t xml:space="preserve">Mitchem, Jeffrey M., David W. Stahle, Timothy S. Mulvihill, and Jami J. Lockhart. 2017. Making the Case for the</w:t>
      </w:r>
      <w:r>
        <w:t xml:space="preserve"> </w:t>
      </w:r>
      <w:r>
        <w:t xml:space="preserve">Parkin</w:t>
      </w:r>
      <w:r>
        <w:t xml:space="preserve"> </w:t>
      </w:r>
      <w:r>
        <w:t xml:space="preserve">Site as</w:t>
      </w:r>
      <w:r>
        <w:t xml:space="preserve"> </w:t>
      </w:r>
      <w:r>
        <w:t xml:space="preserve">Casqui</w:t>
      </w:r>
      <w:r>
        <w:t xml:space="preserve">:</w:t>
      </w:r>
      <w:r>
        <w:t xml:space="preserve"> </w:t>
      </w:r>
      <w:r>
        <w:t xml:space="preserve">Hernando</w:t>
      </w:r>
      <w:r>
        <w:t xml:space="preserve"> </w:t>
      </w:r>
      <w:r>
        <w:t xml:space="preserve">de</w:t>
      </w:r>
      <w:r>
        <w:t xml:space="preserve"> </w:t>
      </w:r>
      <w:r>
        <w:t xml:space="preserve">Soto</w:t>
      </w:r>
      <w:r>
        <w:t xml:space="preserve">’s 1541 Cross.</w:t>
      </w:r>
    </w:p>
    <w:bookmarkEnd w:id="222"/>
    <w:bookmarkStart w:id="223" w:name="ref-morse_d_1990"/>
    <w:p>
      <w:pPr>
        <w:pStyle w:val="Bibliography"/>
      </w:pPr>
      <w:r>
        <w:t xml:space="preserve">Morse, Dan F. 1990. The</w:t>
      </w:r>
      <w:r>
        <w:t xml:space="preserve"> </w:t>
      </w:r>
      <w:r>
        <w:t xml:space="preserve">Nodena</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69–97. University of Alabama Press, Tuscaloosa.</w:t>
      </w:r>
    </w:p>
    <w:bookmarkEnd w:id="223"/>
    <w:bookmarkStart w:id="224" w:name="ref-morse_morse_1996"/>
    <w:p>
      <w:pPr>
        <w:pStyle w:val="Bibliography"/>
      </w:pPr>
      <w:r>
        <w:t xml:space="preserve">Morse, Dan F., and Phyllis A. Morse. 1996. Changes in Interpretation in the Archaeology of the Central</w:t>
      </w:r>
      <w:r>
        <w:t xml:space="preserve"> </w:t>
      </w:r>
      <w:r>
        <w:t xml:space="preserve">Mississippi</w:t>
      </w:r>
      <w:r>
        <w:t xml:space="preserve"> </w:t>
      </w:r>
      <w:r>
        <w:t xml:space="preserve">Valley Since 1983.</w:t>
      </w:r>
      <w:r>
        <w:t xml:space="preserve"> </w:t>
      </w:r>
      <w:r>
        <w:rPr>
          <w:i/>
          <w:iCs/>
        </w:rPr>
        <w:t xml:space="preserve">North American Archaeologist</w:t>
      </w:r>
      <w:r>
        <w:t xml:space="preserve"> </w:t>
      </w:r>
      <w:r>
        <w:t xml:space="preserve">17(1):1–35.</w:t>
      </w:r>
    </w:p>
    <w:bookmarkEnd w:id="224"/>
    <w:bookmarkStart w:id="225" w:name="ref-morse_p_1981"/>
    <w:p>
      <w:pPr>
        <w:pStyle w:val="Bibliography"/>
      </w:pPr>
      <w:r>
        <w:t xml:space="preserve">Morse, Phyllis A. 1981.</w:t>
      </w:r>
      <w:r>
        <w:t xml:space="preserve"> </w:t>
      </w:r>
      <w:r>
        <w:rPr>
          <w:i/>
          <w:iCs/>
        </w:rPr>
        <w:t xml:space="preserve">Parkin: The 1978–1979 Archeological Investigations of a</w:t>
      </w:r>
      <w:r>
        <w:rPr>
          <w:i/>
          <w:iCs/>
        </w:rPr>
        <w:t xml:space="preserve"> </w:t>
      </w:r>
      <w:r>
        <w:rPr>
          <w:i/>
          <w:iCs/>
        </w:rPr>
        <w:t xml:space="preserve">Cross County</w:t>
      </w:r>
      <w:r>
        <w:rPr>
          <w:i/>
          <w:iCs/>
        </w:rPr>
        <w:t xml:space="preserve">,</w:t>
      </w:r>
      <w:r>
        <w:rPr>
          <w:i/>
          <w:iCs/>
        </w:rPr>
        <w:t xml:space="preserve"> </w:t>
      </w:r>
      <w:r>
        <w:rPr>
          <w:i/>
          <w:iCs/>
        </w:rPr>
        <w:t xml:space="preserve">Arkansas</w:t>
      </w:r>
      <w:r>
        <w:rPr>
          <w:i/>
          <w:iCs/>
        </w:rPr>
        <w:t xml:space="preserve"> </w:t>
      </w:r>
      <w:r>
        <w:rPr>
          <w:i/>
          <w:iCs/>
        </w:rPr>
        <w:t xml:space="preserve">Site</w:t>
      </w:r>
      <w:r>
        <w:t xml:space="preserve">. Arkansas Archeological Survey Research Series 13. Arkansas Archeological Survey, Fayetteville.</w:t>
      </w:r>
    </w:p>
    <w:bookmarkEnd w:id="225"/>
    <w:bookmarkStart w:id="226" w:name="ref-morse_1990"/>
    <w:p>
      <w:pPr>
        <w:pStyle w:val="Bibliography"/>
      </w:pPr>
      <w:r>
        <w:t xml:space="preserve">Morse, Phyllis A. 1990. The</w:t>
      </w:r>
      <w:r>
        <w:t xml:space="preserve"> </w:t>
      </w:r>
      <w:r>
        <w:t xml:space="preserve">Parkin</w:t>
      </w:r>
      <w:r>
        <w:t xml:space="preserve"> </w:t>
      </w:r>
      <w:r>
        <w:t xml:space="preserve">Site and the</w:t>
      </w:r>
      <w:r>
        <w:t xml:space="preserve"> </w:t>
      </w:r>
      <w:r>
        <w:t xml:space="preserve">Parkin</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118–134. University of Alabama Press, Tuscaloosa.</w:t>
      </w:r>
    </w:p>
    <w:bookmarkEnd w:id="226"/>
    <w:bookmarkStart w:id="228" w:name="ref-nei_1973"/>
    <w:p>
      <w:pPr>
        <w:pStyle w:val="Bibliography"/>
      </w:pPr>
      <w:r>
        <w:t xml:space="preserve">Nei, Masatoshi. 1973. Analysis of Gene Diversity in Subdivided Populations.</w:t>
      </w:r>
      <w:r>
        <w:t xml:space="preserve"> </w:t>
      </w:r>
      <w:r>
        <w:rPr>
          <w:i/>
          <w:iCs/>
        </w:rPr>
        <w:t xml:space="preserve">Proceedings of the National Academy of Sciences</w:t>
      </w:r>
      <w:r>
        <w:t xml:space="preserve"> </w:t>
      </w:r>
      <w:r>
        <w:t xml:space="preserve">70(12):3321–3323.</w:t>
      </w:r>
      <w:r>
        <w:t xml:space="preserve"> </w:t>
      </w:r>
      <w:hyperlink r:id="rId227">
        <w:r>
          <w:rPr>
            <w:rStyle w:val="Hyperlink"/>
          </w:rPr>
          <w:t xml:space="preserve">https://doi.org/10.1073/pnas.70.12.3321</w:t>
        </w:r>
      </w:hyperlink>
      <w:r>
        <w:t xml:space="preserve">.</w:t>
      </w:r>
    </w:p>
    <w:bookmarkEnd w:id="228"/>
    <w:bookmarkStart w:id="229"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229"/>
    <w:bookmarkStart w:id="231" w:name="ref-peebles_kus_1977"/>
    <w:p>
      <w:pPr>
        <w:pStyle w:val="Bibliography"/>
      </w:pPr>
      <w:r>
        <w:t xml:space="preserve">Peebles, Christopher S., and Susan M. Kus. 1977. Some Archaeological Correlates of Ranked Societies.</w:t>
      </w:r>
      <w:r>
        <w:t xml:space="preserve"> </w:t>
      </w:r>
      <w:r>
        <w:rPr>
          <w:i/>
          <w:iCs/>
        </w:rPr>
        <w:t xml:space="preserve">American Antiquity</w:t>
      </w:r>
      <w:r>
        <w:t xml:space="preserve"> </w:t>
      </w:r>
      <w:r>
        <w:t xml:space="preserve">42(3):421–448.</w:t>
      </w:r>
      <w:r>
        <w:t xml:space="preserve"> </w:t>
      </w:r>
      <w:hyperlink r:id="rId230">
        <w:r>
          <w:rPr>
            <w:rStyle w:val="Hyperlink"/>
          </w:rPr>
          <w:t xml:space="preserve">https://doi.org/10.2307/279066</w:t>
        </w:r>
      </w:hyperlink>
      <w:r>
        <w:t xml:space="preserve">.</w:t>
      </w:r>
    </w:p>
    <w:bookmarkEnd w:id="231"/>
    <w:bookmarkStart w:id="233" w:name="ref-peeples_schachner_2012"/>
    <w:p>
      <w:pPr>
        <w:pStyle w:val="Bibliography"/>
      </w:pPr>
      <w:r>
        <w:t xml:space="preserve">Peeples, Matthew A., and Gregson Schachner. 2012. Refining Correspondence Analysis-Based Ceramic Seriation of Regional Data Sets.</w:t>
      </w:r>
      <w:r>
        <w:t xml:space="preserve"> </w:t>
      </w:r>
      <w:r>
        <w:rPr>
          <w:i/>
          <w:iCs/>
        </w:rPr>
        <w:t xml:space="preserve">Journal of Archaeological Science</w:t>
      </w:r>
      <w:r>
        <w:t xml:space="preserve"> </w:t>
      </w:r>
      <w:r>
        <w:t xml:space="preserve">39(8):2818–2827.</w:t>
      </w:r>
      <w:r>
        <w:t xml:space="preserve"> </w:t>
      </w:r>
      <w:hyperlink r:id="rId232">
        <w:r>
          <w:rPr>
            <w:rStyle w:val="Hyperlink"/>
          </w:rPr>
          <w:t xml:space="preserve">https://doi.org/10.1016/j.jas.2012.04.040</w:t>
        </w:r>
      </w:hyperlink>
      <w:r>
        <w:t xml:space="preserve">.</w:t>
      </w:r>
    </w:p>
    <w:bookmarkEnd w:id="233"/>
    <w:bookmarkStart w:id="235" w:name="ref-perreault_2018"/>
    <w:p>
      <w:pPr>
        <w:pStyle w:val="Bibliography"/>
      </w:pPr>
      <w:r>
        <w:t xml:space="preserve">Perreault, Charles. 2018. Time-Averaging Slows down Rates of Change in the Archaeological Record.</w:t>
      </w:r>
      <w:r>
        <w:t xml:space="preserve"> </w:t>
      </w:r>
      <w:r>
        <w:rPr>
          <w:i/>
          <w:iCs/>
        </w:rPr>
        <w:t xml:space="preserve">Journal of Archaeological Method and Theory</w:t>
      </w:r>
      <w:r>
        <w:t xml:space="preserve"> </w:t>
      </w:r>
      <w:r>
        <w:t xml:space="preserve">25(3):953–964.</w:t>
      </w:r>
      <w:r>
        <w:t xml:space="preserve"> </w:t>
      </w:r>
      <w:hyperlink r:id="rId234">
        <w:r>
          <w:rPr>
            <w:rStyle w:val="Hyperlink"/>
          </w:rPr>
          <w:t xml:space="preserve">https://doi.org/10.1007/s10816-018-9364-4</w:t>
        </w:r>
      </w:hyperlink>
      <w:r>
        <w:t xml:space="preserve">.</w:t>
      </w:r>
    </w:p>
    <w:bookmarkEnd w:id="235"/>
    <w:bookmarkStart w:id="236" w:name="ref-perreault_2019"/>
    <w:p>
      <w:pPr>
        <w:pStyle w:val="Bibliography"/>
      </w:pPr>
      <w:r>
        <w:t xml:space="preserve">Perreault, Charles. 2019.</w:t>
      </w:r>
      <w:r>
        <w:t xml:space="preserve"> </w:t>
      </w:r>
      <w:r>
        <w:rPr>
          <w:i/>
          <w:iCs/>
        </w:rPr>
        <w:t xml:space="preserve">The Quality of the Archaeological Record</w:t>
      </w:r>
      <w:r>
        <w:t xml:space="preserve">. University of Chicago Press, Chicago.</w:t>
      </w:r>
    </w:p>
    <w:bookmarkEnd w:id="236"/>
    <w:bookmarkStart w:id="237"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237"/>
    <w:bookmarkStart w:id="238" w:name="ref-phillips_ford_griffin_1951"/>
    <w:p>
      <w:pPr>
        <w:pStyle w:val="Bibliography"/>
      </w:pPr>
      <w:r>
        <w:t xml:space="preserve">Phillips, Philip, James A. Ford, and James B. Griffin. 1951.</w:t>
      </w:r>
      <w:r>
        <w:t xml:space="preserve"> </w:t>
      </w:r>
      <w:r>
        <w:rPr>
          <w:i/>
          <w:iCs/>
        </w:rPr>
        <w:t xml:space="preserve">Archaeological Survey in the Lower</w:t>
      </w:r>
      <w:r>
        <w:rPr>
          <w:i/>
          <w:iCs/>
        </w:rPr>
        <w:t xml:space="preserve"> </w:t>
      </w:r>
      <w:r>
        <w:rPr>
          <w:i/>
          <w:iCs/>
        </w:rPr>
        <w:t xml:space="preserve">Mississippi</w:t>
      </w:r>
      <w:r>
        <w:rPr>
          <w:i/>
          <w:iCs/>
        </w:rPr>
        <w:t xml:space="preserve"> </w:t>
      </w:r>
      <w:r>
        <w:rPr>
          <w:i/>
          <w:iCs/>
        </w:rPr>
        <w:t xml:space="preserve">Alluvial Valley, 1940–1947</w:t>
      </w:r>
      <w:r>
        <w:t xml:space="preserve">, Vol. 25. Papers of the Peabody Museum of American Archaeology and Ethnology. Peabody Museum, Harvard University, Cambridge, MA.</w:t>
      </w:r>
    </w:p>
    <w:bookmarkEnd w:id="238"/>
    <w:bookmarkStart w:id="240" w:name="ref-phillips_willey_1953"/>
    <w:p>
      <w:pPr>
        <w:pStyle w:val="Bibliography"/>
      </w:pPr>
      <w:r>
        <w:t xml:space="preserve">Phillips, Philip, and Gordon R. Willey. 1953. Method and Theory in American Archeology: An Operational Basis for Culture-Historical Integration.</w:t>
      </w:r>
      <w:r>
        <w:t xml:space="preserve"> </w:t>
      </w:r>
      <w:r>
        <w:rPr>
          <w:i/>
          <w:iCs/>
        </w:rPr>
        <w:t xml:space="preserve">American Anthropologist</w:t>
      </w:r>
      <w:r>
        <w:t xml:space="preserve"> </w:t>
      </w:r>
      <w:r>
        <w:t xml:space="preserve">55(5):615–633.</w:t>
      </w:r>
      <w:r>
        <w:t xml:space="preserve"> </w:t>
      </w:r>
      <w:hyperlink r:id="rId239">
        <w:r>
          <w:rPr>
            <w:rStyle w:val="Hyperlink"/>
          </w:rPr>
          <w:t xml:space="preserve">https://doi.org/10.1525/aa.1953.55.5.02a00030</w:t>
        </w:r>
      </w:hyperlink>
      <w:r>
        <w:t xml:space="preserve">.</w:t>
      </w:r>
    </w:p>
    <w:bookmarkEnd w:id="240"/>
    <w:bookmarkStart w:id="242" w:name="ref-premo_2016"/>
    <w:p>
      <w:pPr>
        <w:pStyle w:val="Bibliography"/>
      </w:pPr>
      <w:r>
        <w:t xml:space="preserve">Premo, Luke S. 2016. Effective Population Size and the Effects of Demography on Cultural Diversity and Technological Complexity.</w:t>
      </w:r>
      <w:r>
        <w:t xml:space="preserve"> </w:t>
      </w:r>
      <w:r>
        <w:rPr>
          <w:i/>
          <w:iCs/>
        </w:rPr>
        <w:t xml:space="preserve">American Antiquity</w:t>
      </w:r>
      <w:r>
        <w:t xml:space="preserve"> </w:t>
      </w:r>
      <w:r>
        <w:t xml:space="preserve">81(4):605–622.</w:t>
      </w:r>
      <w:r>
        <w:t xml:space="preserve"> </w:t>
      </w:r>
      <w:hyperlink r:id="rId241">
        <w:r>
          <w:rPr>
            <w:rStyle w:val="Hyperlink"/>
          </w:rPr>
          <w:t xml:space="preserve">https://doi.org/10.7183/0002-7316.81.4.605</w:t>
        </w:r>
      </w:hyperlink>
      <w:r>
        <w:t xml:space="preserve">.</w:t>
      </w:r>
    </w:p>
    <w:bookmarkEnd w:id="242"/>
    <w:bookmarkStart w:id="244" w:name="ref-premo_scholnick_2011"/>
    <w:p>
      <w:pPr>
        <w:pStyle w:val="Bibliography"/>
      </w:pPr>
      <w:r>
        <w:t xml:space="preserve">Premo, Luke S., and Jonathan B. Scholnick. 2011. The Spatial Scale of Social Learning Affects Cultural Diversity.</w:t>
      </w:r>
      <w:r>
        <w:t xml:space="preserve"> </w:t>
      </w:r>
      <w:r>
        <w:rPr>
          <w:i/>
          <w:iCs/>
        </w:rPr>
        <w:t xml:space="preserve">American Antiquity</w:t>
      </w:r>
      <w:r>
        <w:t xml:space="preserve"> </w:t>
      </w:r>
      <w:r>
        <w:t xml:space="preserve">76(1):163–176.</w:t>
      </w:r>
      <w:r>
        <w:t xml:space="preserve"> </w:t>
      </w:r>
      <w:hyperlink r:id="rId243">
        <w:r>
          <w:rPr>
            <w:rStyle w:val="Hyperlink"/>
          </w:rPr>
          <w:t xml:space="preserve">https://doi.org/10.7183/0002-7316.76.1.163</w:t>
        </w:r>
      </w:hyperlink>
      <w:r>
        <w:t xml:space="preserve">.</w:t>
      </w:r>
    </w:p>
    <w:bookmarkEnd w:id="244"/>
    <w:bookmarkStart w:id="245" w:name="ref-rees_political_culture"/>
    <w:p>
      <w:pPr>
        <w:pStyle w:val="Bibliography"/>
      </w:pPr>
      <w:r>
        <w:t xml:space="preserve">Rees, Mark A. 2001. Mississippian Political Culture: Contrasting Historical Trajectories in Southeastern</w:t>
      </w:r>
      <w:r>
        <w:t xml:space="preserve"> </w:t>
      </w:r>
      <w:r>
        <w:t xml:space="preserve">North</w:t>
      </w:r>
      <w:r>
        <w:t xml:space="preserve"> </w:t>
      </w:r>
      <w:r>
        <w:t xml:space="preserve">America</w:t>
      </w:r>
      <w:r>
        <w:t xml:space="preserve">. Ph.D. dissertation, University of Oklahoma, Norman.</w:t>
      </w:r>
    </w:p>
    <w:bookmarkEnd w:id="245"/>
    <w:bookmarkStart w:id="247"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246">
        <w:r>
          <w:rPr>
            <w:rStyle w:val="Hyperlink"/>
          </w:rPr>
          <w:t xml:space="preserve">https://doi.org/10.1017/RDC.2020.41</w:t>
        </w:r>
      </w:hyperlink>
      <w:r>
        <w:t xml:space="preserve">.</w:t>
      </w:r>
    </w:p>
    <w:bookmarkEnd w:id="247"/>
    <w:bookmarkStart w:id="248" w:name="ref-robinson_1951"/>
    <w:p>
      <w:pPr>
        <w:pStyle w:val="Bibliography"/>
      </w:pPr>
      <w:r>
        <w:t xml:space="preserve">Robinson, W. S. 1951. A Method for Chronologically Ordering Archaeological Deposits.</w:t>
      </w:r>
      <w:r>
        <w:t xml:space="preserve"> </w:t>
      </w:r>
      <w:r>
        <w:rPr>
          <w:i/>
          <w:iCs/>
        </w:rPr>
        <w:t xml:space="preserve">American Antiquity</w:t>
      </w:r>
      <w:r>
        <w:t xml:space="preserve"> </w:t>
      </w:r>
      <w:r>
        <w:t xml:space="preserve">16(4):293–301.</w:t>
      </w:r>
    </w:p>
    <w:bookmarkEnd w:id="248"/>
    <w:bookmarkStart w:id="249" w:name="ref-ross-stallings_2017"/>
    <w:p>
      <w:pPr>
        <w:pStyle w:val="Bibliography"/>
      </w:pPr>
      <w:r>
        <w:t xml:space="preserve">Ross-Stallings, Nancy A. 2017. Center and Satellite: Settlement Hierarchy and Diet on the Late Prehistoric</w:t>
      </w:r>
      <w:r>
        <w:t xml:space="preserve"> </w:t>
      </w:r>
      <w:r>
        <w:t xml:space="preserve">Mississippi</w:t>
      </w:r>
      <w:r>
        <w:t xml:space="preserve"> </w:t>
      </w:r>
      <w:r>
        <w:t xml:space="preserve">Delta. In</w:t>
      </w:r>
      <w:r>
        <w:t xml:space="preserve"> </w:t>
      </w:r>
      <w:r>
        <w:rPr>
          <w:i/>
          <w:iCs/>
        </w:rPr>
        <w:t xml:space="preserve">Bones of Complexity: Bioarchaeological Case Studies of Social Organization and Skeletal Biology</w:t>
      </w:r>
      <w:r>
        <w:t xml:space="preserve">, edited by Haagen D. Klaus, Amanda R. Harvey, and Mark N. Cohen, pp. 329–362. University Press of Florida, Gainesville.</w:t>
      </w:r>
    </w:p>
    <w:bookmarkEnd w:id="249"/>
    <w:bookmarkStart w:id="250" w:name="ref-schiffer_1972"/>
    <w:p>
      <w:pPr>
        <w:pStyle w:val="Bibliography"/>
      </w:pPr>
      <w:r>
        <w:t xml:space="preserve">Schiffer, Michael B. 1972. Archaeological Context and Systemic Context.</w:t>
      </w:r>
      <w:r>
        <w:t xml:space="preserve"> </w:t>
      </w:r>
      <w:r>
        <w:rPr>
          <w:i/>
          <w:iCs/>
        </w:rPr>
        <w:t xml:space="preserve">American Antiquity</w:t>
      </w:r>
      <w:r>
        <w:t xml:space="preserve"> </w:t>
      </w:r>
      <w:r>
        <w:t xml:space="preserve">37(2):156–165.</w:t>
      </w:r>
    </w:p>
    <w:bookmarkEnd w:id="250"/>
    <w:bookmarkStart w:id="252" w:name="ref-schneider_martins_deaguiar_2016"/>
    <w:p>
      <w:pPr>
        <w:pStyle w:val="Bibliography"/>
      </w:pPr>
      <w:r>
        <w:t xml:space="preserve">Schneider, David M., Ayana B. Martins, and Marcus A. M. de Aguiar. 2016. The Mutation-Drift Balance in Spatially Structured Populations.</w:t>
      </w:r>
      <w:r>
        <w:t xml:space="preserve"> </w:t>
      </w:r>
      <w:r>
        <w:rPr>
          <w:i/>
          <w:iCs/>
        </w:rPr>
        <w:t xml:space="preserve">Journal of Theoretical Biology</w:t>
      </w:r>
      <w:r>
        <w:t xml:space="preserve"> </w:t>
      </w:r>
      <w:r>
        <w:t xml:space="preserve">402:9–17.</w:t>
      </w:r>
      <w:r>
        <w:t xml:space="preserve"> </w:t>
      </w:r>
      <w:hyperlink r:id="rId251">
        <w:r>
          <w:rPr>
            <w:rStyle w:val="Hyperlink"/>
          </w:rPr>
          <w:t xml:space="preserve">https://doi.org/10.1016/j.jtbi.2016.04.024</w:t>
        </w:r>
      </w:hyperlink>
      <w:r>
        <w:t xml:space="preserve">.</w:t>
      </w:r>
    </w:p>
    <w:bookmarkEnd w:id="252"/>
    <w:bookmarkStart w:id="254" w:name="ref-shennan_crema_kerig_2015"/>
    <w:p>
      <w:pPr>
        <w:pStyle w:val="Bibliography"/>
      </w:pPr>
      <w:r>
        <w:t xml:space="preserve">Shennan, Stephen J., Enrico R. Crema, and Tim Kerig. 2015.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w:t>
      </w:r>
      <w:r>
        <w:t xml:space="preserve"> </w:t>
      </w:r>
      <w:r>
        <w:rPr>
          <w:i/>
          <w:iCs/>
        </w:rPr>
        <w:t xml:space="preserve">Evolution and Human Behavior</w:t>
      </w:r>
      <w:r>
        <w:t xml:space="preserve"> </w:t>
      </w:r>
      <w:r>
        <w:t xml:space="preserve">36(2):103–109.</w:t>
      </w:r>
      <w:r>
        <w:t xml:space="preserve"> </w:t>
      </w:r>
      <w:hyperlink r:id="rId253">
        <w:r>
          <w:rPr>
            <w:rStyle w:val="Hyperlink"/>
          </w:rPr>
          <w:t xml:space="preserve">https://doi.org/10.1016/j.evolhumbehav.2014.09.006</w:t>
        </w:r>
      </w:hyperlink>
      <w:r>
        <w:t xml:space="preserve">.</w:t>
      </w:r>
    </w:p>
    <w:bookmarkEnd w:id="254"/>
    <w:bookmarkStart w:id="255" w:name="ref-shennan_wilkinson_2001"/>
    <w:p>
      <w:pPr>
        <w:pStyle w:val="Bibliography"/>
      </w:pPr>
      <w:r>
        <w:t xml:space="preserve">Shennan, Stephen J., and James R. Wilkinson. 2001. Ceramic Style Change and Neutral Evolution: A Case Study from</w:t>
      </w:r>
      <w:r>
        <w:t xml:space="preserve"> </w:t>
      </w:r>
      <w:r>
        <w:t xml:space="preserve">Neolithic</w:t>
      </w:r>
      <w:r>
        <w:t xml:space="preserve"> </w:t>
      </w:r>
      <w:r>
        <w:t xml:space="preserve">Europe</w:t>
      </w:r>
      <w:r>
        <w:t xml:space="preserve">.</w:t>
      </w:r>
      <w:r>
        <w:t xml:space="preserve"> </w:t>
      </w:r>
      <w:r>
        <w:rPr>
          <w:i/>
          <w:iCs/>
        </w:rPr>
        <w:t xml:space="preserve">American Antiquity</w:t>
      </w:r>
      <w:r>
        <w:t xml:space="preserve"> </w:t>
      </w:r>
      <w:r>
        <w:t xml:space="preserve">66(4):577–593.</w:t>
      </w:r>
    </w:p>
    <w:bookmarkEnd w:id="255"/>
    <w:bookmarkStart w:id="256" w:name="ref-smith_1990"/>
    <w:p>
      <w:pPr>
        <w:pStyle w:val="Bibliography"/>
      </w:pPr>
      <w:r>
        <w:t xml:space="preserve">Smith, Gerald P. 1990. The</w:t>
      </w:r>
      <w:r>
        <w:t xml:space="preserve"> </w:t>
      </w:r>
      <w:r>
        <w:t xml:space="preserve">Walls</w:t>
      </w:r>
      <w:r>
        <w:t xml:space="preserve"> </w:t>
      </w:r>
      <w:r>
        <w:t xml:space="preserve">Phase and Its Neighbors.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135–169. University of Alabama Press, Tuscaloosa.</w:t>
      </w:r>
    </w:p>
    <w:bookmarkEnd w:id="256"/>
    <w:bookmarkStart w:id="257" w:name="ref-smith_neiman_2007"/>
    <w:p>
      <w:pPr>
        <w:pStyle w:val="Bibliography"/>
      </w:pPr>
      <w:r>
        <w:t xml:space="preserve">Smith, Karen Y., and Fraser D. Neiman. 2007. Frequency Seriation, Correspondence Analysis, and Woodland-Period Ceramic Assemblage Variation in the Deep South.</w:t>
      </w:r>
      <w:r>
        <w:t xml:space="preserve"> </w:t>
      </w:r>
      <w:r>
        <w:rPr>
          <w:i/>
          <w:iCs/>
        </w:rPr>
        <w:t xml:space="preserve">Southeastern Archaeology</w:t>
      </w:r>
      <w:r>
        <w:t xml:space="preserve"> </w:t>
      </w:r>
      <w:r>
        <w:t xml:space="preserve">26(1):47–72.</w:t>
      </w:r>
    </w:p>
    <w:bookmarkEnd w:id="257"/>
    <w:bookmarkStart w:id="258" w:name="ref-starr_1984"/>
    <w:p>
      <w:pPr>
        <w:pStyle w:val="Bibliography"/>
      </w:pPr>
      <w:r>
        <w:t xml:space="preserve">Starr, Mary Evelyn. 1984. Parchman Phase in the Northwestern</w:t>
      </w:r>
      <w:r>
        <w:t xml:space="preserve"> </w:t>
      </w:r>
      <w:r>
        <w:t xml:space="preserve">Yazoo</w:t>
      </w:r>
      <w:r>
        <w:t xml:space="preserve"> </w:t>
      </w:r>
      <w:r>
        <w:t xml:space="preserve">Basin. In</w:t>
      </w:r>
      <w:r>
        <w:t xml:space="preserve"> </w:t>
      </w:r>
      <w:r>
        <w:rPr>
          <w:i/>
          <w:iCs/>
        </w:rPr>
        <w:t xml:space="preserve">The</w:t>
      </w:r>
      <w:r>
        <w:rPr>
          <w:i/>
          <w:iCs/>
        </w:rPr>
        <w:t xml:space="preserve"> </w:t>
      </w:r>
      <w:r>
        <w:rPr>
          <w:i/>
          <w:iCs/>
        </w:rPr>
        <w:t xml:space="preserve">Wilsford</w:t>
      </w:r>
      <w:r>
        <w:rPr>
          <w:i/>
          <w:iCs/>
        </w:rPr>
        <w:t xml:space="preserve"> </w:t>
      </w:r>
      <w:r>
        <w:rPr>
          <w:i/>
          <w:iCs/>
        </w:rPr>
        <w:t xml:space="preserve">Site (22-Co-516)</w:t>
      </w:r>
      <w:r>
        <w:rPr>
          <w:i/>
          <w:iCs/>
        </w:rPr>
        <w:t xml:space="preserve"> </w:t>
      </w:r>
      <w:r>
        <w:rPr>
          <w:i/>
          <w:iCs/>
        </w:rPr>
        <w:t xml:space="preserve">Coahoma</w:t>
      </w:r>
      <w:r>
        <w:rPr>
          <w:i/>
          <w:iCs/>
        </w:rPr>
        <w:t xml:space="preserve"> </w:t>
      </w:r>
      <w:r>
        <w:rPr>
          <w:i/>
          <w:iCs/>
        </w:rPr>
        <w:t xml:space="preserve">County,</w:t>
      </w:r>
      <w:r>
        <w:rPr>
          <w:i/>
          <w:iCs/>
        </w:rPr>
        <w:t xml:space="preserve"> </w:t>
      </w:r>
      <w:r>
        <w:rPr>
          <w:i/>
          <w:iCs/>
        </w:rPr>
        <w:t xml:space="preserve">Mississippi</w:t>
      </w:r>
      <w:r>
        <w:rPr>
          <w:i/>
          <w:iCs/>
        </w:rPr>
        <w:t xml:space="preserve">: A Late</w:t>
      </w:r>
      <w:r>
        <w:rPr>
          <w:i/>
          <w:iCs/>
        </w:rPr>
        <w:t xml:space="preserve"> </w:t>
      </w:r>
      <w:r>
        <w:rPr>
          <w:i/>
          <w:iCs/>
        </w:rPr>
        <w:t xml:space="preserve">Mississippi</w:t>
      </w:r>
      <w:r>
        <w:rPr>
          <w:i/>
          <w:iCs/>
        </w:rPr>
        <w:t xml:space="preserve"> </w:t>
      </w:r>
      <w:r>
        <w:rPr>
          <w:i/>
          <w:iCs/>
        </w:rPr>
        <w:t xml:space="preserve">Period Settlement in the Northern</w:t>
      </w:r>
      <w:r>
        <w:rPr>
          <w:i/>
          <w:iCs/>
        </w:rPr>
        <w:t xml:space="preserve"> </w:t>
      </w:r>
      <w:r>
        <w:rPr>
          <w:i/>
          <w:iCs/>
        </w:rPr>
        <w:t xml:space="preserve">Yazoo</w:t>
      </w:r>
      <w:r>
        <w:rPr>
          <w:i/>
          <w:iCs/>
        </w:rPr>
        <w:t xml:space="preserve"> </w:t>
      </w:r>
      <w:r>
        <w:rPr>
          <w:i/>
          <w:iCs/>
        </w:rPr>
        <w:t xml:space="preserve">of</w:t>
      </w:r>
      <w:r>
        <w:rPr>
          <w:i/>
          <w:iCs/>
        </w:rPr>
        <w:t xml:space="preserve"> </w:t>
      </w:r>
      <w:r>
        <w:rPr>
          <w:i/>
          <w:iCs/>
        </w:rPr>
        <w:t xml:space="preserve">Mississippi</w:t>
      </w:r>
      <w:r>
        <w:t xml:space="preserve">, edited by John M. Connaway, pp. 163–222. Archaeological Report No. 14. Mississippi Department of Archives; History, Jackson, MS.</w:t>
      </w:r>
    </w:p>
    <w:bookmarkEnd w:id="258"/>
    <w:bookmarkStart w:id="259" w:name="ref-tomasovych_kidwell_2009"/>
    <w:p>
      <w:pPr>
        <w:pStyle w:val="Bibliography"/>
      </w:pPr>
      <w:r>
        <w:t xml:space="preserve">Tomašových, Adam, and Susan M. Kidwell. 2009. Fidelity of Variation in Species Composition and Diversity Partitioning by Death Assemblages: Time-Averaging Transfers Diversity from Beta to Alpha Levels.</w:t>
      </w:r>
      <w:r>
        <w:t xml:space="preserve"> </w:t>
      </w:r>
      <w:r>
        <w:rPr>
          <w:i/>
          <w:iCs/>
        </w:rPr>
        <w:t xml:space="preserve">Paleobiology</w:t>
      </w:r>
      <w:r>
        <w:t xml:space="preserve"> </w:t>
      </w:r>
      <w:r>
        <w:t xml:space="preserve">35(1):94–118.</w:t>
      </w:r>
    </w:p>
    <w:bookmarkEnd w:id="259"/>
    <w:bookmarkStart w:id="260" w:name="ref-willey_phillips_1958"/>
    <w:p>
      <w:pPr>
        <w:pStyle w:val="Bibliography"/>
      </w:pPr>
      <w:r>
        <w:t xml:space="preserve">Willey, Gordon R., and Philip Phillips. 1958.</w:t>
      </w:r>
      <w:r>
        <w:t xml:space="preserve"> </w:t>
      </w:r>
      <w:r>
        <w:rPr>
          <w:i/>
          <w:iCs/>
        </w:rPr>
        <w:t xml:space="preserve">Method and Theory in American Archaeology</w:t>
      </w:r>
      <w:r>
        <w:t xml:space="preserve">. University of Chicago Press, Chicago.</w:t>
      </w:r>
    </w:p>
    <w:bookmarkEnd w:id="260"/>
    <w:bookmarkStart w:id="261" w:name="ref-williams_1954"/>
    <w:p>
      <w:pPr>
        <w:pStyle w:val="Bibliography"/>
      </w:pPr>
      <w:r>
        <w:t xml:space="preserve">Williams, Stephen. 1954. An Archeological Study of the Mississippian Culture in Southeast Missouri. PhD thesis, Yale University, New Haven.</w:t>
      </w:r>
    </w:p>
    <w:bookmarkEnd w:id="261"/>
    <w:bookmarkStart w:id="263" w:name="ref-wright_1943"/>
    <w:p>
      <w:pPr>
        <w:pStyle w:val="Bibliography"/>
      </w:pPr>
      <w:r>
        <w:t xml:space="preserve">Wright, Sewall. 1943. Isolation by Distance.</w:t>
      </w:r>
      <w:r>
        <w:t xml:space="preserve"> </w:t>
      </w:r>
      <w:r>
        <w:rPr>
          <w:i/>
          <w:iCs/>
        </w:rPr>
        <w:t xml:space="preserve">Genetics</w:t>
      </w:r>
      <w:r>
        <w:t xml:space="preserve"> </w:t>
      </w:r>
      <w:r>
        <w:t xml:space="preserve">28(2):114–138.</w:t>
      </w:r>
      <w:r>
        <w:t xml:space="preserve"> </w:t>
      </w:r>
      <w:hyperlink r:id="rId262">
        <w:r>
          <w:rPr>
            <w:rStyle w:val="Hyperlink"/>
          </w:rPr>
          <w:t xml:space="preserve">https://doi.org/10.1093/genetics/28.2.114</w:t>
        </w:r>
      </w:hyperlink>
      <w:r>
        <w:t xml:space="preserve">.</w:t>
      </w:r>
    </w:p>
    <w:bookmarkEnd w:id="263"/>
    <w:bookmarkStart w:id="265" w:name="ref-wright_1951"/>
    <w:p>
      <w:pPr>
        <w:pStyle w:val="Bibliography"/>
      </w:pPr>
      <w:r>
        <w:t xml:space="preserve">Wright, Sewall. 1951. The Genetical Structure of Populations.</w:t>
      </w:r>
      <w:r>
        <w:t xml:space="preserve"> </w:t>
      </w:r>
      <w:r>
        <w:rPr>
          <w:i/>
          <w:iCs/>
        </w:rPr>
        <w:t xml:space="preserve">Annals of Eugenics</w:t>
      </w:r>
      <w:r>
        <w:t xml:space="preserve"> </w:t>
      </w:r>
      <w:r>
        <w:t xml:space="preserve">15(1):323–354.</w:t>
      </w:r>
      <w:r>
        <w:t xml:space="preserve"> </w:t>
      </w:r>
      <w:hyperlink r:id="rId264">
        <w:r>
          <w:rPr>
            <w:rStyle w:val="Hyperlink"/>
          </w:rPr>
          <w:t xml:space="preserve">https://doi.org/10.1111/j.1469-1809.1949.tb02451.x</w:t>
        </w:r>
      </w:hyperlink>
      <w:r>
        <w:t xml:space="preserve">.</w:t>
      </w:r>
    </w:p>
    <w:bookmarkEnd w:id="265"/>
    <w:bookmarkStart w:id="267" w:name="ref-youngblood_miton_morin_2023"/>
    <w:p>
      <w:pPr>
        <w:pStyle w:val="Bibliography"/>
      </w:pPr>
      <w:r>
        <w:t xml:space="preserve">Youngblood, Mason, Helena Miton, and Olivier Morin. 2023. Statistical Signals of Copying Are Robust to Time- and Space-Averaging.</w:t>
      </w:r>
      <w:r>
        <w:t xml:space="preserve"> </w:t>
      </w:r>
      <w:r>
        <w:rPr>
          <w:i/>
          <w:iCs/>
        </w:rPr>
        <w:t xml:space="preserve">Evolutionary Human Sciences</w:t>
      </w:r>
      <w:r>
        <w:t xml:space="preserve"> </w:t>
      </w:r>
      <w:r>
        <w:t xml:space="preserve">5:e10.</w:t>
      </w:r>
      <w:r>
        <w:t xml:space="preserve"> </w:t>
      </w:r>
      <w:hyperlink r:id="rId266">
        <w:r>
          <w:rPr>
            <w:rStyle w:val="Hyperlink"/>
          </w:rPr>
          <w:t xml:space="preserve">https://doi.org/10.1017/ehs.2023.5</w:t>
        </w:r>
      </w:hyperlink>
      <w:r>
        <w:t xml:space="preserve">.</w:t>
      </w:r>
    </w:p>
    <w:bookmarkEnd w:id="267"/>
    <w:bookmarkEnd w:id="268"/>
    <w:bookmarkEnd w:id="269"/>
    <w:bookmarkEnd w:id="270"/>
    <w:sectPr>
      <w:footerReference r:id="rId100"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color w:val="000000"/>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24"/>
      <w:szCs w:val="2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4"/>
      <w:szCs w:val="24"/>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000000"/>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00000"/>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00000"/>
      <w:sz w:val="24"/>
      <w:szCs w:val="24"/>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00000"/>
      <w:sz w:val="24"/>
      <w:szCs w:val="24"/>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00000"/>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00000"/>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000000"/>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000000"/>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08" Target="numbering.xml" /><Relationship Type="http://schemas.openxmlformats.org/officeDocument/2006/relationships/styles" Id="rId107" Target="styles.xml" /><Relationship Type="http://schemas.openxmlformats.org/officeDocument/2006/relationships/settings" Id="rId106" Target="settings.xml" /><Relationship Type="http://schemas.openxmlformats.org/officeDocument/2006/relationships/webSettings" Id="rId105" Target="webSettings.xml" /><Relationship Type="http://schemas.openxmlformats.org/officeDocument/2006/relationships/fontTable" Id="rId104" Target="fontTable.xml" /><Relationship Type="http://schemas.openxmlformats.org/officeDocument/2006/relationships/theme" Id="rId103" Target="theme/theme1.xml" /><Relationship Type="http://schemas.openxmlformats.org/officeDocument/2006/relationships/footnotes" Id="rId102" Target="footnotes.xml" /><Relationship Type="http://schemas.openxmlformats.org/officeDocument/2006/relationships/comments" Id="rId101" Target="comments.xml" /><Relationship Id="rId100" Target="footer1.xml" Type="http://schemas.openxmlformats.org/officeDocument/2006/relationships/footer"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9" Target="media/rId149.png" /><Relationship Type="http://schemas.openxmlformats.org/officeDocument/2006/relationships/image" Id="rId111" Target="media/rId111.png" /><Relationship Type="http://schemas.openxmlformats.org/officeDocument/2006/relationships/image" Id="rId117" Target="media/rId117.png" /><Relationship Type="http://schemas.openxmlformats.org/officeDocument/2006/relationships/image" Id="rId142" Target="media/rId142.png" /><Relationship Type="http://schemas.openxmlformats.org/officeDocument/2006/relationships/image" Id="rId145" Target="media/rId145.png" /><Relationship Type="http://schemas.openxmlformats.org/officeDocument/2006/relationships/hyperlink" Id="rId188" Target="https://doi.org/10.1002/arp.1477" TargetMode="External" /><Relationship Type="http://schemas.openxmlformats.org/officeDocument/2006/relationships/hyperlink" Id="rId210" Target="https://doi.org/10.1006/jaar.1997.0314" TargetMode="External" /><Relationship Type="http://schemas.openxmlformats.org/officeDocument/2006/relationships/hyperlink" Id="rId183" Target="https://doi.org/10.1007/s10814-007-9013-z" TargetMode="External" /><Relationship Type="http://schemas.openxmlformats.org/officeDocument/2006/relationships/hyperlink" Id="rId234" Target="https://doi.org/10.1007/s10816-018-9364-4" TargetMode="External" /><Relationship Type="http://schemas.openxmlformats.org/officeDocument/2006/relationships/hyperlink" Id="rId173" Target="https://doi.org/10.1007/s10816-022-09599-x" TargetMode="External" /><Relationship Type="http://schemas.openxmlformats.org/officeDocument/2006/relationships/hyperlink" Id="rId192" Target="https://doi.org/10.1016/S1090-5138(98)00018-X" TargetMode="External" /><Relationship Type="http://schemas.openxmlformats.org/officeDocument/2006/relationships/hyperlink" Id="rId253" Target="https://doi.org/10.1016/j.evolhumbehav.2014.09.006" TargetMode="External" /><Relationship Type="http://schemas.openxmlformats.org/officeDocument/2006/relationships/hyperlink" Id="rId181" Target="https://doi.org/10.1016/j.jaa.2005.08.001" TargetMode="External" /><Relationship Type="http://schemas.openxmlformats.org/officeDocument/2006/relationships/hyperlink" Id="rId232" Target="https://doi.org/10.1016/j.jas.2012.04.040" TargetMode="External" /><Relationship Type="http://schemas.openxmlformats.org/officeDocument/2006/relationships/hyperlink" Id="rId251" Target="https://doi.org/10.1016/j.jtbi.2016.04.024" TargetMode="External" /><Relationship Type="http://schemas.openxmlformats.org/officeDocument/2006/relationships/hyperlink" Id="rId246" Target="https://doi.org/10.1017/RDC.2020.41" TargetMode="External" /><Relationship Type="http://schemas.openxmlformats.org/officeDocument/2006/relationships/hyperlink" Id="rId195" Target="https://doi.org/10.1017/aap.2021.10" TargetMode="External" /><Relationship Type="http://schemas.openxmlformats.org/officeDocument/2006/relationships/hyperlink" Id="rId266" Target="https://doi.org/10.1017/ehs.2023.5" TargetMode="External" /><Relationship Type="http://schemas.openxmlformats.org/officeDocument/2006/relationships/hyperlink" Id="rId175" Target="https://doi.org/10.1038/srep39122" TargetMode="External" /><Relationship Type="http://schemas.openxmlformats.org/officeDocument/2006/relationships/hyperlink" Id="rId165" Target="https://doi.org/10.1073/pnas.0903232106" TargetMode="External" /><Relationship Type="http://schemas.openxmlformats.org/officeDocument/2006/relationships/hyperlink" Id="rId185" Target="https://doi.org/10.1073/pnas.2418106121" TargetMode="External" /><Relationship Type="http://schemas.openxmlformats.org/officeDocument/2006/relationships/hyperlink" Id="rId227" Target="https://doi.org/10.1073/pnas.70.12.3321" TargetMode="External" /><Relationship Type="http://schemas.openxmlformats.org/officeDocument/2006/relationships/hyperlink" Id="rId219" Target="https://doi.org/10.1080/20548923.2018.1504490" TargetMode="External" /><Relationship Type="http://schemas.openxmlformats.org/officeDocument/2006/relationships/hyperlink" Id="rId262" Target="https://doi.org/10.1093/genetics/28.2.114" TargetMode="External" /><Relationship Type="http://schemas.openxmlformats.org/officeDocument/2006/relationships/hyperlink" Id="rId167" Target="https://doi.org/10.1098/rspb.2004.2746" TargetMode="External" /><Relationship Type="http://schemas.openxmlformats.org/officeDocument/2006/relationships/hyperlink" Id="rId264" Target="https://doi.org/10.1111/j.1469-1809.1949.tb02451.x" TargetMode="External" /><Relationship Type="http://schemas.openxmlformats.org/officeDocument/2006/relationships/hyperlink" Id="rId200" Target="https://doi.org/10.1146/annurev-ecolsys-110512-135838" TargetMode="External" /><Relationship Type="http://schemas.openxmlformats.org/officeDocument/2006/relationships/hyperlink" Id="rId208" Target="https://doi.org/10.1371/journal.pone.0124942" TargetMode="External" /><Relationship Type="http://schemas.openxmlformats.org/officeDocument/2006/relationships/hyperlink" Id="rId205" Target="https://doi.org/10.1371/journal.pone.0250690" TargetMode="External" /><Relationship Type="http://schemas.openxmlformats.org/officeDocument/2006/relationships/hyperlink" Id="rId239" Target="https://doi.org/10.1525/aa.1953.55.5.02a00030" TargetMode="External" /><Relationship Type="http://schemas.openxmlformats.org/officeDocument/2006/relationships/hyperlink" Id="rId190" Target="https://doi.org/10.1525/aa.2001.103.4.992" TargetMode="External" /><Relationship Type="http://schemas.openxmlformats.org/officeDocument/2006/relationships/hyperlink" Id="rId169" Target="https://doi.org/10.2307/2694206" TargetMode="External" /><Relationship Type="http://schemas.openxmlformats.org/officeDocument/2006/relationships/hyperlink" Id="rId230" Target="https://doi.org/10.2307/279066" TargetMode="External" /><Relationship Type="http://schemas.openxmlformats.org/officeDocument/2006/relationships/hyperlink" Id="rId177" Target="https://doi.org/10.2307/279244" TargetMode="External" /><Relationship Type="http://schemas.openxmlformats.org/officeDocument/2006/relationships/hyperlink" Id="rId163" Target="https://doi.org/10.2307/3557066" TargetMode="External" /><Relationship Type="http://schemas.openxmlformats.org/officeDocument/2006/relationships/hyperlink" Id="rId243" Target="https://doi.org/10.7183/0002-7316.76.1.163" TargetMode="External" /><Relationship Type="http://schemas.openxmlformats.org/officeDocument/2006/relationships/hyperlink" Id="rId241" Target="https://doi.org/10.7183/0002-7316.81.4.605" TargetMode="External" /></Relationships>
</file>

<file path=word/_rels/footnotes.xml.rels><?xml version="1.0" encoding="UTF-8"?><Relationships xmlns="http://schemas.openxmlformats.org/package/2006/relationships"><Relationship Type="http://schemas.openxmlformats.org/officeDocument/2006/relationships/hyperlink" Id="rId188" Target="https://doi.org/10.1002/arp.1477" TargetMode="External" /><Relationship Type="http://schemas.openxmlformats.org/officeDocument/2006/relationships/hyperlink" Id="rId210" Target="https://doi.org/10.1006/jaar.1997.0314" TargetMode="External" /><Relationship Type="http://schemas.openxmlformats.org/officeDocument/2006/relationships/hyperlink" Id="rId183" Target="https://doi.org/10.1007/s10814-007-9013-z" TargetMode="External" /><Relationship Type="http://schemas.openxmlformats.org/officeDocument/2006/relationships/hyperlink" Id="rId234" Target="https://doi.org/10.1007/s10816-018-9364-4" TargetMode="External" /><Relationship Type="http://schemas.openxmlformats.org/officeDocument/2006/relationships/hyperlink" Id="rId173" Target="https://doi.org/10.1007/s10816-022-09599-x" TargetMode="External" /><Relationship Type="http://schemas.openxmlformats.org/officeDocument/2006/relationships/hyperlink" Id="rId192" Target="https://doi.org/10.1016/S1090-5138(98)00018-X" TargetMode="External" /><Relationship Type="http://schemas.openxmlformats.org/officeDocument/2006/relationships/hyperlink" Id="rId253" Target="https://doi.org/10.1016/j.evolhumbehav.2014.09.006" TargetMode="External" /><Relationship Type="http://schemas.openxmlformats.org/officeDocument/2006/relationships/hyperlink" Id="rId181" Target="https://doi.org/10.1016/j.jaa.2005.08.001" TargetMode="External" /><Relationship Type="http://schemas.openxmlformats.org/officeDocument/2006/relationships/hyperlink" Id="rId232" Target="https://doi.org/10.1016/j.jas.2012.04.040" TargetMode="External" /><Relationship Type="http://schemas.openxmlformats.org/officeDocument/2006/relationships/hyperlink" Id="rId251" Target="https://doi.org/10.1016/j.jtbi.2016.04.024" TargetMode="External" /><Relationship Type="http://schemas.openxmlformats.org/officeDocument/2006/relationships/hyperlink" Id="rId246" Target="https://doi.org/10.1017/RDC.2020.41" TargetMode="External" /><Relationship Type="http://schemas.openxmlformats.org/officeDocument/2006/relationships/hyperlink" Id="rId195" Target="https://doi.org/10.1017/aap.2021.10" TargetMode="External" /><Relationship Type="http://schemas.openxmlformats.org/officeDocument/2006/relationships/hyperlink" Id="rId266" Target="https://doi.org/10.1017/ehs.2023.5" TargetMode="External" /><Relationship Type="http://schemas.openxmlformats.org/officeDocument/2006/relationships/hyperlink" Id="rId175" Target="https://doi.org/10.1038/srep39122" TargetMode="External" /><Relationship Type="http://schemas.openxmlformats.org/officeDocument/2006/relationships/hyperlink" Id="rId165" Target="https://doi.org/10.1073/pnas.0903232106" TargetMode="External" /><Relationship Type="http://schemas.openxmlformats.org/officeDocument/2006/relationships/hyperlink" Id="rId185" Target="https://doi.org/10.1073/pnas.2418106121" TargetMode="External" /><Relationship Type="http://schemas.openxmlformats.org/officeDocument/2006/relationships/hyperlink" Id="rId227" Target="https://doi.org/10.1073/pnas.70.12.3321" TargetMode="External" /><Relationship Type="http://schemas.openxmlformats.org/officeDocument/2006/relationships/hyperlink" Id="rId219" Target="https://doi.org/10.1080/20548923.2018.1504490" TargetMode="External" /><Relationship Type="http://schemas.openxmlformats.org/officeDocument/2006/relationships/hyperlink" Id="rId262" Target="https://doi.org/10.1093/genetics/28.2.114" TargetMode="External" /><Relationship Type="http://schemas.openxmlformats.org/officeDocument/2006/relationships/hyperlink" Id="rId167" Target="https://doi.org/10.1098/rspb.2004.2746" TargetMode="External" /><Relationship Type="http://schemas.openxmlformats.org/officeDocument/2006/relationships/hyperlink" Id="rId264" Target="https://doi.org/10.1111/j.1469-1809.1949.tb02451.x" TargetMode="External" /><Relationship Type="http://schemas.openxmlformats.org/officeDocument/2006/relationships/hyperlink" Id="rId200" Target="https://doi.org/10.1146/annurev-ecolsys-110512-135838" TargetMode="External" /><Relationship Type="http://schemas.openxmlformats.org/officeDocument/2006/relationships/hyperlink" Id="rId208" Target="https://doi.org/10.1371/journal.pone.0124942" TargetMode="External" /><Relationship Type="http://schemas.openxmlformats.org/officeDocument/2006/relationships/hyperlink" Id="rId205" Target="https://doi.org/10.1371/journal.pone.0250690" TargetMode="External" /><Relationship Type="http://schemas.openxmlformats.org/officeDocument/2006/relationships/hyperlink" Id="rId239" Target="https://doi.org/10.1525/aa.1953.55.5.02a00030" TargetMode="External" /><Relationship Type="http://schemas.openxmlformats.org/officeDocument/2006/relationships/hyperlink" Id="rId190" Target="https://doi.org/10.1525/aa.2001.103.4.992" TargetMode="External" /><Relationship Type="http://schemas.openxmlformats.org/officeDocument/2006/relationships/hyperlink" Id="rId169" Target="https://doi.org/10.2307/2694206" TargetMode="External" /><Relationship Type="http://schemas.openxmlformats.org/officeDocument/2006/relationships/hyperlink" Id="rId230" Target="https://doi.org/10.2307/279066" TargetMode="External" /><Relationship Type="http://schemas.openxmlformats.org/officeDocument/2006/relationships/hyperlink" Id="rId177" Target="https://doi.org/10.2307/279244" TargetMode="External" /><Relationship Type="http://schemas.openxmlformats.org/officeDocument/2006/relationships/hyperlink" Id="rId163" Target="https://doi.org/10.2307/3557066" TargetMode="External" /><Relationship Type="http://schemas.openxmlformats.org/officeDocument/2006/relationships/hyperlink" Id="rId243" Target="https://doi.org/10.7183/0002-7316.76.1.163" TargetMode="External" /><Relationship Type="http://schemas.openxmlformats.org/officeDocument/2006/relationships/hyperlink" Id="rId241" Target="https://doi.org/10.7183/0002-7316.81.4.6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2026-09-24T00:01:32Z</dcterms:created>
  <dcterms:modified xsi:type="dcterms:W3CDTF">2026-09-24T00:01:32Z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american-antiquity.csl</vt:lpwstr>
  </property>
</Properties>
</file>